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7CA42" w14:textId="77777777" w:rsidR="00D75099" w:rsidRDefault="00D75099" w:rsidP="00D75099">
      <w:pPr>
        <w:spacing w:after="120" w:line="360" w:lineRule="auto"/>
        <w:rPr>
          <w:b/>
          <w:sz w:val="32"/>
          <w:szCs w:val="32"/>
        </w:rPr>
      </w:pPr>
      <w:bookmarkStart w:id="0" w:name="_GoBack"/>
      <w:bookmarkEnd w:id="0"/>
      <w:r>
        <w:rPr>
          <w:b/>
          <w:sz w:val="32"/>
          <w:szCs w:val="32"/>
        </w:rPr>
        <w:t>Estimating Fisheries Reference Points from Catch and Resilience</w:t>
      </w:r>
    </w:p>
    <w:p w14:paraId="0A772C08" w14:textId="77777777" w:rsidR="00D75099" w:rsidRDefault="00D75099" w:rsidP="00D75099">
      <w:pPr>
        <w:spacing w:after="120" w:line="360" w:lineRule="auto"/>
      </w:pPr>
    </w:p>
    <w:p w14:paraId="18E0F185" w14:textId="77777777" w:rsidR="00D75099" w:rsidRDefault="00D75099" w:rsidP="00D75099">
      <w:pPr>
        <w:spacing w:after="120" w:line="360" w:lineRule="auto"/>
      </w:pPr>
      <w:r>
        <w:rPr>
          <w:b/>
        </w:rPr>
        <w:t>Rainer Froese</w:t>
      </w:r>
      <w:r>
        <w:t xml:space="preserve">, </w:t>
      </w:r>
      <w:r>
        <w:rPr>
          <w:bCs/>
          <w:lang w:val="en-GB"/>
        </w:rPr>
        <w:t xml:space="preserve">GEOMAR Helmholtz Centre for Ocean Research Kiel, Düsternbrooker Weg 20, 24105 Kiel, Germany, </w:t>
      </w:r>
      <w:hyperlink r:id="rId9" w:history="1">
        <w:r>
          <w:rPr>
            <w:rStyle w:val="Hyperlink"/>
            <w:bCs/>
            <w:lang w:val="en-GB"/>
          </w:rPr>
          <w:t>rfroese@geomar.de</w:t>
        </w:r>
      </w:hyperlink>
      <w:r>
        <w:rPr>
          <w:bCs/>
          <w:lang w:val="en-GB"/>
        </w:rPr>
        <w:t xml:space="preserve"> , +494316004579, Fax +494316001699, corresponding author</w:t>
      </w:r>
    </w:p>
    <w:p w14:paraId="089E4127" w14:textId="77777777" w:rsidR="00D75099" w:rsidRDefault="00D75099" w:rsidP="00D75099">
      <w:pPr>
        <w:spacing w:after="120" w:line="360" w:lineRule="auto"/>
      </w:pPr>
      <w:r>
        <w:rPr>
          <w:b/>
        </w:rPr>
        <w:t>Nazli Demirel</w:t>
      </w:r>
      <w:r>
        <w:t xml:space="preserve">, Institute of Marine Sciences and Management, Istanbul University, 34134, Istanbul, Turkey, </w:t>
      </w:r>
      <w:hyperlink r:id="rId10" w:history="1">
        <w:r>
          <w:rPr>
            <w:rStyle w:val="Hyperlink"/>
          </w:rPr>
          <w:t>ndemirel@istanbul.edu.tr</w:t>
        </w:r>
      </w:hyperlink>
      <w:r>
        <w:t xml:space="preserve"> </w:t>
      </w:r>
    </w:p>
    <w:p w14:paraId="3A3633BC" w14:textId="77777777" w:rsidR="00D75099" w:rsidRDefault="00D75099" w:rsidP="00D75099">
      <w:pPr>
        <w:spacing w:after="120" w:line="360" w:lineRule="auto"/>
      </w:pPr>
      <w:r>
        <w:rPr>
          <w:b/>
        </w:rPr>
        <w:t>Gianpaolo Coro</w:t>
      </w:r>
      <w:r>
        <w:t xml:space="preserve">, Istituto di Scienza e Tecnologie dell’Informazione “A. Faedo”, Consiglio Nazionale delle Ricerche (CNR), via Moruzzi 1, 56124 Pisa, Italy. </w:t>
      </w:r>
      <w:hyperlink r:id="rId11" w:history="1">
        <w:r>
          <w:rPr>
            <w:rStyle w:val="Hyperlink"/>
          </w:rPr>
          <w:t>gianpaolo.coro@isti.cnr.it</w:t>
        </w:r>
      </w:hyperlink>
      <w:r>
        <w:t xml:space="preserve"> </w:t>
      </w:r>
    </w:p>
    <w:p w14:paraId="4C6B8079" w14:textId="77777777" w:rsidR="00D75099" w:rsidRDefault="00D75099" w:rsidP="00D75099">
      <w:pPr>
        <w:spacing w:after="120" w:line="360" w:lineRule="auto"/>
      </w:pPr>
      <w:r>
        <w:rPr>
          <w:b/>
        </w:rPr>
        <w:t>Kristin M. Kleisner</w:t>
      </w:r>
      <w:r>
        <w:t xml:space="preserve">, National Oceanographic and Atmospheric Administration, Northeast Fisheries Science Center, 166 Water St., Woods Hole, MA 02543, </w:t>
      </w:r>
      <w:hyperlink r:id="rId12" w:history="1">
        <w:r>
          <w:rPr>
            <w:rStyle w:val="Hyperlink"/>
          </w:rPr>
          <w:t>kristin.kleisner@noaa.gov</w:t>
        </w:r>
      </w:hyperlink>
      <w:r>
        <w:t xml:space="preserve"> </w:t>
      </w:r>
    </w:p>
    <w:p w14:paraId="532C7F3E" w14:textId="77777777" w:rsidR="00D75099" w:rsidRDefault="00D75099" w:rsidP="00D75099">
      <w:pPr>
        <w:spacing w:after="120" w:line="360" w:lineRule="auto"/>
      </w:pPr>
      <w:r>
        <w:rPr>
          <w:b/>
        </w:rPr>
        <w:t>Henning Winker</w:t>
      </w:r>
      <w:r>
        <w:t xml:space="preserve">, South African National Biodiversity Institute, Kirstenbosch Research Centre, Claremont 7735, South Africa and Centre for Statistics in Ecology, Environment and Conservation (SEEC), Department of Statistical Sciences, University of Cape Town, Private Bag X3,Rondebosch 7700, South Africa, </w:t>
      </w:r>
      <w:hyperlink r:id="rId13" w:history="1">
        <w:r>
          <w:rPr>
            <w:rStyle w:val="Hyperlink"/>
          </w:rPr>
          <w:t>henning.winker@gmail.com</w:t>
        </w:r>
      </w:hyperlink>
      <w:r>
        <w:t xml:space="preserve">  </w:t>
      </w:r>
    </w:p>
    <w:p w14:paraId="6D1A4CD4" w14:textId="77777777" w:rsidR="00D75099" w:rsidRDefault="00D75099" w:rsidP="00D75099"/>
    <w:p w14:paraId="25026305" w14:textId="77777777" w:rsidR="00D75099" w:rsidRDefault="00D75099" w:rsidP="00D75099">
      <w:r>
        <w:t>Running Title: Reference points from catch &amp; resilience</w:t>
      </w:r>
    </w:p>
    <w:p w14:paraId="679D6FFC" w14:textId="77777777" w:rsidR="00D75099" w:rsidRDefault="00D75099" w:rsidP="00D75099"/>
    <w:p w14:paraId="1DDE0717" w14:textId="77777777" w:rsidR="00D75099" w:rsidRDefault="00D75099" w:rsidP="00D75099">
      <w:r>
        <w:t>Alternative title: Monte-Carlo analysis of catch data for data-limited stocks</w:t>
      </w:r>
    </w:p>
    <w:p w14:paraId="28C48884" w14:textId="77777777" w:rsidR="00224919" w:rsidRDefault="00224919" w:rsidP="00FA0090">
      <w:pPr>
        <w:spacing w:after="120" w:line="360" w:lineRule="auto"/>
        <w:rPr>
          <w:b/>
        </w:rPr>
      </w:pPr>
    </w:p>
    <w:p w14:paraId="6E5A47A8" w14:textId="77777777" w:rsidR="00D75099" w:rsidRDefault="00D75099">
      <w:pPr>
        <w:rPr>
          <w:b/>
        </w:rPr>
      </w:pPr>
      <w:r>
        <w:rPr>
          <w:b/>
        </w:rPr>
        <w:br w:type="page"/>
      </w:r>
    </w:p>
    <w:p w14:paraId="16B60B5E" w14:textId="45C9EB72" w:rsidR="00131A69" w:rsidRDefault="00F9492F" w:rsidP="00FA0090">
      <w:pPr>
        <w:spacing w:after="120" w:line="360" w:lineRule="auto"/>
        <w:rPr>
          <w:b/>
        </w:rPr>
      </w:pPr>
      <w:r>
        <w:rPr>
          <w:b/>
        </w:rPr>
        <w:lastRenderedPageBreak/>
        <w:t>Abstract</w:t>
      </w:r>
    </w:p>
    <w:p w14:paraId="698B73CC" w14:textId="376B506B" w:rsidR="00634C99" w:rsidRDefault="006B2517" w:rsidP="004E4CDC">
      <w:pPr>
        <w:spacing w:after="120" w:line="480" w:lineRule="auto"/>
      </w:pPr>
      <w:r>
        <w:t xml:space="preserve">This study presents a Monte Carlo </w:t>
      </w:r>
      <w:r w:rsidR="00BB6AD5">
        <w:t>method</w:t>
      </w:r>
      <w:r>
        <w:t xml:space="preserve"> (CMSY) for estimating fisheries reference points from catch, resilience, and qualitative stock status</w:t>
      </w:r>
      <w:r w:rsidR="00A84BE2">
        <w:t xml:space="preserve"> information</w:t>
      </w:r>
      <w:r>
        <w:t xml:space="preserve"> </w:t>
      </w:r>
      <w:r w:rsidR="00A84BE2">
        <w:t>on</w:t>
      </w:r>
      <w:r>
        <w:t xml:space="preserve"> data-limited stocks. It also presents a Bayesian</w:t>
      </w:r>
      <w:r w:rsidR="00B00BE5">
        <w:t xml:space="preserve"> state-space</w:t>
      </w:r>
      <w:r>
        <w:t xml:space="preserve"> implementation of the Schaefer production model (BSM), fitted to catch and biomass or catch per unit of effort (CPUE) data. </w:t>
      </w:r>
      <w:r w:rsidR="005115F3">
        <w:t xml:space="preserve">Special emphasis was given to derive informative priors for productivity, unexploited stock size, catchability, and biomass from population dynamics theory. </w:t>
      </w:r>
      <w:r>
        <w:t>Both models gave good predictions of</w:t>
      </w:r>
      <w:r w:rsidR="00067855">
        <w:t xml:space="preserve"> the maximum intrinsic rate of population increase</w:t>
      </w:r>
      <w:r>
        <w:t xml:space="preserve"> </w:t>
      </w:r>
      <w:r w:rsidRPr="008A4D2A">
        <w:rPr>
          <w:i/>
        </w:rPr>
        <w:t>r</w:t>
      </w:r>
      <w:r>
        <w:t xml:space="preserve">, </w:t>
      </w:r>
      <w:r w:rsidR="00067855">
        <w:t xml:space="preserve">unexploited stock size </w:t>
      </w:r>
      <w:r w:rsidRPr="008A4D2A">
        <w:rPr>
          <w:i/>
        </w:rPr>
        <w:t>k</w:t>
      </w:r>
      <w:r>
        <w:t xml:space="preserve"> and</w:t>
      </w:r>
      <w:r w:rsidR="00067855">
        <w:t xml:space="preserve"> maximum sustainable yield</w:t>
      </w:r>
      <w:r>
        <w:t xml:space="preserve"> </w:t>
      </w:r>
      <w:r w:rsidRPr="008A4D2A">
        <w:rPr>
          <w:i/>
        </w:rPr>
        <w:t>MSY</w:t>
      </w:r>
      <w:r>
        <w:t xml:space="preserve"> when </w:t>
      </w:r>
      <w:r w:rsidR="00815D9F">
        <w:t>validated against</w:t>
      </w:r>
      <w:r>
        <w:t xml:space="preserve"> simulated data with known parameter values. CMSY provided, in addition, reasonable predictions of relative biomass and exploitation rate. Both models were </w:t>
      </w:r>
      <w:r w:rsidR="00BD3096">
        <w:t>evaluated</w:t>
      </w:r>
      <w:r>
        <w:t xml:space="preserve"> against 1</w:t>
      </w:r>
      <w:r w:rsidR="00634C99">
        <w:t>28</w:t>
      </w:r>
      <w:r>
        <w:t xml:space="preserve"> real stocks, where estimates of biomass were available from full stock assessments. BSM estimates of </w:t>
      </w:r>
      <w:r w:rsidRPr="00A24CDF">
        <w:rPr>
          <w:i/>
        </w:rPr>
        <w:t>r</w:t>
      </w:r>
      <w:r>
        <w:t xml:space="preserve">, </w:t>
      </w:r>
      <w:r w:rsidRPr="00A24CDF">
        <w:rPr>
          <w:i/>
        </w:rPr>
        <w:t>k</w:t>
      </w:r>
      <w:r>
        <w:t xml:space="preserve">, and </w:t>
      </w:r>
      <w:r w:rsidRPr="00A24CDF">
        <w:rPr>
          <w:i/>
        </w:rPr>
        <w:t>MSY</w:t>
      </w:r>
      <w:r>
        <w:t xml:space="preserve"> were used as benchmark</w:t>
      </w:r>
      <w:r w:rsidR="00043954">
        <w:t>s</w:t>
      </w:r>
      <w:r>
        <w:t xml:space="preserve"> fo</w:t>
      </w:r>
      <w:r w:rsidR="00634C99">
        <w:t>r the respective CMSY estimates</w:t>
      </w:r>
      <w:r w:rsidR="004F63D7">
        <w:t xml:space="preserve"> and</w:t>
      </w:r>
      <w:r>
        <w:t xml:space="preserve"> were </w:t>
      </w:r>
      <w:r w:rsidR="00DB4440">
        <w:t xml:space="preserve">not </w:t>
      </w:r>
      <w:r>
        <w:t>significantly different in</w:t>
      </w:r>
      <w:r w:rsidR="00B747F9">
        <w:t xml:space="preserve"> </w:t>
      </w:r>
      <w:r w:rsidR="00DB4440">
        <w:t>76</w:t>
      </w:r>
      <w:r w:rsidRPr="00E302AC">
        <w:t>%</w:t>
      </w:r>
      <w:r>
        <w:t xml:space="preserve"> of the stocks. A similar test against </w:t>
      </w:r>
      <w:r w:rsidR="00B747F9">
        <w:t>28</w:t>
      </w:r>
      <w:r>
        <w:t xml:space="preserve"> data-limited stocks, where CPUE instead of biomass was available, showed that BSM and CMSY estimates </w:t>
      </w:r>
      <w:r w:rsidR="00E302AC">
        <w:t xml:space="preserve">of </w:t>
      </w:r>
      <w:r w:rsidR="00E302AC" w:rsidRPr="00A24CDF">
        <w:rPr>
          <w:i/>
        </w:rPr>
        <w:t>r</w:t>
      </w:r>
      <w:r w:rsidR="00E302AC">
        <w:t xml:space="preserve">, </w:t>
      </w:r>
      <w:r w:rsidR="00E302AC" w:rsidRPr="00A24CDF">
        <w:rPr>
          <w:i/>
        </w:rPr>
        <w:t>k</w:t>
      </w:r>
      <w:r w:rsidR="00E302AC">
        <w:t xml:space="preserve">, and </w:t>
      </w:r>
      <w:r w:rsidR="00E302AC" w:rsidRPr="00A24CDF">
        <w:rPr>
          <w:i/>
        </w:rPr>
        <w:t>MSY</w:t>
      </w:r>
      <w:r w:rsidR="00E302AC">
        <w:t xml:space="preserve"> </w:t>
      </w:r>
      <w:r>
        <w:t xml:space="preserve">were </w:t>
      </w:r>
      <w:r w:rsidR="00DB4440">
        <w:t xml:space="preserve">not </w:t>
      </w:r>
      <w:r w:rsidRPr="00E302AC">
        <w:t>significantly different in</w:t>
      </w:r>
      <w:r w:rsidR="00B747F9" w:rsidRPr="00E302AC">
        <w:t xml:space="preserve"> </w:t>
      </w:r>
      <w:r w:rsidR="00DB4440">
        <w:t>89</w:t>
      </w:r>
      <w:r w:rsidRPr="00E302AC">
        <w:t>%</w:t>
      </w:r>
      <w:r>
        <w:t xml:space="preserve"> of the stocks. </w:t>
      </w:r>
      <w:r w:rsidR="00374AAB">
        <w:t>Both CMSY and BSM c</w:t>
      </w:r>
      <w:r w:rsidR="003D7C4F">
        <w:t>o</w:t>
      </w:r>
      <w:r w:rsidR="00374AAB">
        <w:t>mbine the production model with a simple stock-recruitment model, accounting for reduced recruitment at sever</w:t>
      </w:r>
      <w:r w:rsidR="003D7C4F">
        <w:t>e</w:t>
      </w:r>
      <w:r w:rsidR="00374AAB">
        <w:t xml:space="preserve">ly depleted stock sizes. </w:t>
      </w:r>
    </w:p>
    <w:p w14:paraId="17C7EC2A" w14:textId="77777777" w:rsidR="00634C99" w:rsidRDefault="00634C99" w:rsidP="004E4CDC">
      <w:pPr>
        <w:spacing w:after="120" w:line="480" w:lineRule="auto"/>
      </w:pPr>
    </w:p>
    <w:p w14:paraId="70A822F9" w14:textId="77777777" w:rsidR="00634C99" w:rsidRDefault="00634C99" w:rsidP="004E4CDC">
      <w:pPr>
        <w:spacing w:after="120" w:line="480" w:lineRule="auto"/>
      </w:pPr>
    </w:p>
    <w:p w14:paraId="42F288A6" w14:textId="689BA96E" w:rsidR="00342F9B" w:rsidRDefault="00342F9B" w:rsidP="004E4CDC">
      <w:pPr>
        <w:spacing w:after="120" w:line="480" w:lineRule="auto"/>
      </w:pPr>
      <w:r>
        <w:t xml:space="preserve">Keywords: Monte Carlo </w:t>
      </w:r>
      <w:r w:rsidR="00BB6AD5">
        <w:t>method</w:t>
      </w:r>
      <w:r>
        <w:t xml:space="preserve">, Bayesian state-space model, </w:t>
      </w:r>
      <w:r w:rsidR="00BD3096">
        <w:t>surplus production</w:t>
      </w:r>
      <w:r>
        <w:t xml:space="preserve"> model,</w:t>
      </w:r>
      <w:r w:rsidR="00374AAB">
        <w:t xml:space="preserve"> stock-recruitment relationship,</w:t>
      </w:r>
      <w:r>
        <w:t xml:space="preserve"> data-limited stock</w:t>
      </w:r>
      <w:r w:rsidR="00145C45">
        <w:t xml:space="preserve"> a</w:t>
      </w:r>
      <w:r>
        <w:t>s</w:t>
      </w:r>
      <w:r w:rsidR="00145C45">
        <w:t>sessment</w:t>
      </w:r>
      <w:r w:rsidR="00181606">
        <w:t>, biomass dynamic model</w:t>
      </w:r>
    </w:p>
    <w:p w14:paraId="1565C931" w14:textId="77777777" w:rsidR="00342F9B" w:rsidRDefault="00342F9B" w:rsidP="004E4CDC">
      <w:pPr>
        <w:spacing w:after="120" w:line="480" w:lineRule="auto"/>
      </w:pPr>
    </w:p>
    <w:p w14:paraId="30EE1C00" w14:textId="77777777" w:rsidR="00374AAB" w:rsidRDefault="00374AAB" w:rsidP="004E4CDC">
      <w:pPr>
        <w:spacing w:after="120" w:line="480" w:lineRule="auto"/>
      </w:pPr>
    </w:p>
    <w:p w14:paraId="5DC9A91D" w14:textId="77777777" w:rsidR="00374AAB" w:rsidRDefault="00374AAB">
      <w:pPr>
        <w:rPr>
          <w:b/>
        </w:rPr>
      </w:pPr>
      <w:r>
        <w:rPr>
          <w:b/>
        </w:rPr>
        <w:br w:type="page"/>
      </w:r>
    </w:p>
    <w:p w14:paraId="64436B64" w14:textId="1B85242E" w:rsidR="00342F9B" w:rsidRPr="00342F9B" w:rsidRDefault="00342F9B" w:rsidP="00342F9B">
      <w:pPr>
        <w:spacing w:after="120" w:line="480" w:lineRule="auto"/>
        <w:rPr>
          <w:b/>
        </w:rPr>
      </w:pPr>
      <w:r w:rsidRPr="00342F9B">
        <w:rPr>
          <w:b/>
        </w:rPr>
        <w:lastRenderedPageBreak/>
        <w:t>Contents</w:t>
      </w:r>
    </w:p>
    <w:p w14:paraId="097BC009" w14:textId="14247661" w:rsidR="00342F9B" w:rsidRPr="00342F9B" w:rsidRDefault="00342F9B" w:rsidP="00342F9B">
      <w:pPr>
        <w:spacing w:after="120" w:line="480" w:lineRule="auto"/>
        <w:rPr>
          <w:b/>
        </w:rPr>
      </w:pPr>
      <w:r>
        <w:rPr>
          <w:b/>
        </w:rPr>
        <w:t>1 Introduction</w:t>
      </w:r>
      <w:r>
        <w:rPr>
          <w:b/>
        </w:rPr>
        <w:tab/>
      </w:r>
    </w:p>
    <w:p w14:paraId="6B82D18A" w14:textId="2890900D" w:rsidR="00342F9B" w:rsidRPr="00342F9B" w:rsidRDefault="00342F9B" w:rsidP="00342F9B">
      <w:pPr>
        <w:spacing w:after="120" w:line="480" w:lineRule="auto"/>
        <w:rPr>
          <w:b/>
        </w:rPr>
      </w:pPr>
      <w:r>
        <w:rPr>
          <w:b/>
        </w:rPr>
        <w:t>2 Material and methods</w:t>
      </w:r>
      <w:r>
        <w:rPr>
          <w:b/>
        </w:rPr>
        <w:tab/>
      </w:r>
    </w:p>
    <w:p w14:paraId="0F0771BD" w14:textId="1450D22B" w:rsidR="00374AAB" w:rsidRDefault="00374AAB" w:rsidP="00342F9B">
      <w:pPr>
        <w:spacing w:after="120" w:line="480" w:lineRule="auto"/>
        <w:rPr>
          <w:b/>
        </w:rPr>
      </w:pPr>
      <w:r>
        <w:rPr>
          <w:b/>
        </w:rPr>
        <w:t>2.1 General description of method</w:t>
      </w:r>
    </w:p>
    <w:p w14:paraId="14AD84C9" w14:textId="6202CDFE" w:rsidR="00342F9B" w:rsidRPr="00342F9B" w:rsidRDefault="00374AAB" w:rsidP="00342F9B">
      <w:pPr>
        <w:spacing w:after="120" w:line="480" w:lineRule="auto"/>
        <w:rPr>
          <w:b/>
        </w:rPr>
      </w:pPr>
      <w:r>
        <w:rPr>
          <w:b/>
        </w:rPr>
        <w:t>2.2</w:t>
      </w:r>
      <w:r w:rsidR="00342F9B">
        <w:rPr>
          <w:b/>
        </w:rPr>
        <w:t xml:space="preserve"> Selection of </w:t>
      </w:r>
      <w:r w:rsidR="00BD3096">
        <w:rPr>
          <w:b/>
        </w:rPr>
        <w:t xml:space="preserve">real </w:t>
      </w:r>
      <w:r w:rsidR="00342F9B">
        <w:rPr>
          <w:b/>
        </w:rPr>
        <w:t>stocks</w:t>
      </w:r>
      <w:r w:rsidR="00BD3096">
        <w:rPr>
          <w:b/>
        </w:rPr>
        <w:t xml:space="preserve"> and generation of simulated stocks</w:t>
      </w:r>
      <w:r w:rsidR="00342F9B">
        <w:rPr>
          <w:b/>
        </w:rPr>
        <w:tab/>
      </w:r>
    </w:p>
    <w:p w14:paraId="2831804F" w14:textId="7C3F3D80" w:rsidR="00342F9B" w:rsidRPr="00342F9B" w:rsidRDefault="00374AAB" w:rsidP="00342F9B">
      <w:pPr>
        <w:spacing w:after="120" w:line="480" w:lineRule="auto"/>
        <w:rPr>
          <w:b/>
        </w:rPr>
      </w:pPr>
      <w:r>
        <w:rPr>
          <w:b/>
        </w:rPr>
        <w:t>2.</w:t>
      </w:r>
      <w:r w:rsidR="00BD3096">
        <w:rPr>
          <w:b/>
        </w:rPr>
        <w:t>3</w:t>
      </w:r>
      <w:r w:rsidR="00342F9B">
        <w:rPr>
          <w:b/>
        </w:rPr>
        <w:t xml:space="preserve"> CMSY analysis</w:t>
      </w:r>
      <w:r w:rsidR="00342F9B">
        <w:rPr>
          <w:b/>
        </w:rPr>
        <w:tab/>
      </w:r>
    </w:p>
    <w:p w14:paraId="36327FD8" w14:textId="7A3E3721" w:rsidR="00342F9B" w:rsidRPr="00342F9B" w:rsidRDefault="00374AAB" w:rsidP="00342F9B">
      <w:pPr>
        <w:spacing w:after="120" w:line="480" w:lineRule="auto"/>
        <w:rPr>
          <w:b/>
        </w:rPr>
      </w:pPr>
      <w:r>
        <w:rPr>
          <w:b/>
        </w:rPr>
        <w:t>2.</w:t>
      </w:r>
      <w:r w:rsidR="00BD3096">
        <w:rPr>
          <w:b/>
        </w:rPr>
        <w:t>3</w:t>
      </w:r>
      <w:r w:rsidR="00342F9B" w:rsidRPr="00342F9B">
        <w:rPr>
          <w:b/>
        </w:rPr>
        <w:t>.</w:t>
      </w:r>
      <w:r w:rsidR="00BD3096">
        <w:rPr>
          <w:b/>
        </w:rPr>
        <w:t>1</w:t>
      </w:r>
      <w:r w:rsidR="00342F9B" w:rsidRPr="00342F9B">
        <w:rPr>
          <w:b/>
        </w:rPr>
        <w:t xml:space="preserve"> Determining t</w:t>
      </w:r>
      <w:r w:rsidR="00342F9B">
        <w:rPr>
          <w:b/>
        </w:rPr>
        <w:t>he boundaries of the r-k space</w:t>
      </w:r>
      <w:r w:rsidR="00342F9B">
        <w:rPr>
          <w:b/>
        </w:rPr>
        <w:tab/>
      </w:r>
    </w:p>
    <w:p w14:paraId="4A5F40C8" w14:textId="59543365" w:rsidR="00342F9B" w:rsidRPr="00342F9B" w:rsidRDefault="00BD3096" w:rsidP="00342F9B">
      <w:pPr>
        <w:spacing w:after="120" w:line="480" w:lineRule="auto"/>
        <w:rPr>
          <w:b/>
        </w:rPr>
      </w:pPr>
      <w:r>
        <w:rPr>
          <w:b/>
        </w:rPr>
        <w:t>2.3</w:t>
      </w:r>
      <w:r w:rsidR="00342F9B" w:rsidRPr="00342F9B">
        <w:rPr>
          <w:b/>
        </w:rPr>
        <w:t>.</w:t>
      </w:r>
      <w:r>
        <w:rPr>
          <w:b/>
        </w:rPr>
        <w:t>2</w:t>
      </w:r>
      <w:r w:rsidR="00342F9B">
        <w:rPr>
          <w:b/>
        </w:rPr>
        <w:t xml:space="preserve"> Setting prior biomass ranges</w:t>
      </w:r>
      <w:r w:rsidR="00342F9B">
        <w:rPr>
          <w:b/>
        </w:rPr>
        <w:tab/>
      </w:r>
    </w:p>
    <w:p w14:paraId="43452527" w14:textId="1AC4CB91" w:rsidR="00342F9B" w:rsidRPr="00342F9B" w:rsidRDefault="00342F9B" w:rsidP="00342F9B">
      <w:pPr>
        <w:spacing w:after="120" w:line="480" w:lineRule="auto"/>
        <w:rPr>
          <w:b/>
        </w:rPr>
      </w:pPr>
      <w:r w:rsidRPr="00342F9B">
        <w:rPr>
          <w:b/>
        </w:rPr>
        <w:t>2</w:t>
      </w:r>
      <w:r w:rsidR="00BD3096">
        <w:rPr>
          <w:b/>
        </w:rPr>
        <w:t>.3.3</w:t>
      </w:r>
      <w:r>
        <w:rPr>
          <w:b/>
        </w:rPr>
        <w:t xml:space="preserve"> Finding viable r-k pairs</w:t>
      </w:r>
      <w:r>
        <w:rPr>
          <w:b/>
        </w:rPr>
        <w:tab/>
      </w:r>
    </w:p>
    <w:p w14:paraId="4EAF239B" w14:textId="3FFECC6D" w:rsidR="00342F9B" w:rsidRPr="00342F9B" w:rsidRDefault="00BD3096" w:rsidP="00342F9B">
      <w:pPr>
        <w:spacing w:after="120" w:line="480" w:lineRule="auto"/>
        <w:rPr>
          <w:b/>
        </w:rPr>
      </w:pPr>
      <w:r>
        <w:rPr>
          <w:b/>
        </w:rPr>
        <w:t>2.3.4</w:t>
      </w:r>
      <w:r w:rsidR="00342F9B" w:rsidRPr="00342F9B">
        <w:rPr>
          <w:b/>
        </w:rPr>
        <w:t xml:space="preserve"> Finding the most probable values of </w:t>
      </w:r>
      <w:r w:rsidR="00342F9B" w:rsidRPr="00E625EC">
        <w:rPr>
          <w:b/>
          <w:i/>
        </w:rPr>
        <w:t>r</w:t>
      </w:r>
      <w:r w:rsidR="00342F9B" w:rsidRPr="00342F9B">
        <w:rPr>
          <w:b/>
        </w:rPr>
        <w:t>,</w:t>
      </w:r>
      <w:r w:rsidR="00342F9B">
        <w:rPr>
          <w:b/>
        </w:rPr>
        <w:t xml:space="preserve"> </w:t>
      </w:r>
      <w:r w:rsidR="00342F9B" w:rsidRPr="00E625EC">
        <w:rPr>
          <w:b/>
          <w:i/>
        </w:rPr>
        <w:t>k</w:t>
      </w:r>
      <w:r w:rsidR="00342F9B">
        <w:rPr>
          <w:b/>
        </w:rPr>
        <w:t>, MSY and predicted biomass</w:t>
      </w:r>
      <w:r w:rsidR="00342F9B">
        <w:rPr>
          <w:b/>
        </w:rPr>
        <w:tab/>
      </w:r>
    </w:p>
    <w:p w14:paraId="2FF5D45D" w14:textId="3CDD308E" w:rsidR="00342F9B" w:rsidRPr="00342F9B" w:rsidRDefault="00342F9B" w:rsidP="00342F9B">
      <w:pPr>
        <w:spacing w:after="120" w:line="480" w:lineRule="auto"/>
        <w:rPr>
          <w:b/>
        </w:rPr>
      </w:pPr>
      <w:r w:rsidRPr="00342F9B">
        <w:rPr>
          <w:b/>
        </w:rPr>
        <w:t>2</w:t>
      </w:r>
      <w:r>
        <w:rPr>
          <w:b/>
        </w:rPr>
        <w:t>.4 Bayesian Schaefer analysis</w:t>
      </w:r>
      <w:r>
        <w:rPr>
          <w:b/>
        </w:rPr>
        <w:tab/>
      </w:r>
    </w:p>
    <w:p w14:paraId="04E0D293" w14:textId="11F07F94" w:rsidR="00342F9B" w:rsidRPr="00342F9B" w:rsidRDefault="00342F9B" w:rsidP="00342F9B">
      <w:pPr>
        <w:spacing w:after="120" w:line="480" w:lineRule="auto"/>
        <w:rPr>
          <w:b/>
        </w:rPr>
      </w:pPr>
      <w:r w:rsidRPr="00342F9B">
        <w:rPr>
          <w:b/>
        </w:rPr>
        <w:t>2.4.1 Transforming r-k bounds into info</w:t>
      </w:r>
      <w:r>
        <w:rPr>
          <w:b/>
        </w:rPr>
        <w:t>rmative priors</w:t>
      </w:r>
      <w:r>
        <w:rPr>
          <w:b/>
        </w:rPr>
        <w:tab/>
      </w:r>
    </w:p>
    <w:p w14:paraId="3FFAFC43" w14:textId="39F6B0D7" w:rsidR="00342F9B" w:rsidRPr="00342F9B" w:rsidRDefault="00342F9B" w:rsidP="00342F9B">
      <w:pPr>
        <w:spacing w:after="120" w:line="480" w:lineRule="auto"/>
        <w:rPr>
          <w:b/>
        </w:rPr>
      </w:pPr>
      <w:r w:rsidRPr="00342F9B">
        <w:rPr>
          <w:b/>
        </w:rPr>
        <w:t xml:space="preserve">2.4.2 Determining a prior </w:t>
      </w:r>
      <w:r>
        <w:rPr>
          <w:b/>
        </w:rPr>
        <w:t>for</w:t>
      </w:r>
      <w:r w:rsidRPr="00374AAB">
        <w:rPr>
          <w:b/>
        </w:rPr>
        <w:t xml:space="preserve"> </w:t>
      </w:r>
      <w:r w:rsidR="00374AAB">
        <w:rPr>
          <w:b/>
        </w:rPr>
        <w:t>c</w:t>
      </w:r>
      <w:r w:rsidR="00374AAB" w:rsidRPr="00374AAB">
        <w:rPr>
          <w:b/>
        </w:rPr>
        <w:t>atchability</w:t>
      </w:r>
      <w:r>
        <w:rPr>
          <w:b/>
        </w:rPr>
        <w:tab/>
      </w:r>
    </w:p>
    <w:p w14:paraId="1AAC6C49" w14:textId="7D024C96" w:rsidR="00342F9B" w:rsidRPr="00342F9B" w:rsidRDefault="00342F9B" w:rsidP="00342F9B">
      <w:pPr>
        <w:spacing w:after="120" w:line="480" w:lineRule="auto"/>
        <w:rPr>
          <w:b/>
        </w:rPr>
      </w:pPr>
      <w:r w:rsidRPr="00342F9B">
        <w:rPr>
          <w:b/>
        </w:rPr>
        <w:t>2.4.3 Implementation o</w:t>
      </w:r>
      <w:r>
        <w:rPr>
          <w:b/>
        </w:rPr>
        <w:t>f the Bayesian Schaefer model</w:t>
      </w:r>
      <w:r>
        <w:rPr>
          <w:b/>
        </w:rPr>
        <w:tab/>
      </w:r>
    </w:p>
    <w:p w14:paraId="63C2ED1B" w14:textId="6C714939" w:rsidR="00342F9B" w:rsidRPr="00342F9B" w:rsidRDefault="00342F9B" w:rsidP="00342F9B">
      <w:pPr>
        <w:spacing w:after="120" w:line="480" w:lineRule="auto"/>
        <w:rPr>
          <w:b/>
        </w:rPr>
      </w:pPr>
      <w:r>
        <w:rPr>
          <w:b/>
        </w:rPr>
        <w:t>3 Results</w:t>
      </w:r>
      <w:r>
        <w:rPr>
          <w:b/>
        </w:rPr>
        <w:tab/>
      </w:r>
    </w:p>
    <w:p w14:paraId="4202F5A6" w14:textId="3A8ACABB" w:rsidR="00480497" w:rsidRDefault="00480497" w:rsidP="00342F9B">
      <w:pPr>
        <w:spacing w:after="120" w:line="480" w:lineRule="auto"/>
        <w:rPr>
          <w:b/>
        </w:rPr>
      </w:pPr>
      <w:r>
        <w:rPr>
          <w:b/>
        </w:rPr>
        <w:t>3.1 Results for selecting priors with default rules</w:t>
      </w:r>
      <w:r w:rsidR="004A6CB5">
        <w:rPr>
          <w:b/>
        </w:rPr>
        <w:t xml:space="preserve"> for </w:t>
      </w:r>
      <w:r w:rsidR="004A6CB5" w:rsidRPr="004A6CB5">
        <w:rPr>
          <w:b/>
          <w:i/>
        </w:rPr>
        <w:t>r</w:t>
      </w:r>
      <w:r w:rsidR="004A6CB5">
        <w:rPr>
          <w:b/>
        </w:rPr>
        <w:t xml:space="preserve">, </w:t>
      </w:r>
      <w:r w:rsidR="004A6CB5" w:rsidRPr="004A6CB5">
        <w:rPr>
          <w:b/>
          <w:i/>
        </w:rPr>
        <w:t>k</w:t>
      </w:r>
      <w:r w:rsidR="004A6CB5">
        <w:rPr>
          <w:b/>
        </w:rPr>
        <w:t xml:space="preserve">, </w:t>
      </w:r>
      <w:r w:rsidR="00BD3096" w:rsidRPr="00BD3096">
        <w:rPr>
          <w:b/>
          <w:i/>
        </w:rPr>
        <w:t>q</w:t>
      </w:r>
      <w:r w:rsidR="00BD3096">
        <w:rPr>
          <w:b/>
        </w:rPr>
        <w:t xml:space="preserve">, </w:t>
      </w:r>
      <w:r w:rsidR="004A6CB5">
        <w:rPr>
          <w:b/>
        </w:rPr>
        <w:t>and biomass</w:t>
      </w:r>
    </w:p>
    <w:p w14:paraId="480F14AD" w14:textId="308C575C" w:rsidR="00342F9B" w:rsidRPr="00342F9B" w:rsidRDefault="00480497" w:rsidP="00342F9B">
      <w:pPr>
        <w:spacing w:after="120" w:line="480" w:lineRule="auto"/>
        <w:rPr>
          <w:b/>
        </w:rPr>
      </w:pPr>
      <w:r>
        <w:rPr>
          <w:b/>
        </w:rPr>
        <w:t>3.2</w:t>
      </w:r>
      <w:r w:rsidR="00342F9B" w:rsidRPr="00342F9B">
        <w:rPr>
          <w:b/>
        </w:rPr>
        <w:t xml:space="preserve"> Results for simulated </w:t>
      </w:r>
      <w:r w:rsidR="00342F9B">
        <w:rPr>
          <w:b/>
        </w:rPr>
        <w:t>stocks with catch and biomass</w:t>
      </w:r>
      <w:r w:rsidR="00342F9B">
        <w:rPr>
          <w:b/>
        </w:rPr>
        <w:tab/>
      </w:r>
    </w:p>
    <w:p w14:paraId="059911F5" w14:textId="2C86F419" w:rsidR="00342F9B" w:rsidRPr="00342F9B" w:rsidRDefault="00480497" w:rsidP="00342F9B">
      <w:pPr>
        <w:spacing w:after="120" w:line="480" w:lineRule="auto"/>
        <w:rPr>
          <w:b/>
        </w:rPr>
      </w:pPr>
      <w:r>
        <w:rPr>
          <w:b/>
        </w:rPr>
        <w:t>3.3</w:t>
      </w:r>
      <w:r w:rsidR="00342F9B" w:rsidRPr="00342F9B">
        <w:rPr>
          <w:b/>
        </w:rPr>
        <w:t xml:space="preserve"> Resu</w:t>
      </w:r>
      <w:r w:rsidR="00342F9B">
        <w:rPr>
          <w:b/>
        </w:rPr>
        <w:t>lts for fully-assessed stocks</w:t>
      </w:r>
      <w:r w:rsidR="00342F9B">
        <w:rPr>
          <w:b/>
        </w:rPr>
        <w:tab/>
      </w:r>
    </w:p>
    <w:p w14:paraId="5C52A710" w14:textId="29B841F4" w:rsidR="00342F9B" w:rsidRDefault="00480497" w:rsidP="00342F9B">
      <w:pPr>
        <w:spacing w:after="120" w:line="480" w:lineRule="auto"/>
        <w:rPr>
          <w:b/>
        </w:rPr>
      </w:pPr>
      <w:r>
        <w:rPr>
          <w:b/>
        </w:rPr>
        <w:t>3.4</w:t>
      </w:r>
      <w:r w:rsidR="00342F9B" w:rsidRPr="00342F9B">
        <w:rPr>
          <w:b/>
        </w:rPr>
        <w:t xml:space="preserve"> Results for simulat</w:t>
      </w:r>
      <w:r w:rsidR="00342F9B">
        <w:rPr>
          <w:b/>
        </w:rPr>
        <w:t>ed stocks with catch and CPUE</w:t>
      </w:r>
      <w:r w:rsidR="00342F9B">
        <w:rPr>
          <w:b/>
        </w:rPr>
        <w:tab/>
      </w:r>
    </w:p>
    <w:p w14:paraId="69E00074" w14:textId="504312FB" w:rsidR="00342F9B" w:rsidRPr="00342F9B" w:rsidRDefault="00480497" w:rsidP="00342F9B">
      <w:pPr>
        <w:spacing w:after="120" w:line="480" w:lineRule="auto"/>
        <w:rPr>
          <w:b/>
        </w:rPr>
      </w:pPr>
      <w:r>
        <w:rPr>
          <w:b/>
        </w:rPr>
        <w:t>3.5</w:t>
      </w:r>
      <w:r w:rsidR="00342F9B" w:rsidRPr="00342F9B">
        <w:rPr>
          <w:b/>
        </w:rPr>
        <w:t xml:space="preserve"> Re</w:t>
      </w:r>
      <w:r w:rsidR="00342F9B">
        <w:rPr>
          <w:b/>
        </w:rPr>
        <w:t>sults for data-limited stocks</w:t>
      </w:r>
      <w:r w:rsidR="00342F9B">
        <w:rPr>
          <w:b/>
        </w:rPr>
        <w:tab/>
      </w:r>
    </w:p>
    <w:p w14:paraId="517E54B5" w14:textId="2974E521" w:rsidR="00342F9B" w:rsidRPr="00342F9B" w:rsidRDefault="00342F9B" w:rsidP="00342F9B">
      <w:pPr>
        <w:spacing w:after="120" w:line="480" w:lineRule="auto"/>
        <w:rPr>
          <w:b/>
        </w:rPr>
      </w:pPr>
      <w:r>
        <w:rPr>
          <w:b/>
        </w:rPr>
        <w:lastRenderedPageBreak/>
        <w:t>4 Discussion</w:t>
      </w:r>
      <w:r>
        <w:rPr>
          <w:b/>
        </w:rPr>
        <w:tab/>
      </w:r>
    </w:p>
    <w:p w14:paraId="7684732D" w14:textId="6B7DB50E" w:rsidR="00342F9B" w:rsidRPr="00342F9B" w:rsidRDefault="00342F9B" w:rsidP="00342F9B">
      <w:pPr>
        <w:spacing w:after="120" w:line="480" w:lineRule="auto"/>
        <w:rPr>
          <w:b/>
        </w:rPr>
      </w:pPr>
      <w:r w:rsidRPr="00342F9B">
        <w:rPr>
          <w:b/>
        </w:rPr>
        <w:t>4.1</w:t>
      </w:r>
      <w:r>
        <w:rPr>
          <w:b/>
        </w:rPr>
        <w:t xml:space="preserve"> Diversity of examined stocks</w:t>
      </w:r>
      <w:r>
        <w:rPr>
          <w:b/>
        </w:rPr>
        <w:tab/>
      </w:r>
    </w:p>
    <w:p w14:paraId="524373DE" w14:textId="6C0EE1EA" w:rsidR="00342F9B" w:rsidRPr="00342F9B" w:rsidRDefault="00342F9B" w:rsidP="00342F9B">
      <w:pPr>
        <w:spacing w:after="120" w:line="480" w:lineRule="auto"/>
        <w:rPr>
          <w:b/>
        </w:rPr>
      </w:pPr>
      <w:r w:rsidRPr="00342F9B">
        <w:rPr>
          <w:b/>
        </w:rPr>
        <w:t>4.2</w:t>
      </w:r>
      <w:r>
        <w:rPr>
          <w:b/>
        </w:rPr>
        <w:t xml:space="preserve"> Priors for </w:t>
      </w:r>
      <w:r w:rsidRPr="008650EF">
        <w:rPr>
          <w:b/>
          <w:i/>
        </w:rPr>
        <w:t>r</w:t>
      </w:r>
      <w:r>
        <w:rPr>
          <w:b/>
        </w:rPr>
        <w:t xml:space="preserve">, </w:t>
      </w:r>
      <w:r w:rsidRPr="008650EF">
        <w:rPr>
          <w:b/>
          <w:i/>
        </w:rPr>
        <w:t>k</w:t>
      </w:r>
      <w:r>
        <w:rPr>
          <w:b/>
        </w:rPr>
        <w:t>, and biomass</w:t>
      </w:r>
      <w:r>
        <w:rPr>
          <w:b/>
        </w:rPr>
        <w:tab/>
      </w:r>
    </w:p>
    <w:p w14:paraId="00C0E27F" w14:textId="298102A3" w:rsidR="00342F9B" w:rsidRPr="00342F9B" w:rsidRDefault="00342F9B" w:rsidP="00342F9B">
      <w:pPr>
        <w:spacing w:after="120" w:line="480" w:lineRule="auto"/>
        <w:rPr>
          <w:b/>
        </w:rPr>
      </w:pPr>
      <w:r w:rsidRPr="00342F9B">
        <w:rPr>
          <w:b/>
        </w:rPr>
        <w:t>4.2.1 How useful was resilience from FishBase for determining prior range</w:t>
      </w:r>
      <w:r>
        <w:rPr>
          <w:b/>
        </w:rPr>
        <w:t xml:space="preserve">s of </w:t>
      </w:r>
      <w:r w:rsidRPr="008650EF">
        <w:rPr>
          <w:b/>
          <w:i/>
        </w:rPr>
        <w:t>r</w:t>
      </w:r>
      <w:r>
        <w:rPr>
          <w:b/>
        </w:rPr>
        <w:t>?</w:t>
      </w:r>
      <w:r>
        <w:rPr>
          <w:b/>
        </w:rPr>
        <w:tab/>
      </w:r>
    </w:p>
    <w:p w14:paraId="02BDC342" w14:textId="6DD8F88F" w:rsidR="00342F9B" w:rsidRPr="00342F9B" w:rsidRDefault="00342F9B" w:rsidP="00342F9B">
      <w:pPr>
        <w:spacing w:after="120" w:line="480" w:lineRule="auto"/>
        <w:rPr>
          <w:b/>
        </w:rPr>
      </w:pPr>
      <w:r w:rsidRPr="00342F9B">
        <w:rPr>
          <w:b/>
        </w:rPr>
        <w:t>4.2.2 Other options for</w:t>
      </w:r>
      <w:r>
        <w:rPr>
          <w:b/>
        </w:rPr>
        <w:t xml:space="preserve"> obtaining prior ranges for </w:t>
      </w:r>
      <w:r w:rsidRPr="008650EF">
        <w:rPr>
          <w:b/>
          <w:i/>
        </w:rPr>
        <w:t>r</w:t>
      </w:r>
      <w:r>
        <w:rPr>
          <w:b/>
        </w:rPr>
        <w:tab/>
      </w:r>
    </w:p>
    <w:p w14:paraId="44F87965" w14:textId="55EB55D8" w:rsidR="00342F9B" w:rsidRPr="00342F9B" w:rsidRDefault="00342F9B" w:rsidP="00342F9B">
      <w:pPr>
        <w:spacing w:after="120" w:line="480" w:lineRule="auto"/>
        <w:rPr>
          <w:b/>
        </w:rPr>
      </w:pPr>
      <w:r w:rsidRPr="00342F9B">
        <w:rPr>
          <w:b/>
        </w:rPr>
        <w:t>4.2.3 Using maximum catch for</w:t>
      </w:r>
      <w:r>
        <w:rPr>
          <w:b/>
        </w:rPr>
        <w:t xml:space="preserve"> obtaining prior ranges for </w:t>
      </w:r>
      <w:r w:rsidRPr="008650EF">
        <w:rPr>
          <w:b/>
          <w:i/>
        </w:rPr>
        <w:t>k</w:t>
      </w:r>
      <w:r>
        <w:rPr>
          <w:b/>
        </w:rPr>
        <w:tab/>
      </w:r>
    </w:p>
    <w:p w14:paraId="0B55E26F" w14:textId="6A405F1C" w:rsidR="00342F9B" w:rsidRDefault="00342F9B" w:rsidP="00342F9B">
      <w:pPr>
        <w:spacing w:after="120" w:line="480" w:lineRule="auto"/>
        <w:rPr>
          <w:b/>
        </w:rPr>
      </w:pPr>
      <w:r w:rsidRPr="00342F9B">
        <w:rPr>
          <w:b/>
        </w:rPr>
        <w:t>4.2.4 Is the use of known stock status as prio</w:t>
      </w:r>
      <w:r>
        <w:rPr>
          <w:b/>
        </w:rPr>
        <w:t>r for biomass circular logic?</w:t>
      </w:r>
      <w:r>
        <w:rPr>
          <w:b/>
        </w:rPr>
        <w:tab/>
      </w:r>
    </w:p>
    <w:p w14:paraId="56FA2778" w14:textId="7FE74E96" w:rsidR="00BD3096" w:rsidRPr="00342F9B" w:rsidRDefault="00BD3096" w:rsidP="00342F9B">
      <w:pPr>
        <w:spacing w:after="120" w:line="480" w:lineRule="auto"/>
        <w:rPr>
          <w:b/>
        </w:rPr>
      </w:pPr>
      <w:r>
        <w:rPr>
          <w:b/>
        </w:rPr>
        <w:t>4.2.5 Data requirements of CMSY compared to other methods</w:t>
      </w:r>
    </w:p>
    <w:p w14:paraId="78DC732B" w14:textId="13488D50" w:rsidR="00342F9B" w:rsidRPr="00342F9B" w:rsidRDefault="00342F9B" w:rsidP="00342F9B">
      <w:pPr>
        <w:spacing w:after="120" w:line="480" w:lineRule="auto"/>
        <w:rPr>
          <w:b/>
        </w:rPr>
      </w:pPr>
      <w:r w:rsidRPr="00342F9B">
        <w:rPr>
          <w:b/>
        </w:rPr>
        <w:t>4.3 Interpretation of the Schaefer equilibrium c</w:t>
      </w:r>
      <w:r>
        <w:rPr>
          <w:b/>
        </w:rPr>
        <w:t>urve</w:t>
      </w:r>
      <w:r>
        <w:rPr>
          <w:b/>
        </w:rPr>
        <w:tab/>
      </w:r>
    </w:p>
    <w:p w14:paraId="2A31B979" w14:textId="046A8713" w:rsidR="00BD3096" w:rsidRDefault="00BD3096" w:rsidP="00342F9B">
      <w:pPr>
        <w:spacing w:after="120" w:line="480" w:lineRule="auto"/>
        <w:rPr>
          <w:b/>
        </w:rPr>
      </w:pPr>
      <w:r>
        <w:rPr>
          <w:b/>
        </w:rPr>
        <w:t>4.4 Pragmatic combination of surplus production with recruitment</w:t>
      </w:r>
    </w:p>
    <w:p w14:paraId="3C3B3753" w14:textId="615C0952" w:rsidR="00342F9B" w:rsidRPr="00342F9B" w:rsidRDefault="00BD3096" w:rsidP="00342F9B">
      <w:pPr>
        <w:spacing w:after="120" w:line="480" w:lineRule="auto"/>
        <w:rPr>
          <w:b/>
        </w:rPr>
      </w:pPr>
      <w:r>
        <w:rPr>
          <w:b/>
        </w:rPr>
        <w:t>4.5</w:t>
      </w:r>
      <w:r w:rsidR="00342F9B" w:rsidRPr="00342F9B">
        <w:rPr>
          <w:b/>
        </w:rPr>
        <w:t xml:space="preserve"> Performance o</w:t>
      </w:r>
      <w:r w:rsidR="00342F9B">
        <w:rPr>
          <w:b/>
        </w:rPr>
        <w:t>f the Bayesian Schaefer model</w:t>
      </w:r>
      <w:r w:rsidR="00342F9B">
        <w:rPr>
          <w:b/>
        </w:rPr>
        <w:tab/>
      </w:r>
    </w:p>
    <w:p w14:paraId="46C64AFC" w14:textId="00C283A7" w:rsidR="00342F9B" w:rsidRPr="00342F9B" w:rsidRDefault="00BD3096" w:rsidP="00342F9B">
      <w:pPr>
        <w:spacing w:after="120" w:line="480" w:lineRule="auto"/>
        <w:rPr>
          <w:b/>
        </w:rPr>
      </w:pPr>
      <w:r>
        <w:rPr>
          <w:b/>
        </w:rPr>
        <w:t>4.6</w:t>
      </w:r>
      <w:r w:rsidR="00342F9B" w:rsidRPr="00342F9B">
        <w:rPr>
          <w:b/>
        </w:rPr>
        <w:t xml:space="preserve"> Un</w:t>
      </w:r>
      <w:r w:rsidR="00342F9B">
        <w:rPr>
          <w:b/>
        </w:rPr>
        <w:t>derstanding the CMSY triangle</w:t>
      </w:r>
      <w:r w:rsidR="00342F9B">
        <w:rPr>
          <w:b/>
        </w:rPr>
        <w:tab/>
      </w:r>
    </w:p>
    <w:p w14:paraId="40378B99" w14:textId="570CEFDF" w:rsidR="00342F9B" w:rsidRDefault="00BD3096" w:rsidP="00342F9B">
      <w:pPr>
        <w:spacing w:after="120" w:line="480" w:lineRule="auto"/>
        <w:rPr>
          <w:b/>
        </w:rPr>
      </w:pPr>
      <w:r>
        <w:rPr>
          <w:b/>
        </w:rPr>
        <w:t>4.7</w:t>
      </w:r>
      <w:r w:rsidR="00342F9B">
        <w:rPr>
          <w:b/>
        </w:rPr>
        <w:t xml:space="preserve"> Performance of CMSY</w:t>
      </w:r>
      <w:r w:rsidR="00342F9B">
        <w:rPr>
          <w:b/>
        </w:rPr>
        <w:tab/>
      </w:r>
    </w:p>
    <w:p w14:paraId="6B2614C8" w14:textId="77158D94" w:rsidR="00342F9B" w:rsidRPr="00342F9B" w:rsidRDefault="00374AAB" w:rsidP="00342F9B">
      <w:pPr>
        <w:spacing w:after="120" w:line="480" w:lineRule="auto"/>
        <w:rPr>
          <w:b/>
        </w:rPr>
      </w:pPr>
      <w:r>
        <w:rPr>
          <w:b/>
        </w:rPr>
        <w:t>4.</w:t>
      </w:r>
      <w:r w:rsidR="00BD3096">
        <w:rPr>
          <w:b/>
        </w:rPr>
        <w:t>8</w:t>
      </w:r>
      <w:r w:rsidR="00342F9B" w:rsidRPr="00342F9B">
        <w:rPr>
          <w:b/>
        </w:rPr>
        <w:t xml:space="preserve"> Using CMSY for mana</w:t>
      </w:r>
      <w:r w:rsidR="00342F9B">
        <w:rPr>
          <w:b/>
        </w:rPr>
        <w:t>gement of data-limited stocks</w:t>
      </w:r>
      <w:r w:rsidR="00342F9B">
        <w:rPr>
          <w:b/>
        </w:rPr>
        <w:tab/>
      </w:r>
    </w:p>
    <w:p w14:paraId="2EF82196" w14:textId="5640A52C" w:rsidR="00342F9B" w:rsidRPr="00342F9B" w:rsidRDefault="00342F9B" w:rsidP="00342F9B">
      <w:pPr>
        <w:spacing w:after="120" w:line="480" w:lineRule="auto"/>
        <w:rPr>
          <w:b/>
        </w:rPr>
      </w:pPr>
      <w:r>
        <w:rPr>
          <w:b/>
        </w:rPr>
        <w:t>5 Conclusions</w:t>
      </w:r>
      <w:r>
        <w:rPr>
          <w:b/>
        </w:rPr>
        <w:tab/>
      </w:r>
    </w:p>
    <w:p w14:paraId="002D44BF" w14:textId="1439AC77" w:rsidR="00342F9B" w:rsidRPr="00342F9B" w:rsidRDefault="00342F9B" w:rsidP="00342F9B">
      <w:pPr>
        <w:spacing w:after="120" w:line="480" w:lineRule="auto"/>
        <w:rPr>
          <w:b/>
        </w:rPr>
      </w:pPr>
      <w:r w:rsidRPr="00342F9B">
        <w:rPr>
          <w:b/>
        </w:rPr>
        <w:t>6 Acknowle</w:t>
      </w:r>
      <w:r>
        <w:rPr>
          <w:b/>
        </w:rPr>
        <w:t>dgements</w:t>
      </w:r>
      <w:r>
        <w:rPr>
          <w:b/>
        </w:rPr>
        <w:tab/>
      </w:r>
    </w:p>
    <w:p w14:paraId="63B31147" w14:textId="55BB4C81" w:rsidR="00342F9B" w:rsidRPr="00342F9B" w:rsidRDefault="00BD3096" w:rsidP="00342F9B">
      <w:pPr>
        <w:spacing w:after="120" w:line="480" w:lineRule="auto"/>
        <w:rPr>
          <w:b/>
        </w:rPr>
      </w:pPr>
      <w:r>
        <w:rPr>
          <w:b/>
        </w:rPr>
        <w:t>7</w:t>
      </w:r>
      <w:r w:rsidR="00342F9B">
        <w:rPr>
          <w:b/>
        </w:rPr>
        <w:t xml:space="preserve"> References</w:t>
      </w:r>
      <w:r w:rsidR="00342F9B">
        <w:rPr>
          <w:b/>
        </w:rPr>
        <w:tab/>
      </w:r>
    </w:p>
    <w:p w14:paraId="2BABD645" w14:textId="5B544DFE" w:rsidR="00046275" w:rsidRPr="00060ED9" w:rsidRDefault="00046275"/>
    <w:p w14:paraId="7A47DC8C" w14:textId="77777777" w:rsidR="00C839EB" w:rsidRPr="00C839EB" w:rsidRDefault="00C839EB" w:rsidP="00DA3FFC">
      <w:pPr>
        <w:pStyle w:val="berschrift1"/>
      </w:pPr>
      <w:bookmarkStart w:id="1" w:name="_Toc410816077"/>
      <w:r w:rsidRPr="00C839EB">
        <w:lastRenderedPageBreak/>
        <w:t>1  Introduction</w:t>
      </w:r>
      <w:bookmarkEnd w:id="1"/>
    </w:p>
    <w:p w14:paraId="31E4D724" w14:textId="5ED205C0" w:rsidR="00AB51AA" w:rsidRDefault="00AB51AA" w:rsidP="004E4CDC">
      <w:pPr>
        <w:spacing w:after="120" w:line="480" w:lineRule="auto"/>
      </w:pPr>
      <w:r>
        <w:t>Most commercially exploited fish stocks in the world lack formal fisheries reference points (</w:t>
      </w:r>
      <w:r w:rsidR="007848F0">
        <w:t xml:space="preserve">Froese </w:t>
      </w:r>
      <w:r w:rsidR="007848F0" w:rsidRPr="00C50DAF">
        <w:rPr>
          <w:i/>
        </w:rPr>
        <w:t xml:space="preserve">et </w:t>
      </w:r>
      <w:r w:rsidR="00982302">
        <w:rPr>
          <w:i/>
        </w:rPr>
        <w:t xml:space="preserve">al. </w:t>
      </w:r>
      <w:r w:rsidR="007848F0">
        <w:t>2012</w:t>
      </w:r>
      <w:r w:rsidR="000F1990">
        <w:t xml:space="preserve">, Zhou </w:t>
      </w:r>
      <w:r w:rsidR="000F1990" w:rsidRPr="00C50DAF">
        <w:rPr>
          <w:i/>
        </w:rPr>
        <w:t xml:space="preserve">et </w:t>
      </w:r>
      <w:r w:rsidR="00982302">
        <w:rPr>
          <w:i/>
        </w:rPr>
        <w:t xml:space="preserve">al. </w:t>
      </w:r>
      <w:r w:rsidR="000F1990">
        <w:t>2012</w:t>
      </w:r>
      <w:r>
        <w:t xml:space="preserve">) and </w:t>
      </w:r>
      <w:r w:rsidR="000316FA">
        <w:t>thus</w:t>
      </w:r>
      <w:r w:rsidR="00100399">
        <w:t>,</w:t>
      </w:r>
      <w:r w:rsidR="000316FA">
        <w:t xml:space="preserve"> the degree of exploitation and the status of the stocks are </w:t>
      </w:r>
      <w:r w:rsidR="00C3754D">
        <w:t xml:space="preserve">largely </w:t>
      </w:r>
      <w:r w:rsidR="000316FA">
        <w:t>unknown. However, legislation in New Zealand (</w:t>
      </w:r>
      <w:r w:rsidR="003F739B" w:rsidRPr="003F739B">
        <w:t>MFNZ 2008</w:t>
      </w:r>
      <w:r w:rsidR="000316FA">
        <w:t>), Australia (</w:t>
      </w:r>
      <w:r w:rsidR="003F739B" w:rsidRPr="003F739B">
        <w:t>DAFF 2007</w:t>
      </w:r>
      <w:r w:rsidR="000316FA">
        <w:t xml:space="preserve">), </w:t>
      </w:r>
      <w:r w:rsidR="00330C36">
        <w:t xml:space="preserve">the U.S. </w:t>
      </w:r>
      <w:r w:rsidR="000316FA">
        <w:t>(</w:t>
      </w:r>
      <w:r w:rsidR="003F739B" w:rsidRPr="003F739B">
        <w:t>MSA 2007</w:t>
      </w:r>
      <w:r w:rsidR="000316FA">
        <w:t>)</w:t>
      </w:r>
      <w:r w:rsidR="00330C36">
        <w:t>,</w:t>
      </w:r>
      <w:r w:rsidR="000316FA">
        <w:t xml:space="preserve"> and recently also in the European Union (</w:t>
      </w:r>
      <w:r w:rsidR="003F739B" w:rsidRPr="003F739B">
        <w:t>CFP 2013</w:t>
      </w:r>
      <w:r w:rsidR="000316FA">
        <w:t>) require</w:t>
      </w:r>
      <w:r w:rsidR="00100399">
        <w:t>s</w:t>
      </w:r>
      <w:r>
        <w:t xml:space="preserve"> </w:t>
      </w:r>
      <w:r w:rsidR="000316FA">
        <w:t>management of all exploited stocks, including those with limited data. Several methods for the assessment of data-</w:t>
      </w:r>
      <w:r w:rsidR="00C86E41">
        <w:t>limited</w:t>
      </w:r>
      <w:r w:rsidR="000316FA">
        <w:t xml:space="preserve"> stocks have been </w:t>
      </w:r>
      <w:r w:rsidR="00347A2D">
        <w:t xml:space="preserve">developed </w:t>
      </w:r>
      <w:r w:rsidR="000316FA">
        <w:t>(</w:t>
      </w:r>
      <w:r w:rsidR="00832C1C">
        <w:t>e.g.</w:t>
      </w:r>
      <w:r w:rsidR="00347A2D">
        <w:t>,</w:t>
      </w:r>
      <w:r w:rsidR="00832C1C">
        <w:t xml:space="preserve"> </w:t>
      </w:r>
      <w:r w:rsidR="003F739B" w:rsidRPr="003F739B">
        <w:t>MacCall 2009; Cope and Punt 2009; Dick and MacCall 2011; Pun</w:t>
      </w:r>
      <w:r w:rsidR="003F739B">
        <w:t>t</w:t>
      </w:r>
      <w:r w:rsidR="003F739B" w:rsidRPr="003F739B">
        <w:t xml:space="preserve"> </w:t>
      </w:r>
      <w:r w:rsidR="003F739B" w:rsidRPr="00C50DAF">
        <w:rPr>
          <w:i/>
        </w:rPr>
        <w:t xml:space="preserve">et </w:t>
      </w:r>
      <w:r w:rsidR="00982302">
        <w:rPr>
          <w:i/>
        </w:rPr>
        <w:t xml:space="preserve">al., </w:t>
      </w:r>
      <w:r w:rsidR="003F739B" w:rsidRPr="003F739B">
        <w:t xml:space="preserve">2011; Thorson </w:t>
      </w:r>
      <w:r w:rsidR="003F739B" w:rsidRPr="00C50DAF">
        <w:rPr>
          <w:i/>
        </w:rPr>
        <w:t xml:space="preserve">et </w:t>
      </w:r>
      <w:r w:rsidR="00982302">
        <w:rPr>
          <w:i/>
        </w:rPr>
        <w:t xml:space="preserve">al., </w:t>
      </w:r>
      <w:r w:rsidR="003F739B" w:rsidRPr="003F739B">
        <w:t>2012</w:t>
      </w:r>
      <w:r w:rsidR="00977D57">
        <w:t xml:space="preserve">; </w:t>
      </w:r>
      <w:r w:rsidR="00977D57" w:rsidRPr="003F739B">
        <w:t xml:space="preserve">Carruthers </w:t>
      </w:r>
      <w:r w:rsidR="00977D57" w:rsidRPr="00C50DAF">
        <w:rPr>
          <w:i/>
        </w:rPr>
        <w:t xml:space="preserve">et </w:t>
      </w:r>
      <w:r w:rsidR="00982302">
        <w:rPr>
          <w:i/>
        </w:rPr>
        <w:t xml:space="preserve">al., </w:t>
      </w:r>
      <w:r w:rsidR="00977D57" w:rsidRPr="003F739B">
        <w:t>2014</w:t>
      </w:r>
      <w:r w:rsidR="000316FA">
        <w:t>) and recent review</w:t>
      </w:r>
      <w:r w:rsidR="003A6072">
        <w:t>s</w:t>
      </w:r>
      <w:r w:rsidR="000316FA">
        <w:t xml:space="preserve"> of these methods (</w:t>
      </w:r>
      <w:r w:rsidR="00E1480A">
        <w:t>ICES 2014</w:t>
      </w:r>
      <w:r w:rsidR="00AF3322">
        <w:t>;</w:t>
      </w:r>
      <w:r w:rsidR="00D55D5D">
        <w:t xml:space="preserve"> Rosenberg </w:t>
      </w:r>
      <w:r w:rsidR="00D55D5D" w:rsidRPr="00C50DAF">
        <w:rPr>
          <w:i/>
        </w:rPr>
        <w:t xml:space="preserve">et </w:t>
      </w:r>
      <w:r w:rsidR="00982302">
        <w:rPr>
          <w:i/>
        </w:rPr>
        <w:t xml:space="preserve">al. </w:t>
      </w:r>
      <w:r w:rsidR="00D55D5D">
        <w:t>2014</w:t>
      </w:r>
      <w:r w:rsidR="000316FA">
        <w:t xml:space="preserve">) </w:t>
      </w:r>
      <w:r w:rsidR="00347A2D">
        <w:t>have found</w:t>
      </w:r>
      <w:r w:rsidR="000316FA">
        <w:t xml:space="preserve"> the Catch-MSY method of Martell </w:t>
      </w:r>
      <w:r w:rsidR="00C50DAF">
        <w:t>and</w:t>
      </w:r>
      <w:r w:rsidR="000316FA">
        <w:t xml:space="preserve"> Froese (2013) </w:t>
      </w:r>
      <w:r w:rsidR="00347A2D">
        <w:t xml:space="preserve">to be </w:t>
      </w:r>
      <w:r w:rsidR="000316FA">
        <w:t>a promising approach. This study revisits th</w:t>
      </w:r>
      <w:r w:rsidR="00832C1C">
        <w:t>e Catch-MSY</w:t>
      </w:r>
      <w:r w:rsidR="000316FA">
        <w:t xml:space="preserve"> method, addresses its shortcomings,</w:t>
      </w:r>
      <w:r w:rsidR="00993E7B">
        <w:t xml:space="preserve"> namely the biased estimation of </w:t>
      </w:r>
      <w:r w:rsidR="00BD3096">
        <w:t xml:space="preserve">unexploited </w:t>
      </w:r>
      <w:r w:rsidR="00993E7B">
        <w:t xml:space="preserve">stock size and productivity, and adds estimation of biomass and exploitation rate. </w:t>
      </w:r>
      <w:r w:rsidR="00BD3096">
        <w:t>It also addresses a general shortcoming of production models, namely the overestimation of productivity at very low stock sizes</w:t>
      </w:r>
      <w:r w:rsidR="00804287">
        <w:t xml:space="preserve"> (Schnute and Richards 2002; ICES 2014)</w:t>
      </w:r>
      <w:r w:rsidR="00BD3096">
        <w:t xml:space="preserve">.  </w:t>
      </w:r>
      <w:r w:rsidR="00993E7B">
        <w:t>T</w:t>
      </w:r>
      <w:r w:rsidR="005E0269">
        <w:t xml:space="preserve">he predictions of </w:t>
      </w:r>
      <w:r w:rsidR="00993E7B">
        <w:t>the new</w:t>
      </w:r>
      <w:r w:rsidR="005E0269">
        <w:t xml:space="preserve"> </w:t>
      </w:r>
      <w:r w:rsidR="00804287">
        <w:t>method (CMSY)</w:t>
      </w:r>
      <w:r w:rsidR="005E0269">
        <w:t xml:space="preserve"> </w:t>
      </w:r>
      <w:r w:rsidR="00993E7B">
        <w:t xml:space="preserve">are </w:t>
      </w:r>
      <w:r w:rsidR="00804287">
        <w:t>validated</w:t>
      </w:r>
      <w:r w:rsidR="00993E7B">
        <w:t xml:space="preserve"> </w:t>
      </w:r>
      <w:r w:rsidR="005E0269">
        <w:t xml:space="preserve">against 48 simulated </w:t>
      </w:r>
      <w:r w:rsidR="00804287">
        <w:t xml:space="preserve">stocks </w:t>
      </w:r>
      <w:r w:rsidR="005E0269">
        <w:t xml:space="preserve">and </w:t>
      </w:r>
      <w:r w:rsidR="00804287">
        <w:t>evaluated against 159</w:t>
      </w:r>
      <w:r w:rsidR="005E0269">
        <w:t xml:space="preserve"> fully or partly assessed real stocks. </w:t>
      </w:r>
    </w:p>
    <w:p w14:paraId="239C1528" w14:textId="5DA7641B" w:rsidR="00C839EB" w:rsidRPr="00C839EB" w:rsidRDefault="00C839EB" w:rsidP="00804287">
      <w:pPr>
        <w:pStyle w:val="berschrift1"/>
        <w:spacing w:line="480" w:lineRule="auto"/>
      </w:pPr>
      <w:bookmarkStart w:id="2" w:name="_Toc410816078"/>
      <w:r w:rsidRPr="00C839EB">
        <w:t>2 Material and methods</w:t>
      </w:r>
      <w:bookmarkEnd w:id="2"/>
    </w:p>
    <w:p w14:paraId="3D4C2453" w14:textId="2FD54173" w:rsidR="001608C1" w:rsidRDefault="00EB269F" w:rsidP="00804287">
      <w:pPr>
        <w:spacing w:after="120" w:line="480" w:lineRule="auto"/>
      </w:pPr>
      <w:r>
        <w:t xml:space="preserve">All data files, the R-code of the methods and the figures, a Supplement with detailed presentation of the </w:t>
      </w:r>
      <w:r w:rsidR="00E25710">
        <w:t xml:space="preserve">methods, default rules for priors, and </w:t>
      </w:r>
      <w:r>
        <w:t xml:space="preserve">results for 48 simulated and 159 real stocks, and a short text on how to use CMSY are available online for download from </w:t>
      </w:r>
      <w:hyperlink r:id="rId14" w:history="1">
        <w:r w:rsidRPr="00EB269F">
          <w:rPr>
            <w:rStyle w:val="Hyperlink"/>
          </w:rPr>
          <w:t>http://oceanrep.geomar.de/33076/</w:t>
        </w:r>
      </w:hyperlink>
      <w:r>
        <w:t xml:space="preserve">. </w:t>
      </w:r>
      <w:r w:rsidR="001608C1">
        <w:t>For convenience, t</w:t>
      </w:r>
      <w:r w:rsidR="001608C1" w:rsidRPr="00D87E63">
        <w:t xml:space="preserve">he </w:t>
      </w:r>
      <w:r w:rsidR="001608C1">
        <w:t>acronyms and symbols used in this study are summarized in Table 1.</w:t>
      </w:r>
    </w:p>
    <w:p w14:paraId="1AAB17DA" w14:textId="43A6B931" w:rsidR="00804287" w:rsidRDefault="00804287" w:rsidP="00804287">
      <w:pPr>
        <w:spacing w:after="120" w:line="480" w:lineRule="auto"/>
      </w:pPr>
      <w:r>
        <w:t>[Table 1 near here]</w:t>
      </w:r>
    </w:p>
    <w:p w14:paraId="1AC9A651" w14:textId="51668D34" w:rsidR="00960B92" w:rsidRDefault="00D74BF1" w:rsidP="00804287">
      <w:pPr>
        <w:pStyle w:val="berschrift2"/>
        <w:spacing w:line="480" w:lineRule="auto"/>
      </w:pPr>
      <w:r>
        <w:t>2.1 General description of method</w:t>
      </w:r>
    </w:p>
    <w:p w14:paraId="33CBFC1C" w14:textId="2BB71E94" w:rsidR="00C11DCD" w:rsidRDefault="00C11DCD" w:rsidP="00804287">
      <w:pPr>
        <w:spacing w:after="120" w:line="480" w:lineRule="auto"/>
      </w:pPr>
      <w:r>
        <w:t xml:space="preserve">A time series of catches can be viewed as a sequence of yields produced by the available biomass with a given productivity. If two of the three variables, yield, biomass, and productivity, are known, then the </w:t>
      </w:r>
      <w:r>
        <w:lastRenderedPageBreak/>
        <w:t>third can be estimated. Typical production models, such as the one by Schaefer (1954), use time series of catch and</w:t>
      </w:r>
      <w:r w:rsidR="00D1108C">
        <w:t xml:space="preserve"> </w:t>
      </w:r>
      <w:r w:rsidR="009B275C">
        <w:t>abundance</w:t>
      </w:r>
      <w:r>
        <w:t xml:space="preserve"> to estimate productivity. </w:t>
      </w:r>
      <w:r w:rsidR="003867B5">
        <w:t>Instead, the CMSY m</w:t>
      </w:r>
      <w:r w:rsidR="00804287">
        <w:t>ethod</w:t>
      </w:r>
      <w:r w:rsidR="003867B5">
        <w:t xml:space="preserve"> presented in this study uses</w:t>
      </w:r>
      <w:r>
        <w:t xml:space="preserve"> catch and productivity to estimate biomass, providing </w:t>
      </w:r>
      <w:r w:rsidR="00993E7B">
        <w:t xml:space="preserve">substantial </w:t>
      </w:r>
      <w:r>
        <w:t xml:space="preserve">advancement on the </w:t>
      </w:r>
      <w:r w:rsidRPr="00FA0090">
        <w:t xml:space="preserve">Catch-MSY method of Martell </w:t>
      </w:r>
      <w:r>
        <w:t>and</w:t>
      </w:r>
      <w:r w:rsidRPr="00FA0090">
        <w:t xml:space="preserve"> Froese (2013)</w:t>
      </w:r>
      <w:r>
        <w:t>, which focuses on the estimation of maximum sustainable yield (</w:t>
      </w:r>
      <w:r w:rsidRPr="00C86E41">
        <w:rPr>
          <w:i/>
        </w:rPr>
        <w:t>MSY</w:t>
      </w:r>
      <w:r>
        <w:t xml:space="preserve">). </w:t>
      </w:r>
      <w:r w:rsidRPr="00FA0090">
        <w:t>CMSY</w:t>
      </w:r>
      <w:r>
        <w:t xml:space="preserve"> </w:t>
      </w:r>
      <w:r w:rsidRPr="00FA0090">
        <w:t>estimat</w:t>
      </w:r>
      <w:r>
        <w:t>es</w:t>
      </w:r>
      <w:r w:rsidRPr="00FA0090">
        <w:t xml:space="preserve"> </w:t>
      </w:r>
      <w:r w:rsidR="003867B5">
        <w:t xml:space="preserve">biomass, </w:t>
      </w:r>
      <w:r w:rsidR="009430A6">
        <w:t xml:space="preserve">exploitation rate, </w:t>
      </w:r>
      <w:r w:rsidRPr="00FA0090">
        <w:rPr>
          <w:i/>
        </w:rPr>
        <w:t>MSY</w:t>
      </w:r>
      <w:r w:rsidR="003867B5">
        <w:t>, and</w:t>
      </w:r>
      <w:r w:rsidRPr="00FA0090">
        <w:t xml:space="preserve"> related fisheries reference points from catch data</w:t>
      </w:r>
      <w:r>
        <w:t xml:space="preserve"> and resilience of the species</w:t>
      </w:r>
      <w:r w:rsidRPr="00FA0090">
        <w:t xml:space="preserve">. </w:t>
      </w:r>
      <w:r w:rsidR="009430A6">
        <w:t>Probable</w:t>
      </w:r>
      <w:r w:rsidRPr="00FA0090">
        <w:t xml:space="preserve"> ranges for the maximum intrinsic </w:t>
      </w:r>
      <w:r>
        <w:t>rate</w:t>
      </w:r>
      <w:r w:rsidRPr="00FA0090">
        <w:t xml:space="preserve"> of population increase (</w:t>
      </w:r>
      <w:r w:rsidRPr="00FA0090">
        <w:rPr>
          <w:i/>
        </w:rPr>
        <w:t>r</w:t>
      </w:r>
      <w:r w:rsidRPr="00FA0090">
        <w:t>) and for unexploited population size or carrying capacity (</w:t>
      </w:r>
      <w:r w:rsidRPr="00FA0090">
        <w:rPr>
          <w:i/>
        </w:rPr>
        <w:t>k</w:t>
      </w:r>
      <w:r w:rsidRPr="00FA0090">
        <w:t xml:space="preserve">) are filtered with a Monte Carlo approach to detect ‘viable’ </w:t>
      </w:r>
      <w:r w:rsidRPr="00FA0090">
        <w:rPr>
          <w:i/>
        </w:rPr>
        <w:t>r-k</w:t>
      </w:r>
      <w:r w:rsidRPr="00FA0090">
        <w:t xml:space="preserve"> pairs. A parameter pair is</w:t>
      </w:r>
      <w:r w:rsidR="00F1694B">
        <w:t xml:space="preserve"> considered</w:t>
      </w:r>
      <w:r w:rsidRPr="00FA0090">
        <w:t xml:space="preserve"> ‘viable’ if the corresponding biomass trajectories calculated with a </w:t>
      </w:r>
      <w:r w:rsidR="003867B5">
        <w:t>production</w:t>
      </w:r>
      <w:r w:rsidRPr="00FA0090">
        <w:t xml:space="preserve"> model are compatible with the obse</w:t>
      </w:r>
      <w:r>
        <w:t>rved catches in the sense that predicted biomass</w:t>
      </w:r>
      <w:r w:rsidRPr="00FA0090">
        <w:t xml:space="preserve"> do</w:t>
      </w:r>
      <w:r>
        <w:t>es</w:t>
      </w:r>
      <w:r w:rsidRPr="00FA0090">
        <w:t xml:space="preserve"> not </w:t>
      </w:r>
      <w:r>
        <w:t xml:space="preserve">become negative, and is </w:t>
      </w:r>
      <w:r w:rsidRPr="00FA0090">
        <w:t xml:space="preserve">compatible with prior estimates of relative biomass ranges for the beginning and the end of the respective time series. </w:t>
      </w:r>
      <w:r>
        <w:t>Under these conditions</w:t>
      </w:r>
      <w:r w:rsidRPr="00FA0090">
        <w:t xml:space="preserve">, a plot of viable </w:t>
      </w:r>
      <w:r w:rsidRPr="00FA0090">
        <w:rPr>
          <w:i/>
        </w:rPr>
        <w:t>r-k</w:t>
      </w:r>
      <w:r w:rsidRPr="00FA0090">
        <w:t xml:space="preserve"> pairs typically results in a triangular-shaped cloud in log-space</w:t>
      </w:r>
      <w:r w:rsidR="00804287">
        <w:t xml:space="preserve"> (</w:t>
      </w:r>
      <w:r w:rsidR="003867B5">
        <w:t>Figure 1</w:t>
      </w:r>
      <w:r>
        <w:t>)</w:t>
      </w:r>
      <w:r w:rsidRPr="00FA0090">
        <w:t>.</w:t>
      </w:r>
      <w:r>
        <w:t xml:space="preserve"> The Catch-MSY </w:t>
      </w:r>
      <w:r w:rsidR="00F41241">
        <w:t xml:space="preserve">algorithm </w:t>
      </w:r>
      <w:r>
        <w:t xml:space="preserve">(Martell and Froese 2013) </w:t>
      </w:r>
      <w:r w:rsidR="00F41241">
        <w:t xml:space="preserve">was designed to </w:t>
      </w:r>
      <w:r>
        <w:t xml:space="preserve">select the most probable </w:t>
      </w:r>
      <w:r>
        <w:rPr>
          <w:i/>
        </w:rPr>
        <w:t>r-k</w:t>
      </w:r>
      <w:r>
        <w:t xml:space="preserve"> pair as the geometric mean of this distribution. </w:t>
      </w:r>
      <w:r w:rsidRPr="00FA0090">
        <w:t xml:space="preserve">CMSY differs from the Catch-MSY method by searching </w:t>
      </w:r>
      <w:r>
        <w:t xml:space="preserve">for </w:t>
      </w:r>
      <w:r w:rsidRPr="00FA0090">
        <w:t xml:space="preserve">the most probable </w:t>
      </w:r>
      <w:r w:rsidRPr="00FA0090">
        <w:rPr>
          <w:i/>
        </w:rPr>
        <w:t>r</w:t>
      </w:r>
      <w:r w:rsidRPr="00FA0090">
        <w:t xml:space="preserve"> not in the center but rather in the tip-region of the triangle</w:t>
      </w:r>
      <w:r w:rsidR="00F41241">
        <w:t xml:space="preserve">. </w:t>
      </w:r>
      <w:r w:rsidRPr="00FA0090">
        <w:t xml:space="preserve"> </w:t>
      </w:r>
      <w:r w:rsidR="00F41241">
        <w:t>This is based on the underlying principle that</w:t>
      </w:r>
      <w:r w:rsidR="00D75BCF">
        <w:t xml:space="preserve"> defines</w:t>
      </w:r>
      <w:r w:rsidR="00F41241" w:rsidRPr="00FA0090">
        <w:t xml:space="preserve"> </w:t>
      </w:r>
      <w:r w:rsidRPr="00364D72">
        <w:rPr>
          <w:i/>
        </w:rPr>
        <w:t>r</w:t>
      </w:r>
      <w:r>
        <w:t xml:space="preserve"> </w:t>
      </w:r>
      <w:r w:rsidR="00D75BCF">
        <w:t>as</w:t>
      </w:r>
      <w:r>
        <w:t xml:space="preserve"> the maximum rate of increase for the examined population, which should be found among the highest viable </w:t>
      </w:r>
      <w:r w:rsidRPr="00364D72">
        <w:rPr>
          <w:i/>
        </w:rPr>
        <w:t>r</w:t>
      </w:r>
      <w:r>
        <w:t xml:space="preserve"> values.</w:t>
      </w:r>
      <w:r w:rsidR="00993E7B">
        <w:t xml:space="preserve"> In other words, a given time series of catches c</w:t>
      </w:r>
      <w:r w:rsidR="00D75BCF">
        <w:t>ould</w:t>
      </w:r>
      <w:r w:rsidR="00993E7B">
        <w:t xml:space="preserve"> be explained by a wide range of large stock sizes and low productivity, or by a narrow range of small stock sizes and high productivity, such as in the tip of the triangle (</w:t>
      </w:r>
      <w:r w:rsidR="00993E7B">
        <w:fldChar w:fldCharType="begin"/>
      </w:r>
      <w:r w:rsidR="00993E7B">
        <w:instrText xml:space="preserve"> REF _Ref428274605 \h </w:instrText>
      </w:r>
      <w:r w:rsidR="00993E7B">
        <w:fldChar w:fldCharType="separate"/>
      </w:r>
      <w:r w:rsidR="00B806B6">
        <w:t xml:space="preserve">Figure </w:t>
      </w:r>
      <w:r w:rsidR="00B806B6">
        <w:rPr>
          <w:noProof/>
        </w:rPr>
        <w:t>1</w:t>
      </w:r>
      <w:r w:rsidR="00993E7B">
        <w:fldChar w:fldCharType="end"/>
      </w:r>
      <w:r w:rsidR="00993E7B">
        <w:t xml:space="preserve">). Since </w:t>
      </w:r>
      <w:r w:rsidR="00993E7B" w:rsidRPr="00993E7B">
        <w:rPr>
          <w:i/>
        </w:rPr>
        <w:t>r</w:t>
      </w:r>
      <w:r w:rsidR="00993E7B">
        <w:t xml:space="preserve"> is defined as maximum net productivity </w:t>
      </w:r>
      <w:r w:rsidR="00FA46F5">
        <w:t>(Schaefer 1954;</w:t>
      </w:r>
      <w:r w:rsidR="005B17B6">
        <w:t xml:space="preserve"> Ricker 1975), th</w:t>
      </w:r>
      <w:r w:rsidR="007E3519">
        <w:t>e tip of the triangle is</w:t>
      </w:r>
      <w:r w:rsidR="005B17B6">
        <w:t xml:space="preserve"> where it should be found.</w:t>
      </w:r>
      <w:r w:rsidR="00993E7B">
        <w:t xml:space="preserve"> </w:t>
      </w:r>
      <w:r w:rsidRPr="00FA0090">
        <w:t xml:space="preserve"> </w:t>
      </w:r>
    </w:p>
    <w:p w14:paraId="64566903" w14:textId="0349B5F6" w:rsidR="00226FC4" w:rsidRDefault="00226FC4" w:rsidP="00C11DCD">
      <w:pPr>
        <w:spacing w:after="120" w:line="480" w:lineRule="auto"/>
      </w:pPr>
      <w:r>
        <w:t>[Figure 1 near here]</w:t>
      </w:r>
    </w:p>
    <w:p w14:paraId="32E5B413" w14:textId="48BF7500" w:rsidR="007D2912" w:rsidRDefault="00C11DCD" w:rsidP="00C11DCD">
      <w:pPr>
        <w:spacing w:after="120" w:line="480" w:lineRule="auto"/>
      </w:pPr>
      <w:r>
        <w:t xml:space="preserve">For verification, the predictions of the CMSY method are compared against simulated data where the </w:t>
      </w:r>
      <w:r w:rsidR="00804287">
        <w:t>“</w:t>
      </w:r>
      <w:r>
        <w:t>true</w:t>
      </w:r>
      <w:r w:rsidR="00804287">
        <w:t>” values of parameters and biomass data</w:t>
      </w:r>
      <w:r>
        <w:t xml:space="preserve"> are known. For evaluation against real world fisheries, the predictions of the CMSY method are compared against corresponding </w:t>
      </w:r>
      <w:r w:rsidR="00804287">
        <w:t xml:space="preserve">parameters and abundance </w:t>
      </w:r>
      <w:r w:rsidR="00804287">
        <w:lastRenderedPageBreak/>
        <w:t>estimates</w:t>
      </w:r>
      <w:r>
        <w:t xml:space="preserve"> derived from fully or partly assessed stocks, where biomass or catch-per-unit-effort (CPUE)</w:t>
      </w:r>
      <w:r w:rsidR="00D75BCF">
        <w:t xml:space="preserve"> </w:t>
      </w:r>
      <w:r>
        <w:t>data are available in addition to catch data. For this purpose</w:t>
      </w:r>
      <w:r w:rsidRPr="00FA0090">
        <w:t xml:space="preserve">, a Bayesian </w:t>
      </w:r>
      <w:r>
        <w:t xml:space="preserve">state-space </w:t>
      </w:r>
      <w:r w:rsidRPr="00FA0090">
        <w:t>implementation of the Schaefer model</w:t>
      </w:r>
      <w:r>
        <w:t xml:space="preserve"> (BSM) is developed</w:t>
      </w:r>
      <w:r w:rsidRPr="00FA0090">
        <w:t xml:space="preserve">, where </w:t>
      </w:r>
      <w:r w:rsidRPr="00FA0090">
        <w:rPr>
          <w:i/>
        </w:rPr>
        <w:t>r,</w:t>
      </w:r>
      <w:r w:rsidRPr="00FA0090">
        <w:t xml:space="preserve"> </w:t>
      </w:r>
      <w:r w:rsidRPr="00FA0090">
        <w:rPr>
          <w:i/>
        </w:rPr>
        <w:t>k</w:t>
      </w:r>
      <w:r w:rsidRPr="00FA0090">
        <w:t xml:space="preserve"> and </w:t>
      </w:r>
      <w:r w:rsidRPr="00FA0090">
        <w:rPr>
          <w:i/>
        </w:rPr>
        <w:t>MSY</w:t>
      </w:r>
      <w:r w:rsidRPr="00FA0090">
        <w:t xml:space="preserve"> are predic</w:t>
      </w:r>
      <w:r>
        <w:t xml:space="preserve">ted from catch and </w:t>
      </w:r>
      <w:r w:rsidR="00ED7849">
        <w:t>abundance</w:t>
      </w:r>
      <w:r>
        <w:t xml:space="preserve"> data</w:t>
      </w:r>
      <w:r w:rsidR="00BE5799">
        <w:t xml:space="preserve">. The basics biomass dynamics are governed by </w:t>
      </w:r>
      <w:r w:rsidR="007D2912">
        <w:t>Equation 1</w:t>
      </w:r>
      <w:r w:rsidR="00D75BCF">
        <w:t>:</w:t>
      </w:r>
    </w:p>
    <w:p w14:paraId="1F024A31" w14:textId="1A7BE64E" w:rsidR="007D2912" w:rsidRDefault="004375DE" w:rsidP="007D2912">
      <w:pPr>
        <w:spacing w:after="120" w:line="480" w:lineRule="auto"/>
        <w:rPr>
          <w:rFonts w:eastAsiaTheme="minorEastAsia"/>
        </w:rPr>
      </w:pPr>
      <m:oMath>
        <m:sSub>
          <m:sSubPr>
            <m:ctrlPr>
              <w:rPr>
                <w:rFonts w:ascii="Cambria Math" w:hAnsi="Cambria Math"/>
                <w:i/>
              </w:rPr>
            </m:ctrlPr>
          </m:sSubPr>
          <m:e>
            <m:r>
              <w:rPr>
                <w:rFonts w:ascii="Cambria Math" w:hAnsi="Cambria Math"/>
              </w:rPr>
              <m:t>B</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t</m:t>
            </m:r>
          </m:sub>
        </m:sSub>
        <m:r>
          <w:rPr>
            <w:rFonts w:ascii="Cambria Math" w:hAnsi="Cambria Math"/>
          </w:rPr>
          <m:t>+r</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t</m:t>
                    </m:r>
                  </m:sub>
                </m:sSub>
              </m:num>
              <m:den>
                <m:r>
                  <w:rPr>
                    <w:rFonts w:ascii="Cambria Math" w:hAnsi="Cambria Math"/>
                  </w:rPr>
                  <m:t>k</m:t>
                </m:r>
              </m:den>
            </m:f>
          </m:e>
        </m:d>
        <m:sSub>
          <m:sSubPr>
            <m:ctrlPr>
              <w:rPr>
                <w:rFonts w:ascii="Cambria Math" w:hAnsi="Cambria Math"/>
                <w:i/>
              </w:rPr>
            </m:ctrlPr>
          </m:sSubPr>
          <m:e>
            <m:r>
              <w:rPr>
                <w:rFonts w:ascii="Cambria Math" w:hAnsi="Cambria Math"/>
              </w:rPr>
              <m:t>B</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 xml:space="preserve"> </m:t>
        </m:r>
      </m:oMath>
      <w:r w:rsidR="007D2912">
        <w:rPr>
          <w:rFonts w:eastAsiaTheme="minorEastAsia"/>
        </w:rPr>
        <w:tab/>
      </w:r>
      <w:r w:rsidR="007D2912">
        <w:rPr>
          <w:rFonts w:eastAsiaTheme="minorEastAsia"/>
        </w:rPr>
        <w:tab/>
      </w:r>
      <w:r w:rsidR="007D2912">
        <w:rPr>
          <w:rFonts w:eastAsiaTheme="minorEastAsia"/>
        </w:rPr>
        <w:tab/>
      </w:r>
      <w:r w:rsidR="007D2912">
        <w:rPr>
          <w:rFonts w:eastAsiaTheme="minorEastAsia"/>
        </w:rPr>
        <w:tab/>
      </w:r>
      <w:r w:rsidR="007D2912">
        <w:rPr>
          <w:rFonts w:eastAsiaTheme="minorEastAsia"/>
        </w:rPr>
        <w:tab/>
      </w:r>
      <w:r w:rsidR="007D2912">
        <w:rPr>
          <w:rFonts w:eastAsiaTheme="minorEastAsia"/>
        </w:rPr>
        <w:tab/>
      </w:r>
      <w:r w:rsidR="007D2912">
        <w:rPr>
          <w:rFonts w:eastAsiaTheme="minorEastAsia"/>
        </w:rPr>
        <w:tab/>
        <w:t>(1)</w:t>
      </w:r>
    </w:p>
    <w:p w14:paraId="33938428" w14:textId="532416D8" w:rsidR="00C11DCD" w:rsidRDefault="007D2912" w:rsidP="007D2912">
      <w:pPr>
        <w:spacing w:after="120" w:line="480" w:lineRule="auto"/>
      </w:pPr>
      <w:r w:rsidRPr="005573CD">
        <w:rPr>
          <w:bCs/>
        </w:rPr>
        <w:t xml:space="preserve">where </w:t>
      </w:r>
      <w:r w:rsidRPr="005573CD">
        <w:rPr>
          <w:bCs/>
          <w:i/>
        </w:rPr>
        <w:t>B</w:t>
      </w:r>
      <w:r w:rsidRPr="005573CD">
        <w:rPr>
          <w:bCs/>
          <w:i/>
          <w:vertAlign w:val="subscript"/>
        </w:rPr>
        <w:t>t</w:t>
      </w:r>
      <w:r w:rsidR="00425FEE">
        <w:rPr>
          <w:bCs/>
          <w:i/>
          <w:vertAlign w:val="subscript"/>
        </w:rPr>
        <w:t>+1</w:t>
      </w:r>
      <w:r w:rsidRPr="005573CD">
        <w:rPr>
          <w:bCs/>
        </w:rPr>
        <w:t xml:space="preserve"> is the exploited biomass in </w:t>
      </w:r>
      <w:r w:rsidR="00425FEE">
        <w:rPr>
          <w:bCs/>
        </w:rPr>
        <w:t xml:space="preserve">the subsequent </w:t>
      </w:r>
      <w:r w:rsidRPr="005573CD">
        <w:rPr>
          <w:bCs/>
        </w:rPr>
        <w:t xml:space="preserve">year </w:t>
      </w:r>
      <w:r w:rsidRPr="005573CD">
        <w:rPr>
          <w:bCs/>
          <w:i/>
        </w:rPr>
        <w:t>t</w:t>
      </w:r>
      <w:r w:rsidR="00425FEE">
        <w:rPr>
          <w:bCs/>
          <w:i/>
        </w:rPr>
        <w:t>+1</w:t>
      </w:r>
      <w:r w:rsidRPr="005573CD">
        <w:rPr>
          <w:bCs/>
        </w:rPr>
        <w:t xml:space="preserve">, </w:t>
      </w:r>
      <w:r w:rsidRPr="005573CD">
        <w:rPr>
          <w:bCs/>
          <w:i/>
        </w:rPr>
        <w:t>B</w:t>
      </w:r>
      <w:r w:rsidRPr="005573CD">
        <w:rPr>
          <w:bCs/>
          <w:i/>
          <w:vertAlign w:val="subscript"/>
        </w:rPr>
        <w:t>t</w:t>
      </w:r>
      <w:r w:rsidRPr="005573CD">
        <w:rPr>
          <w:bCs/>
        </w:rPr>
        <w:t xml:space="preserve"> is the </w:t>
      </w:r>
      <w:r w:rsidR="00425FEE">
        <w:rPr>
          <w:bCs/>
        </w:rPr>
        <w:t xml:space="preserve">current </w:t>
      </w:r>
      <w:r w:rsidRPr="005573CD">
        <w:rPr>
          <w:bCs/>
        </w:rPr>
        <w:t xml:space="preserve">biomass, </w:t>
      </w:r>
      <w:r w:rsidR="00775DB4">
        <w:rPr>
          <w:bCs/>
        </w:rPr>
        <w:t xml:space="preserve">and </w:t>
      </w:r>
      <w:r w:rsidRPr="005573CD">
        <w:rPr>
          <w:bCs/>
          <w:i/>
        </w:rPr>
        <w:t>C</w:t>
      </w:r>
      <w:r w:rsidRPr="005573CD">
        <w:rPr>
          <w:bCs/>
          <w:i/>
          <w:vertAlign w:val="subscript"/>
        </w:rPr>
        <w:t>t</w:t>
      </w:r>
      <w:r w:rsidRPr="005573CD">
        <w:rPr>
          <w:bCs/>
        </w:rPr>
        <w:t xml:space="preserve"> is the catch in year </w:t>
      </w:r>
      <w:r w:rsidRPr="005573CD">
        <w:rPr>
          <w:bCs/>
          <w:i/>
        </w:rPr>
        <w:t>t</w:t>
      </w:r>
      <w:r w:rsidRPr="005573CD">
        <w:rPr>
          <w:bCs/>
        </w:rPr>
        <w:t>.</w:t>
      </w:r>
      <w:r>
        <w:rPr>
          <w:bCs/>
        </w:rPr>
        <w:t xml:space="preserve"> </w:t>
      </w:r>
    </w:p>
    <w:p w14:paraId="7E176DD8" w14:textId="4E1A0209" w:rsidR="00072BA9" w:rsidRDefault="00072BA9" w:rsidP="00C11DCD">
      <w:pPr>
        <w:spacing w:after="120" w:line="480" w:lineRule="auto"/>
      </w:pPr>
      <w:r>
        <w:t xml:space="preserve">To account for </w:t>
      </w:r>
      <w:r w:rsidR="00804287">
        <w:t xml:space="preserve">depensation or </w:t>
      </w:r>
      <w:r>
        <w:t>reduced recruitment at severely depleted stock sizes, such as predicted by all common stock-recruitment functions (</w:t>
      </w:r>
      <w:r w:rsidRPr="00681E4E">
        <w:t>B</w:t>
      </w:r>
      <w:r w:rsidR="00681E4E" w:rsidRPr="00681E4E">
        <w:t xml:space="preserve">everton and </w:t>
      </w:r>
      <w:r w:rsidRPr="00681E4E">
        <w:t>H</w:t>
      </w:r>
      <w:r w:rsidR="00681E4E" w:rsidRPr="00681E4E">
        <w:t>olt</w:t>
      </w:r>
      <w:r w:rsidRPr="00681E4E">
        <w:t xml:space="preserve"> 1957</w:t>
      </w:r>
      <w:r w:rsidR="00681E4E" w:rsidRPr="00681E4E">
        <w:t>;</w:t>
      </w:r>
      <w:r w:rsidRPr="00681E4E">
        <w:t xml:space="preserve"> Ricker</w:t>
      </w:r>
      <w:r w:rsidR="00681E4E" w:rsidRPr="00681E4E">
        <w:t xml:space="preserve"> 1975;</w:t>
      </w:r>
      <w:r w:rsidRPr="00681E4E">
        <w:t xml:space="preserve"> </w:t>
      </w:r>
      <w:r w:rsidR="00681E4E">
        <w:t>Barrowman and Myers 2000</w:t>
      </w:r>
      <w:r>
        <w:t xml:space="preserve">), a </w:t>
      </w:r>
      <w:r w:rsidR="003D7C4F">
        <w:t xml:space="preserve">linear </w:t>
      </w:r>
      <w:r>
        <w:t>decline of surplus production, which is a function of recruitment, somatic growth and natural mortality</w:t>
      </w:r>
      <w:r w:rsidR="00DE08BA">
        <w:t xml:space="preserve"> (</w:t>
      </w:r>
      <w:r w:rsidR="00DE08BA" w:rsidRPr="00681E4E">
        <w:t>Schnute and Richards 2002</w:t>
      </w:r>
      <w:r w:rsidR="00DE08BA">
        <w:t>)</w:t>
      </w:r>
      <w:r>
        <w:t>, is incorporated</w:t>
      </w:r>
      <w:r w:rsidR="003D7C4F">
        <w:t xml:space="preserve"> if biomass falls below ¼ </w:t>
      </w:r>
      <w:r w:rsidR="003D7C4F" w:rsidRPr="003D7C4F">
        <w:rPr>
          <w:i/>
        </w:rPr>
        <w:t>k</w:t>
      </w:r>
      <w:r>
        <w:t xml:space="preserve"> </w:t>
      </w:r>
      <w:r w:rsidR="00804287">
        <w:t>(</w:t>
      </w:r>
      <w:r>
        <w:t>Equation 2</w:t>
      </w:r>
      <w:r w:rsidR="00804287">
        <w:t>)</w:t>
      </w:r>
      <w:r>
        <w:t>.</w:t>
      </w:r>
    </w:p>
    <w:p w14:paraId="33B51E99" w14:textId="6FF7AF45" w:rsidR="00072BA9" w:rsidRPr="00425FEE" w:rsidRDefault="004375DE" w:rsidP="00C11DCD">
      <w:pPr>
        <w:spacing w:after="120" w:line="480" w:lineRule="auto"/>
      </w:pPr>
      <m:oMath>
        <m:sSub>
          <m:sSubPr>
            <m:ctrlPr>
              <w:rPr>
                <w:rFonts w:ascii="Cambria Math" w:hAnsi="Cambria Math"/>
                <w:i/>
              </w:rPr>
            </m:ctrlPr>
          </m:sSubPr>
          <m:e>
            <m:r>
              <w:rPr>
                <w:rFonts w:ascii="Cambria Math" w:hAnsi="Cambria Math"/>
              </w:rPr>
              <m:t>B</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t</m:t>
            </m:r>
          </m:sub>
        </m:sSub>
        <m:r>
          <w:rPr>
            <w:rFonts w:ascii="Cambria Math" w:hAnsi="Cambria Math"/>
          </w:rPr>
          <m:t>+4</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t</m:t>
                </m:r>
              </m:sub>
            </m:sSub>
          </m:num>
          <m:den>
            <m:r>
              <w:rPr>
                <w:rFonts w:ascii="Cambria Math" w:hAnsi="Cambria Math"/>
              </w:rPr>
              <m:t>k</m:t>
            </m:r>
          </m:den>
        </m:f>
        <m:r>
          <w:rPr>
            <w:rFonts w:ascii="Cambria Math" w:hAnsi="Cambria Math"/>
          </w:rPr>
          <m:t>r</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t</m:t>
                    </m:r>
                  </m:sub>
                </m:sSub>
              </m:num>
              <m:den>
                <m:r>
                  <w:rPr>
                    <w:rFonts w:ascii="Cambria Math" w:hAnsi="Cambria Math"/>
                  </w:rPr>
                  <m:t>k</m:t>
                </m:r>
              </m:den>
            </m:f>
          </m:e>
        </m:d>
        <m:sSub>
          <m:sSubPr>
            <m:ctrlPr>
              <w:rPr>
                <w:rFonts w:ascii="Cambria Math" w:hAnsi="Cambria Math"/>
                <w:i/>
              </w:rPr>
            </m:ctrlPr>
          </m:sSubPr>
          <m:e>
            <m:r>
              <w:rPr>
                <w:rFonts w:ascii="Cambria Math" w:hAnsi="Cambria Math"/>
              </w:rPr>
              <m:t>B</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t</m:t>
                </m:r>
              </m:sub>
            </m:sSub>
          </m:num>
          <m:den>
            <m:r>
              <w:rPr>
                <w:rFonts w:ascii="Cambria Math" w:hAnsi="Cambria Math"/>
              </w:rPr>
              <m:t>k</m:t>
            </m:r>
          </m:den>
        </m:f>
        <m:r>
          <w:rPr>
            <w:rFonts w:ascii="Cambria Math" w:hAnsi="Cambria Math"/>
          </w:rPr>
          <m:t xml:space="preserve">&lt;0.25 </m:t>
        </m:r>
      </m:oMath>
      <w:r w:rsidR="0007308D">
        <w:rPr>
          <w:rFonts w:eastAsiaTheme="minorEastAsia"/>
        </w:rPr>
        <w:tab/>
      </w:r>
      <w:r w:rsidR="0007308D">
        <w:rPr>
          <w:rFonts w:eastAsiaTheme="minorEastAsia"/>
        </w:rPr>
        <w:tab/>
      </w:r>
      <w:r w:rsidR="0007308D">
        <w:rPr>
          <w:rFonts w:eastAsiaTheme="minorEastAsia"/>
        </w:rPr>
        <w:tab/>
      </w:r>
      <w:r w:rsidR="0007308D">
        <w:rPr>
          <w:rFonts w:eastAsiaTheme="minorEastAsia"/>
        </w:rPr>
        <w:tab/>
        <w:t>(2)</w:t>
      </w:r>
    </w:p>
    <w:p w14:paraId="10BAEA39" w14:textId="4421310A" w:rsidR="00F43BDC" w:rsidRDefault="00F43BDC" w:rsidP="00C11DCD">
      <w:pPr>
        <w:spacing w:after="120" w:line="480" w:lineRule="auto"/>
      </w:pPr>
      <w:r>
        <w:t xml:space="preserve">The term 4 </w:t>
      </w:r>
      <w:r w:rsidRPr="00F43BDC">
        <w:rPr>
          <w:i/>
        </w:rPr>
        <w:t>B</w:t>
      </w:r>
      <w:r w:rsidRPr="00F43BDC">
        <w:rPr>
          <w:i/>
          <w:vertAlign w:val="subscript"/>
        </w:rPr>
        <w:t>t</w:t>
      </w:r>
      <w:r>
        <w:t>/</w:t>
      </w:r>
      <w:r w:rsidRPr="00F43BDC">
        <w:rPr>
          <w:i/>
        </w:rPr>
        <w:t>k</w:t>
      </w:r>
      <w:r w:rsidRPr="00F43BDC">
        <w:t xml:space="preserve"> </w:t>
      </w:r>
      <w:r>
        <w:t xml:space="preserve">assumes a linear decline of recruitment below </w:t>
      </w:r>
      <w:r w:rsidR="003569AD">
        <w:t xml:space="preserve">half of the biomass that is capable of producing </w:t>
      </w:r>
      <w:r w:rsidR="003569AD" w:rsidRPr="003569AD">
        <w:rPr>
          <w:i/>
        </w:rPr>
        <w:t>MSY</w:t>
      </w:r>
      <w:r>
        <w:t xml:space="preserve">. </w:t>
      </w:r>
      <w:r w:rsidRPr="00F43BDC">
        <w:t xml:space="preserve"> </w:t>
      </w:r>
    </w:p>
    <w:p w14:paraId="70620FA9" w14:textId="1799F0DC" w:rsidR="00F86053" w:rsidRDefault="00B342FF" w:rsidP="00C11DCD">
      <w:pPr>
        <w:spacing w:after="120" w:line="480" w:lineRule="auto"/>
      </w:pPr>
      <w:r>
        <w:t xml:space="preserve">The BSM was implemented as </w:t>
      </w:r>
      <w:r w:rsidR="00B9698C">
        <w:t>a</w:t>
      </w:r>
      <w:r>
        <w:t xml:space="preserve"> Bayesian state-space</w:t>
      </w:r>
      <w:r w:rsidR="00F86053">
        <w:t xml:space="preserve"> estimation model</w:t>
      </w:r>
      <w:r w:rsidR="009430A6">
        <w:t xml:space="preserve"> </w:t>
      </w:r>
      <w:r>
        <w:t>(Meyer and Millar 1999; Millar and Meyer 1999)</w:t>
      </w:r>
      <w:r w:rsidR="00D1108C">
        <w:t>, which allowed accounting for  variability in both population dynamics (process error) and measurement and sampling (</w:t>
      </w:r>
      <w:r>
        <w:t>observation error</w:t>
      </w:r>
      <w:r w:rsidR="00D1108C">
        <w:t xml:space="preserve">) (Thorson </w:t>
      </w:r>
      <w:r w:rsidR="00D1108C" w:rsidRPr="00775DB4">
        <w:rPr>
          <w:i/>
        </w:rPr>
        <w:t>et al.</w:t>
      </w:r>
      <w:r w:rsidR="00D1108C">
        <w:t xml:space="preserve"> 2014)</w:t>
      </w:r>
      <w:r>
        <w:t xml:space="preserve">  </w:t>
      </w:r>
    </w:p>
    <w:p w14:paraId="3D41BF09" w14:textId="499C0A1F" w:rsidR="00C11DCD" w:rsidRDefault="00C11DCD" w:rsidP="00C11DCD">
      <w:pPr>
        <w:spacing w:after="120" w:line="480" w:lineRule="auto"/>
      </w:pPr>
      <w:r>
        <w:t xml:space="preserve">The parameters estimated by CMSY and BSM relate to standard fisheries reference points such that </w:t>
      </w:r>
      <w:r w:rsidRPr="006C4386">
        <w:rPr>
          <w:i/>
        </w:rPr>
        <w:t>MSY</w:t>
      </w:r>
      <w:r>
        <w:t xml:space="preserve"> = </w:t>
      </w:r>
      <w:r w:rsidRPr="00541A69">
        <w:rPr>
          <w:i/>
        </w:rPr>
        <w:t>r</w:t>
      </w:r>
      <w:r>
        <w:t xml:space="preserve"> </w:t>
      </w:r>
      <w:r w:rsidRPr="00541A69">
        <w:rPr>
          <w:i/>
        </w:rPr>
        <w:t>k</w:t>
      </w:r>
      <w:r>
        <w:t xml:space="preserve"> / 4, the fishing mortality corresponding to </w:t>
      </w:r>
      <w:r w:rsidRPr="00541A69">
        <w:rPr>
          <w:i/>
        </w:rPr>
        <w:t>MSY</w:t>
      </w:r>
      <w:r>
        <w:t xml:space="preserve"> is </w:t>
      </w:r>
      <w:r w:rsidRPr="00B96382">
        <w:rPr>
          <w:i/>
        </w:rPr>
        <w:t>F</w:t>
      </w:r>
      <w:r w:rsidRPr="00B96382">
        <w:rPr>
          <w:i/>
          <w:vertAlign w:val="subscript"/>
        </w:rPr>
        <w:t>msy</w:t>
      </w:r>
      <w:r>
        <w:t xml:space="preserve"> = 0.5 </w:t>
      </w:r>
      <w:r w:rsidRPr="00B96382">
        <w:rPr>
          <w:i/>
        </w:rPr>
        <w:t>r</w:t>
      </w:r>
      <w:r>
        <w:t xml:space="preserve">, the biomass corresponding to </w:t>
      </w:r>
      <w:r w:rsidRPr="00541A69">
        <w:rPr>
          <w:i/>
        </w:rPr>
        <w:t>MSY</w:t>
      </w:r>
      <w:r>
        <w:t xml:space="preserve"> is </w:t>
      </w:r>
      <w:r w:rsidRPr="00541A69">
        <w:rPr>
          <w:i/>
        </w:rPr>
        <w:t>B</w:t>
      </w:r>
      <w:r w:rsidRPr="00541A69">
        <w:rPr>
          <w:i/>
          <w:vertAlign w:val="subscript"/>
        </w:rPr>
        <w:t>msy</w:t>
      </w:r>
      <w:r>
        <w:t xml:space="preserve"> = 0.5 </w:t>
      </w:r>
      <w:r w:rsidRPr="00541A69">
        <w:rPr>
          <w:i/>
        </w:rPr>
        <w:t>k</w:t>
      </w:r>
      <w:r>
        <w:t xml:space="preserve"> (Schafer 1954; Ricker 1975), and the biomass below which recruitment may be compromised is half of </w:t>
      </w:r>
      <w:r w:rsidRPr="00541A69">
        <w:rPr>
          <w:i/>
        </w:rPr>
        <w:t>B</w:t>
      </w:r>
      <w:r w:rsidRPr="00541A69">
        <w:rPr>
          <w:i/>
          <w:vertAlign w:val="subscript"/>
        </w:rPr>
        <w:t>msy</w:t>
      </w:r>
      <w:r>
        <w:t xml:space="preserve"> (</w:t>
      </w:r>
      <w:r w:rsidR="00D1108C">
        <w:t xml:space="preserve">Carruthers </w:t>
      </w:r>
      <w:r w:rsidR="00D1108C" w:rsidRPr="00775DB4">
        <w:rPr>
          <w:i/>
        </w:rPr>
        <w:t>et</w:t>
      </w:r>
      <w:r w:rsidR="00D1108C">
        <w:t xml:space="preserve"> </w:t>
      </w:r>
      <w:r w:rsidR="00D1108C" w:rsidRPr="00D1108C">
        <w:rPr>
          <w:i/>
        </w:rPr>
        <w:t>al</w:t>
      </w:r>
      <w:r w:rsidR="00D1108C">
        <w:t xml:space="preserve">. 2014; </w:t>
      </w:r>
      <w:r>
        <w:t xml:space="preserve">Froese </w:t>
      </w:r>
      <w:r w:rsidRPr="00C50DAF">
        <w:rPr>
          <w:i/>
        </w:rPr>
        <w:t xml:space="preserve">et </w:t>
      </w:r>
      <w:r>
        <w:rPr>
          <w:i/>
        </w:rPr>
        <w:t xml:space="preserve">al. </w:t>
      </w:r>
      <w:r>
        <w:t xml:space="preserve">2015; Haddon </w:t>
      </w:r>
      <w:r w:rsidRPr="00C50DAF">
        <w:rPr>
          <w:i/>
        </w:rPr>
        <w:t xml:space="preserve">et </w:t>
      </w:r>
      <w:r>
        <w:rPr>
          <w:i/>
        </w:rPr>
        <w:t xml:space="preserve">al. </w:t>
      </w:r>
      <w:r>
        <w:t xml:space="preserve">2012).   </w:t>
      </w:r>
    </w:p>
    <w:p w14:paraId="396774C7" w14:textId="6CAB7D01" w:rsidR="00C839EB" w:rsidRPr="00C839EB" w:rsidRDefault="00D74BF1" w:rsidP="003569AD">
      <w:pPr>
        <w:pStyle w:val="berschrift2"/>
        <w:spacing w:line="480" w:lineRule="auto"/>
      </w:pPr>
      <w:bookmarkStart w:id="3" w:name="_Toc410816079"/>
      <w:r>
        <w:lastRenderedPageBreak/>
        <w:t>2.2</w:t>
      </w:r>
      <w:r w:rsidR="00C839EB" w:rsidRPr="00C839EB">
        <w:t xml:space="preserve"> Selection of </w:t>
      </w:r>
      <w:r w:rsidR="00C47A39">
        <w:t xml:space="preserve">real </w:t>
      </w:r>
      <w:r w:rsidR="00C839EB" w:rsidRPr="00C839EB">
        <w:t>stocks</w:t>
      </w:r>
      <w:bookmarkEnd w:id="3"/>
      <w:r w:rsidR="00C47A39">
        <w:t xml:space="preserve"> and generation of simulated stocks</w:t>
      </w:r>
    </w:p>
    <w:p w14:paraId="73C12E49" w14:textId="40599377" w:rsidR="00C47A39" w:rsidRPr="000D6663" w:rsidRDefault="000F0898" w:rsidP="003569AD">
      <w:pPr>
        <w:spacing w:after="120" w:line="480" w:lineRule="auto"/>
      </w:pPr>
      <w:r>
        <w:t>Altogether 1</w:t>
      </w:r>
      <w:r w:rsidR="00681E4E">
        <w:t>28</w:t>
      </w:r>
      <w:r>
        <w:t xml:space="preserve"> fully assessed stocks</w:t>
      </w:r>
      <w:r w:rsidR="00FC1B37">
        <w:t xml:space="preserve"> with biomass data</w:t>
      </w:r>
      <w:r w:rsidR="003569AD">
        <w:t>, 28</w:t>
      </w:r>
      <w:r>
        <w:t xml:space="preserve"> data-limited stocks with CPUE data</w:t>
      </w:r>
      <w:r w:rsidR="003569AD">
        <w:t xml:space="preserve">, and three stocks with </w:t>
      </w:r>
      <w:r w:rsidR="00775DB4">
        <w:t>less than 9 years of</w:t>
      </w:r>
      <w:r w:rsidR="003569AD">
        <w:t xml:space="preserve"> abundance data</w:t>
      </w:r>
      <w:r>
        <w:t xml:space="preserve"> were used for the evaluation of the CMSY method</w:t>
      </w:r>
      <w:r w:rsidR="00960B92">
        <w:t xml:space="preserve">. </w:t>
      </w:r>
      <w:r w:rsidR="000F4A79" w:rsidRPr="00AB35BF">
        <w:rPr>
          <w:rFonts w:cs="Times New Roman"/>
        </w:rPr>
        <w:t xml:space="preserve">Catch and biomass data were extracted from stock assessment documents that </w:t>
      </w:r>
      <w:r w:rsidR="00FF55DC">
        <w:rPr>
          <w:rFonts w:cs="Times New Roman"/>
        </w:rPr>
        <w:t>we</w:t>
      </w:r>
      <w:r w:rsidR="00FC1B37">
        <w:rPr>
          <w:rFonts w:cs="Times New Roman"/>
        </w:rPr>
        <w:t>re</w:t>
      </w:r>
      <w:r w:rsidR="00FC1B37" w:rsidRPr="00AB35BF">
        <w:rPr>
          <w:rFonts w:cs="Times New Roman"/>
        </w:rPr>
        <w:t xml:space="preserve"> </w:t>
      </w:r>
      <w:r w:rsidR="000F4A79" w:rsidRPr="00AB35BF">
        <w:rPr>
          <w:rFonts w:cs="Times New Roman"/>
        </w:rPr>
        <w:t xml:space="preserve">available online or </w:t>
      </w:r>
      <w:r w:rsidR="00FF55DC">
        <w:rPr>
          <w:rFonts w:cs="Times New Roman"/>
        </w:rPr>
        <w:t xml:space="preserve">were </w:t>
      </w:r>
      <w:r w:rsidR="000F4A79" w:rsidRPr="00AB35BF">
        <w:rPr>
          <w:rFonts w:cs="Times New Roman"/>
        </w:rPr>
        <w:t>provided by the respective assessment bodies</w:t>
      </w:r>
      <w:r w:rsidR="00C47A39">
        <w:rPr>
          <w:rFonts w:cs="Times New Roman"/>
        </w:rPr>
        <w:t xml:space="preserve"> for the Pacific, </w:t>
      </w:r>
      <w:r w:rsidR="004632C4">
        <w:rPr>
          <w:rFonts w:cs="Times New Roman"/>
        </w:rPr>
        <w:t>North and South</w:t>
      </w:r>
      <w:r w:rsidR="00C47A39">
        <w:rPr>
          <w:rFonts w:cs="Times New Roman"/>
        </w:rPr>
        <w:t xml:space="preserve"> Atlantic, the Mediterranean and </w:t>
      </w:r>
      <w:r w:rsidR="004632C4">
        <w:rPr>
          <w:rFonts w:cs="Times New Roman"/>
        </w:rPr>
        <w:t xml:space="preserve">the </w:t>
      </w:r>
      <w:r w:rsidR="00C47A39">
        <w:rPr>
          <w:rFonts w:cs="Times New Roman"/>
        </w:rPr>
        <w:t xml:space="preserve">Black Sea (see </w:t>
      </w:r>
      <w:r w:rsidR="00FF55DC">
        <w:rPr>
          <w:rFonts w:cs="Times New Roman"/>
        </w:rPr>
        <w:t>online Supplement</w:t>
      </w:r>
      <w:r w:rsidR="00C47A39">
        <w:rPr>
          <w:rFonts w:cs="Times New Roman"/>
        </w:rPr>
        <w:t xml:space="preserve"> for details)</w:t>
      </w:r>
      <w:r w:rsidR="000F4A79" w:rsidRPr="00AB35BF">
        <w:rPr>
          <w:rFonts w:cs="Times New Roman"/>
        </w:rPr>
        <w:t>.</w:t>
      </w:r>
      <w:r w:rsidR="00C839EB" w:rsidRPr="00AD63F0">
        <w:t xml:space="preserve"> </w:t>
      </w:r>
      <w:r w:rsidR="00FF55DC">
        <w:t>I</w:t>
      </w:r>
      <w:r w:rsidR="00681E4E">
        <w:t xml:space="preserve">n </w:t>
      </w:r>
      <w:r w:rsidR="00BB6AD5">
        <w:t>addition to the real stocks, fo</w:t>
      </w:r>
      <w:r w:rsidR="00681E4E">
        <w:t>rty-eight</w:t>
      </w:r>
      <w:r w:rsidR="00FF55DC" w:rsidRPr="00FA0090">
        <w:t xml:space="preserve"> simulated stocks </w:t>
      </w:r>
      <w:r w:rsidR="00FF55DC">
        <w:t xml:space="preserve">with catch and </w:t>
      </w:r>
      <w:r w:rsidR="00681E4E">
        <w:t xml:space="preserve">abundance </w:t>
      </w:r>
      <w:r w:rsidR="007D2912">
        <w:t xml:space="preserve">data </w:t>
      </w:r>
      <w:r w:rsidR="00FF55DC" w:rsidRPr="00FA0090">
        <w:t>were created</w:t>
      </w:r>
      <w:r w:rsidR="00FF55DC">
        <w:t xml:space="preserve">. </w:t>
      </w:r>
      <w:r w:rsidR="00FF55DC" w:rsidRPr="00FA0090">
        <w:t>The goal was to create a range of biomass scenarios, including strongly as well as lightly depleted stocks, with monotone stable or monotone changing</w:t>
      </w:r>
      <w:r w:rsidR="00FF55DC">
        <w:t xml:space="preserve"> (i.e., steadily decreasing or increasing)</w:t>
      </w:r>
      <w:r w:rsidR="00FF55DC" w:rsidRPr="00FA0090">
        <w:t xml:space="preserve"> or </w:t>
      </w:r>
      <w:r w:rsidR="00FF55DC">
        <w:t xml:space="preserve">with </w:t>
      </w:r>
      <w:r w:rsidR="00FF55DC" w:rsidRPr="00FA0090">
        <w:t>alternating biomass trajectories</w:t>
      </w:r>
      <w:r w:rsidR="007D2912">
        <w:t xml:space="preserve"> </w:t>
      </w:r>
      <w:r w:rsidR="007D2912">
        <w:rPr>
          <w:rFonts w:cs="Times New Roman"/>
        </w:rPr>
        <w:t>(see online Supplement for details)</w:t>
      </w:r>
      <w:r w:rsidR="00FF55DC">
        <w:t xml:space="preserve">.  </w:t>
      </w:r>
    </w:p>
    <w:p w14:paraId="0B97F854" w14:textId="64D1F4DB" w:rsidR="00C839EB" w:rsidRPr="00DE02E1" w:rsidRDefault="003569AD" w:rsidP="00DA3FFC">
      <w:pPr>
        <w:pStyle w:val="berschrift2"/>
      </w:pPr>
      <w:bookmarkStart w:id="4" w:name="_Toc410816081"/>
      <w:r>
        <w:t>2.3</w:t>
      </w:r>
      <w:r w:rsidR="00C839EB" w:rsidRPr="00DE02E1">
        <w:t xml:space="preserve"> CMSY analysis</w:t>
      </w:r>
      <w:bookmarkEnd w:id="4"/>
    </w:p>
    <w:p w14:paraId="5070E75E" w14:textId="2712F928" w:rsidR="00C839EB" w:rsidRPr="00DE02E1" w:rsidRDefault="003569AD" w:rsidP="003569AD">
      <w:pPr>
        <w:pStyle w:val="berschrift3"/>
        <w:spacing w:line="480" w:lineRule="auto"/>
      </w:pPr>
      <w:bookmarkStart w:id="5" w:name="_Toc410816083"/>
      <w:r>
        <w:t>2.3.1</w:t>
      </w:r>
      <w:r w:rsidR="00C839EB" w:rsidRPr="00DE02E1">
        <w:t xml:space="preserve"> Determining the boundaries of the </w:t>
      </w:r>
      <w:r w:rsidR="00C839EB" w:rsidRPr="00DE02E1">
        <w:rPr>
          <w:i/>
        </w:rPr>
        <w:t>r-k</w:t>
      </w:r>
      <w:r w:rsidR="00C839EB" w:rsidRPr="00DE02E1">
        <w:t xml:space="preserve"> space</w:t>
      </w:r>
      <w:bookmarkEnd w:id="5"/>
    </w:p>
    <w:p w14:paraId="2C57F2EF" w14:textId="7F0C8064" w:rsidR="003569AD" w:rsidRDefault="007432D2" w:rsidP="003569AD">
      <w:pPr>
        <w:spacing w:after="120" w:line="480" w:lineRule="auto"/>
      </w:pPr>
      <w:r>
        <w:t>In order to determine</w:t>
      </w:r>
      <w:r w:rsidR="00DE02E1" w:rsidRPr="00FA0090">
        <w:t xml:space="preserve"> prior </w:t>
      </w:r>
      <w:r w:rsidR="00DE02E1" w:rsidRPr="00FA0090">
        <w:rPr>
          <w:i/>
        </w:rPr>
        <w:t>r</w:t>
      </w:r>
      <w:r>
        <w:t xml:space="preserve"> ranges</w:t>
      </w:r>
      <w:r w:rsidR="00DE02E1" w:rsidRPr="00FA0090">
        <w:t xml:space="preserve"> for the species</w:t>
      </w:r>
      <w:r w:rsidR="00D1108C">
        <w:t xml:space="preserve"> under assessment</w:t>
      </w:r>
      <w:r w:rsidR="00DE02E1" w:rsidRPr="00FA0090">
        <w:t>, the</w:t>
      </w:r>
      <w:r w:rsidR="0061211E">
        <w:t xml:space="preserve"> proxies for</w:t>
      </w:r>
      <w:r w:rsidR="00DE02E1" w:rsidRPr="00FA0090">
        <w:t xml:space="preserve"> resilience of the species as </w:t>
      </w:r>
      <w:r w:rsidR="00BF4381">
        <w:t xml:space="preserve">provided </w:t>
      </w:r>
      <w:r w:rsidR="00DE02E1" w:rsidRPr="00FA0090">
        <w:t>in FishBase (</w:t>
      </w:r>
      <w:r w:rsidR="00960B92">
        <w:t xml:space="preserve">Froese </w:t>
      </w:r>
      <w:r w:rsidR="00960B92" w:rsidRPr="00AF3322">
        <w:rPr>
          <w:i/>
        </w:rPr>
        <w:t xml:space="preserve">et </w:t>
      </w:r>
      <w:r w:rsidR="00982302">
        <w:rPr>
          <w:i/>
        </w:rPr>
        <w:t xml:space="preserve">al. </w:t>
      </w:r>
      <w:r w:rsidR="00AF3322">
        <w:t>2000;</w:t>
      </w:r>
      <w:r w:rsidR="00960B92">
        <w:t xml:space="preserve"> </w:t>
      </w:r>
      <w:r w:rsidR="00107AA8">
        <w:t>Froese and Pauly 2015</w:t>
      </w:r>
      <w:r w:rsidR="00DE02E1" w:rsidRPr="00FA0090">
        <w:t xml:space="preserve">) </w:t>
      </w:r>
      <w:r w:rsidR="0061211E">
        <w:t xml:space="preserve">were </w:t>
      </w:r>
      <w:r w:rsidR="00AB51AA">
        <w:t>translated into</w:t>
      </w:r>
      <w:r w:rsidR="00DE02E1">
        <w:t xml:space="preserve"> </w:t>
      </w:r>
      <w:r w:rsidR="00DE02E1" w:rsidRPr="00FA0090">
        <w:t xml:space="preserve">the </w:t>
      </w:r>
      <w:r w:rsidR="00DE02E1" w:rsidRPr="00FA0090">
        <w:rPr>
          <w:i/>
        </w:rPr>
        <w:t>r</w:t>
      </w:r>
      <w:r w:rsidR="00DE02E1">
        <w:t xml:space="preserve">-ranges shown in </w:t>
      </w:r>
      <w:r w:rsidR="00A86A0B">
        <w:t>Table 2</w:t>
      </w:r>
      <w:r w:rsidR="00DE02E1" w:rsidRPr="00FA0090">
        <w:t xml:space="preserve">. </w:t>
      </w:r>
    </w:p>
    <w:p w14:paraId="21D82982" w14:textId="1A4D61D1" w:rsidR="003569AD" w:rsidRDefault="003569AD" w:rsidP="003569AD">
      <w:pPr>
        <w:spacing w:after="120" w:line="480" w:lineRule="auto"/>
      </w:pPr>
      <w:r>
        <w:t>[Table 2 near here]</w:t>
      </w:r>
    </w:p>
    <w:p w14:paraId="65B64844" w14:textId="6938BE15" w:rsidR="00150277" w:rsidRDefault="0061211E" w:rsidP="003569AD">
      <w:pPr>
        <w:spacing w:after="120" w:line="480" w:lineRule="auto"/>
      </w:pPr>
      <w:r>
        <w:t>Next, a</w:t>
      </w:r>
      <w:r w:rsidR="00DE02E1">
        <w:t xml:space="preserve"> prior range for </w:t>
      </w:r>
      <w:r w:rsidR="00DE02E1" w:rsidRPr="000B47F1">
        <w:rPr>
          <w:i/>
        </w:rPr>
        <w:t>k</w:t>
      </w:r>
      <w:r w:rsidR="00DE02E1">
        <w:t xml:space="preserve"> was derived </w:t>
      </w:r>
      <w:r w:rsidR="00681E4E">
        <w:t>based on</w:t>
      </w:r>
      <w:r w:rsidR="00EC4848">
        <w:t xml:space="preserve"> t</w:t>
      </w:r>
      <w:r w:rsidR="004B56C9">
        <w:t>hree</w:t>
      </w:r>
      <w:r w:rsidR="008710FF">
        <w:t xml:space="preserve"> assumptions</w:t>
      </w:r>
      <w:r w:rsidR="00EC4848">
        <w:t>. First,</w:t>
      </w:r>
      <w:r w:rsidR="00CB394D">
        <w:t xml:space="preserve"> </w:t>
      </w:r>
      <w:r w:rsidR="00C52233">
        <w:t>u</w:t>
      </w:r>
      <w:r w:rsidR="00DE02E1">
        <w:t xml:space="preserve">nexploited stock size </w:t>
      </w:r>
      <w:r w:rsidR="00DE02E1" w:rsidRPr="000B47F1">
        <w:rPr>
          <w:i/>
        </w:rPr>
        <w:t>k</w:t>
      </w:r>
      <w:r w:rsidR="00DE02E1">
        <w:t xml:space="preserve"> </w:t>
      </w:r>
      <w:r>
        <w:t>is</w:t>
      </w:r>
      <w:r w:rsidR="00DE02E1">
        <w:t xml:space="preserve"> larger than the largest catch in the time series, because it is highly unlikely that a fishery finds and catches</w:t>
      </w:r>
      <w:r w:rsidR="00B61A62">
        <w:t>,</w:t>
      </w:r>
      <w:r w:rsidR="00DE02E1">
        <w:t xml:space="preserve"> </w:t>
      </w:r>
      <w:r w:rsidR="008710FF">
        <w:t>in a single year</w:t>
      </w:r>
      <w:r w:rsidR="00B61A62">
        <w:t>,</w:t>
      </w:r>
      <w:r w:rsidR="008710FF">
        <w:t xml:space="preserve"> </w:t>
      </w:r>
      <w:r w:rsidR="00DE02E1">
        <w:t>all individuals</w:t>
      </w:r>
      <w:r w:rsidR="00932950">
        <w:t xml:space="preserve"> of a previously unexploited stock</w:t>
      </w:r>
      <w:r w:rsidR="007A6A27">
        <w:t xml:space="preserve"> (</w:t>
      </w:r>
      <w:r w:rsidR="007A6A27" w:rsidRPr="00F86CC7">
        <w:rPr>
          <w:bCs/>
          <w:lang w:val="en-GB"/>
        </w:rPr>
        <w:t>Vasconcellos and Cochrane</w:t>
      </w:r>
      <w:r w:rsidR="007A6A27">
        <w:rPr>
          <w:bCs/>
          <w:lang w:val="en-GB"/>
        </w:rPr>
        <w:t xml:space="preserve"> </w:t>
      </w:r>
      <w:r w:rsidR="007A6A27" w:rsidRPr="00F86CC7">
        <w:rPr>
          <w:lang w:val="en-GB"/>
        </w:rPr>
        <w:t>2005</w:t>
      </w:r>
      <w:r w:rsidR="00AF3322">
        <w:rPr>
          <w:lang w:val="en-GB"/>
        </w:rPr>
        <w:t>;</w:t>
      </w:r>
      <w:r w:rsidR="007A6A27">
        <w:rPr>
          <w:lang w:val="en-GB"/>
        </w:rPr>
        <w:t xml:space="preserve"> Martell and Froese 2013)</w:t>
      </w:r>
      <w:r w:rsidR="00DE02E1">
        <w:t xml:space="preserve">. </w:t>
      </w:r>
      <w:r w:rsidR="00932950">
        <w:t xml:space="preserve">Thus, maximum catch in the time series was used </w:t>
      </w:r>
      <w:r w:rsidR="007A6A27">
        <w:t>to inform the</w:t>
      </w:r>
      <w:r w:rsidR="00932950">
        <w:t xml:space="preserve"> lower bound of </w:t>
      </w:r>
      <w:r w:rsidR="00932950" w:rsidRPr="00932950">
        <w:rPr>
          <w:i/>
        </w:rPr>
        <w:t>k</w:t>
      </w:r>
      <w:r w:rsidR="00932950">
        <w:t xml:space="preserve">. </w:t>
      </w:r>
      <w:r w:rsidR="00EC4848">
        <w:t>Second,</w:t>
      </w:r>
      <w:r w:rsidR="009A71BF">
        <w:t xml:space="preserve"> the maximum sustainable catch</w:t>
      </w:r>
      <w:r w:rsidR="00CB394D">
        <w:t xml:space="preserve"> </w:t>
      </w:r>
      <w:r w:rsidR="009A71BF">
        <w:t>expressed as</w:t>
      </w:r>
      <w:r w:rsidR="00932950">
        <w:t xml:space="preserve"> </w:t>
      </w:r>
      <w:r w:rsidR="00043954">
        <w:t xml:space="preserve">a </w:t>
      </w:r>
      <w:r w:rsidR="00932950">
        <w:t xml:space="preserve">fraction </w:t>
      </w:r>
      <w:r w:rsidR="008D3EA7">
        <w:t>of</w:t>
      </w:r>
      <w:r w:rsidR="00932950">
        <w:t xml:space="preserve"> </w:t>
      </w:r>
      <w:r w:rsidR="00043954">
        <w:t xml:space="preserve">the </w:t>
      </w:r>
      <w:r w:rsidR="008D3EA7">
        <w:t>available biomass</w:t>
      </w:r>
      <w:r w:rsidR="00932950">
        <w:t xml:space="preserve"> </w:t>
      </w:r>
      <w:r w:rsidR="009B3DEF">
        <w:t>(</w:t>
      </w:r>
      <w:r w:rsidR="009B3DEF" w:rsidRPr="009B3DEF">
        <w:rPr>
          <w:i/>
        </w:rPr>
        <w:t>F</w:t>
      </w:r>
      <w:r w:rsidR="009B3DEF" w:rsidRPr="009B3DEF">
        <w:rPr>
          <w:i/>
          <w:vertAlign w:val="subscript"/>
        </w:rPr>
        <w:t>msy</w:t>
      </w:r>
      <w:r w:rsidR="009B3DEF">
        <w:t xml:space="preserve">) </w:t>
      </w:r>
      <w:r w:rsidR="00932950">
        <w:t>depends on the productivity of the</w:t>
      </w:r>
      <w:r w:rsidR="00DE02E1">
        <w:t xml:space="preserve"> </w:t>
      </w:r>
      <w:r w:rsidR="00681E4E">
        <w:t>stock</w:t>
      </w:r>
      <w:r w:rsidR="00DE02E1">
        <w:t xml:space="preserve">. This relationship was </w:t>
      </w:r>
      <w:r w:rsidR="008D3EA7">
        <w:t>accounted for</w:t>
      </w:r>
      <w:r w:rsidR="00DE02E1">
        <w:t xml:space="preserve"> by dividing maximum catch by</w:t>
      </w:r>
      <w:r w:rsidR="008D3EA7">
        <w:t xml:space="preserve"> </w:t>
      </w:r>
      <w:r w:rsidR="003569AD">
        <w:t>the upper and lower bound of</w:t>
      </w:r>
      <w:r w:rsidR="00DE02E1">
        <w:t xml:space="preserve"> </w:t>
      </w:r>
      <w:r w:rsidR="00DE02E1" w:rsidRPr="00BE1DC4">
        <w:rPr>
          <w:i/>
        </w:rPr>
        <w:t>r</w:t>
      </w:r>
      <w:r w:rsidR="008564B2">
        <w:t xml:space="preserve"> and using </w:t>
      </w:r>
      <w:r w:rsidR="003569AD">
        <w:t>these values</w:t>
      </w:r>
      <w:r w:rsidR="006C207C">
        <w:t xml:space="preserve"> as </w:t>
      </w:r>
      <w:r w:rsidR="008D3EA7">
        <w:t>the</w:t>
      </w:r>
      <w:r w:rsidR="00150277">
        <w:t xml:space="preserve"> benchmark</w:t>
      </w:r>
      <w:r w:rsidR="003569AD">
        <w:t>s</w:t>
      </w:r>
      <w:r w:rsidR="006C207C">
        <w:t xml:space="preserve"> for </w:t>
      </w:r>
      <w:r w:rsidR="008D3EA7">
        <w:t xml:space="preserve">the </w:t>
      </w:r>
      <w:r w:rsidR="003569AD">
        <w:t>lower</w:t>
      </w:r>
      <w:r w:rsidR="006C207C">
        <w:t xml:space="preserve"> and </w:t>
      </w:r>
      <w:r w:rsidR="003569AD">
        <w:t>upper</w:t>
      </w:r>
      <w:r w:rsidR="006C207C">
        <w:t xml:space="preserve"> bound</w:t>
      </w:r>
      <w:r w:rsidR="003569AD">
        <w:t>s</w:t>
      </w:r>
      <w:r w:rsidR="006C207C">
        <w:t xml:space="preserve"> </w:t>
      </w:r>
      <w:r w:rsidR="006C207C">
        <w:lastRenderedPageBreak/>
        <w:t xml:space="preserve">of </w:t>
      </w:r>
      <w:r w:rsidR="006C207C" w:rsidRPr="006C207C">
        <w:rPr>
          <w:i/>
        </w:rPr>
        <w:t>k</w:t>
      </w:r>
      <w:r w:rsidR="008564B2">
        <w:t>.</w:t>
      </w:r>
      <w:r w:rsidR="006C207C">
        <w:t xml:space="preserve"> </w:t>
      </w:r>
      <w:r w:rsidR="00A86A0B">
        <w:t xml:space="preserve">Third, </w:t>
      </w:r>
      <w:r w:rsidR="004B56C9">
        <w:t xml:space="preserve">maximum catch will </w:t>
      </w:r>
      <w:r w:rsidR="008A4612">
        <w:t>constitute</w:t>
      </w:r>
      <w:r w:rsidR="004B56C9">
        <w:t xml:space="preserve"> a larger fraction of</w:t>
      </w:r>
      <w:r w:rsidR="008A4612">
        <w:t xml:space="preserve"> </w:t>
      </w:r>
      <w:r w:rsidR="008A4612" w:rsidRPr="008A4612">
        <w:rPr>
          <w:i/>
        </w:rPr>
        <w:t>k</w:t>
      </w:r>
      <w:r w:rsidR="008A4612">
        <w:t xml:space="preserve"> in </w:t>
      </w:r>
      <w:r w:rsidR="00A86A0B">
        <w:t>substantially depleted</w:t>
      </w:r>
      <w:r w:rsidR="008A4612">
        <w:t xml:space="preserve"> </w:t>
      </w:r>
      <w:r w:rsidR="00043954">
        <w:t xml:space="preserve">rather </w:t>
      </w:r>
      <w:r w:rsidR="008A4612">
        <w:t xml:space="preserve">than lightly </w:t>
      </w:r>
      <w:r w:rsidR="009A71BF">
        <w:t>depleted</w:t>
      </w:r>
      <w:r w:rsidR="008A4612">
        <w:t xml:space="preserve"> stocks. These considerations are summarized in </w:t>
      </w:r>
      <w:r w:rsidR="003569AD">
        <w:t>Equations 3 and 4</w:t>
      </w:r>
      <w:r w:rsidR="007D2912">
        <w:t>.</w:t>
      </w:r>
      <w:r w:rsidR="008A4612">
        <w:t xml:space="preserve"> </w:t>
      </w:r>
      <w:r w:rsidR="008564B2">
        <w:t>Suitable ranges for the catch/productivity ratios were determined empirically</w:t>
      </w:r>
      <w:r w:rsidR="006C207C">
        <w:t xml:space="preserve"> with simulated data where the true value of </w:t>
      </w:r>
      <w:r w:rsidR="006C207C" w:rsidRPr="006C207C">
        <w:rPr>
          <w:i/>
        </w:rPr>
        <w:t>k</w:t>
      </w:r>
      <w:r w:rsidR="006C207C">
        <w:t xml:space="preserve"> </w:t>
      </w:r>
      <w:r w:rsidR="008A4612">
        <w:t>wa</w:t>
      </w:r>
      <w:r w:rsidR="006C207C">
        <w:t>s known</w:t>
      </w:r>
      <w:r w:rsidR="00FC1381">
        <w:t xml:space="preserve">. </w:t>
      </w:r>
    </w:p>
    <w:p w14:paraId="1DC558B7" w14:textId="14E080E3" w:rsidR="007D2912" w:rsidRDefault="00FC1381" w:rsidP="00150277">
      <w:pPr>
        <w:spacing w:after="120" w:line="480" w:lineRule="auto"/>
        <w:rPr>
          <w:rFonts w:eastAsiaTheme="minorEastAsia"/>
        </w:rPr>
      </w:pPr>
      <w:r>
        <w:t xml:space="preserve"> </w:t>
      </w:r>
      <w:r w:rsidR="00DE02E1">
        <w:t xml:space="preserve">    </w:t>
      </w:r>
      <m:oMath>
        <m:sSub>
          <m:sSubPr>
            <m:ctrlPr>
              <w:rPr>
                <w:rFonts w:ascii="Cambria Math" w:hAnsi="Cambria Math"/>
                <w:i/>
              </w:rPr>
            </m:ctrlPr>
          </m:sSubPr>
          <m:e>
            <m:r>
              <w:rPr>
                <w:rFonts w:ascii="Cambria Math" w:hAnsi="Cambria Math"/>
              </w:rPr>
              <m:t>k</m:t>
            </m:r>
          </m:e>
          <m:sub>
            <m:r>
              <w:rPr>
                <w:rFonts w:ascii="Cambria Math" w:hAnsi="Cambria Math"/>
              </w:rPr>
              <m:t>low</m:t>
            </m:r>
          </m:sub>
        </m:sSub>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C</m:t>
                    </m:r>
                  </m:e>
                </m:d>
              </m:e>
            </m:func>
          </m:num>
          <m:den>
            <m:sSub>
              <m:sSubPr>
                <m:ctrlPr>
                  <w:rPr>
                    <w:rFonts w:ascii="Cambria Math" w:hAnsi="Cambria Math"/>
                    <w:i/>
                  </w:rPr>
                </m:ctrlPr>
              </m:sSubPr>
              <m:e>
                <m:r>
                  <w:rPr>
                    <w:rFonts w:ascii="Cambria Math" w:hAnsi="Cambria Math"/>
                  </w:rPr>
                  <m:t>r</m:t>
                </m:r>
              </m:e>
              <m:sub>
                <m:r>
                  <w:rPr>
                    <w:rFonts w:ascii="Cambria Math" w:hAnsi="Cambria Math"/>
                  </w:rPr>
                  <m:t>hi</m:t>
                </m:r>
                <m:r>
                  <w:rPr>
                    <w:rFonts w:ascii="Cambria Math" w:hAnsi="Cambria Math"/>
                  </w:rPr>
                  <m:t>gh</m:t>
                </m:r>
              </m:sub>
            </m:sSub>
          </m:den>
        </m:f>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high</m:t>
            </m:r>
          </m:sub>
        </m:sSub>
        <m:r>
          <w:rPr>
            <w:rFonts w:ascii="Cambria Math" w:hAnsi="Cambria Math"/>
          </w:rPr>
          <m:t>=</m:t>
        </m:r>
        <m:f>
          <m:fPr>
            <m:ctrlPr>
              <w:rPr>
                <w:rFonts w:ascii="Cambria Math" w:hAnsi="Cambria Math"/>
                <w:i/>
              </w:rPr>
            </m:ctrlPr>
          </m:fPr>
          <m:num>
            <m:r>
              <w:rPr>
                <w:rFonts w:ascii="Cambria Math" w:hAnsi="Cambria Math"/>
              </w:rPr>
              <m:t xml:space="preserve">4 </m:t>
            </m:r>
            <m:r>
              <m:rPr>
                <m:sty m:val="p"/>
              </m:rPr>
              <w:rPr>
                <w:rFonts w:ascii="Cambria Math" w:hAnsi="Cambria Math"/>
              </w:rPr>
              <m:t>max⁡</m:t>
            </m:r>
            <m:r>
              <w:rPr>
                <w:rFonts w:ascii="Cambria Math" w:hAnsi="Cambria Math"/>
              </w:rPr>
              <m:t>(C)</m:t>
            </m:r>
          </m:num>
          <m:den>
            <m:sSub>
              <m:sSubPr>
                <m:ctrlPr>
                  <w:rPr>
                    <w:rFonts w:ascii="Cambria Math" w:hAnsi="Cambria Math"/>
                    <w:i/>
                  </w:rPr>
                </m:ctrlPr>
              </m:sSubPr>
              <m:e>
                <m:r>
                  <w:rPr>
                    <w:rFonts w:ascii="Cambria Math" w:hAnsi="Cambria Math"/>
                  </w:rPr>
                  <m:t>r</m:t>
                </m:r>
              </m:e>
              <m:sub>
                <m:r>
                  <w:rPr>
                    <w:rFonts w:ascii="Cambria Math" w:hAnsi="Cambria Math"/>
                  </w:rPr>
                  <m:t>low</m:t>
                </m:r>
              </m:sub>
            </m:sSub>
          </m:den>
        </m:f>
        <m:r>
          <w:rPr>
            <w:rFonts w:ascii="Cambria Math" w:hAnsi="Cambria Math"/>
          </w:rPr>
          <m:t xml:space="preserve"> </m:t>
        </m:r>
      </m:oMath>
      <w:r w:rsidR="00C94523">
        <w:rPr>
          <w:rFonts w:eastAsiaTheme="minorEastAsia"/>
        </w:rPr>
        <w:tab/>
      </w:r>
      <w:r w:rsidR="00C94523">
        <w:rPr>
          <w:rFonts w:eastAsiaTheme="minorEastAsia"/>
        </w:rPr>
        <w:tab/>
      </w:r>
      <w:r w:rsidR="00C94523">
        <w:rPr>
          <w:rFonts w:eastAsiaTheme="minorEastAsia"/>
        </w:rPr>
        <w:tab/>
      </w:r>
      <w:r w:rsidR="00C94523">
        <w:rPr>
          <w:rFonts w:eastAsiaTheme="minorEastAsia"/>
        </w:rPr>
        <w:tab/>
      </w:r>
      <w:r w:rsidR="00C94523">
        <w:rPr>
          <w:rFonts w:eastAsiaTheme="minorEastAsia"/>
        </w:rPr>
        <w:tab/>
      </w:r>
      <w:r w:rsidR="00C94523">
        <w:rPr>
          <w:rFonts w:eastAsiaTheme="minorEastAsia"/>
        </w:rPr>
        <w:tab/>
      </w:r>
      <w:r w:rsidR="00C94523">
        <w:rPr>
          <w:rFonts w:eastAsiaTheme="minorEastAsia"/>
        </w:rPr>
        <w:tab/>
      </w:r>
      <w:r w:rsidR="003569AD">
        <w:rPr>
          <w:rFonts w:eastAsiaTheme="minorEastAsia"/>
        </w:rPr>
        <w:t>(3</w:t>
      </w:r>
      <w:r w:rsidR="007D2912">
        <w:rPr>
          <w:rFonts w:eastAsiaTheme="minorEastAsia"/>
        </w:rPr>
        <w:t>)</w:t>
      </w:r>
    </w:p>
    <w:p w14:paraId="34186664" w14:textId="57002B8E" w:rsidR="00150277" w:rsidRDefault="00C94523" w:rsidP="00150277">
      <w:pPr>
        <w:spacing w:after="120" w:line="480" w:lineRule="auto"/>
        <w:rPr>
          <w:rFonts w:eastAsiaTheme="minorEastAsia"/>
        </w:rPr>
      </w:pPr>
      <w:r w:rsidRPr="00C94523">
        <w:rPr>
          <w:rFonts w:eastAsiaTheme="minorEastAsia"/>
        </w:rPr>
        <w:t xml:space="preserve">where </w:t>
      </w:r>
      <w:r w:rsidRPr="00C94523">
        <w:rPr>
          <w:rFonts w:eastAsiaTheme="minorEastAsia"/>
          <w:i/>
        </w:rPr>
        <w:t>k</w:t>
      </w:r>
      <w:r w:rsidRPr="00C94523">
        <w:rPr>
          <w:rFonts w:eastAsiaTheme="minorEastAsia"/>
          <w:i/>
          <w:vertAlign w:val="subscript"/>
        </w:rPr>
        <w:t>low</w:t>
      </w:r>
      <w:r w:rsidRPr="00C94523">
        <w:rPr>
          <w:rFonts w:eastAsiaTheme="minorEastAsia"/>
        </w:rPr>
        <w:t xml:space="preserve"> and </w:t>
      </w:r>
      <w:r w:rsidRPr="00C94523">
        <w:rPr>
          <w:rFonts w:eastAsiaTheme="minorEastAsia"/>
          <w:i/>
        </w:rPr>
        <w:t>k</w:t>
      </w:r>
      <w:r w:rsidRPr="00C94523">
        <w:rPr>
          <w:rFonts w:eastAsiaTheme="minorEastAsia"/>
          <w:i/>
          <w:vertAlign w:val="subscript"/>
        </w:rPr>
        <w:t>high</w:t>
      </w:r>
      <w:r w:rsidRPr="00C94523">
        <w:rPr>
          <w:rFonts w:eastAsiaTheme="minorEastAsia"/>
        </w:rPr>
        <w:t xml:space="preserve"> are the lower and upper bounds of the prior range of </w:t>
      </w:r>
      <w:r w:rsidRPr="00C94523">
        <w:rPr>
          <w:rFonts w:eastAsiaTheme="minorEastAsia"/>
          <w:i/>
        </w:rPr>
        <w:t>k</w:t>
      </w:r>
      <w:r w:rsidRPr="00C94523">
        <w:rPr>
          <w:rFonts w:eastAsiaTheme="minorEastAsia"/>
        </w:rPr>
        <w:t xml:space="preserve">, </w:t>
      </w:r>
      <w:r w:rsidRPr="00C94523">
        <w:rPr>
          <w:rFonts w:eastAsiaTheme="minorEastAsia"/>
          <w:i/>
        </w:rPr>
        <w:t>max(C)</w:t>
      </w:r>
      <w:r w:rsidRPr="00C94523">
        <w:rPr>
          <w:rFonts w:eastAsiaTheme="minorEastAsia"/>
        </w:rPr>
        <w:t xml:space="preserve"> is the maximum catch in the time series,</w:t>
      </w:r>
      <w:r w:rsidRPr="00C94523">
        <w:rPr>
          <w:rFonts w:eastAsiaTheme="minorEastAsia"/>
          <w:i/>
        </w:rPr>
        <w:t xml:space="preserve"> r</w:t>
      </w:r>
      <w:r w:rsidR="006F5274">
        <w:rPr>
          <w:rFonts w:eastAsiaTheme="minorEastAsia"/>
          <w:i/>
          <w:vertAlign w:val="subscript"/>
        </w:rPr>
        <w:t>low</w:t>
      </w:r>
      <w:r w:rsidRPr="00C94523">
        <w:rPr>
          <w:rFonts w:eastAsiaTheme="minorEastAsia"/>
        </w:rPr>
        <w:t xml:space="preserve"> is the </w:t>
      </w:r>
      <w:r w:rsidR="006F5274">
        <w:rPr>
          <w:rFonts w:eastAsiaTheme="minorEastAsia"/>
        </w:rPr>
        <w:t xml:space="preserve">lower bound of the </w:t>
      </w:r>
      <w:r w:rsidRPr="00C94523">
        <w:rPr>
          <w:rFonts w:eastAsiaTheme="minorEastAsia"/>
        </w:rPr>
        <w:t xml:space="preserve">range of </w:t>
      </w:r>
      <w:r w:rsidRPr="00C94523">
        <w:rPr>
          <w:rFonts w:eastAsiaTheme="minorEastAsia"/>
          <w:i/>
        </w:rPr>
        <w:t>r</w:t>
      </w:r>
      <w:r w:rsidRPr="00C94523">
        <w:rPr>
          <w:rFonts w:eastAsiaTheme="minorEastAsia"/>
        </w:rPr>
        <w:t xml:space="preserve"> values that the CMSY method will explore,</w:t>
      </w:r>
      <w:r w:rsidR="006F5274">
        <w:rPr>
          <w:rFonts w:eastAsiaTheme="minorEastAsia"/>
        </w:rPr>
        <w:t xml:space="preserve"> and</w:t>
      </w:r>
      <w:r w:rsidRPr="00C94523">
        <w:rPr>
          <w:rFonts w:eastAsiaTheme="minorEastAsia"/>
        </w:rPr>
        <w:t xml:space="preserve"> </w:t>
      </w:r>
      <w:r w:rsidRPr="00C94523">
        <w:rPr>
          <w:rFonts w:eastAsiaTheme="minorEastAsia"/>
          <w:i/>
        </w:rPr>
        <w:t>r</w:t>
      </w:r>
      <w:r w:rsidRPr="00C94523">
        <w:rPr>
          <w:rFonts w:eastAsiaTheme="minorEastAsia"/>
          <w:i/>
          <w:vertAlign w:val="subscript"/>
        </w:rPr>
        <w:t>high</w:t>
      </w:r>
      <w:r w:rsidRPr="00C94523">
        <w:rPr>
          <w:rFonts w:eastAsiaTheme="minorEastAsia"/>
        </w:rPr>
        <w:t xml:space="preserve"> is the upper bound of that range.</w:t>
      </w:r>
      <w:r>
        <w:rPr>
          <w:rFonts w:eastAsiaTheme="minorEastAsia"/>
        </w:rPr>
        <w:t xml:space="preserve"> </w:t>
      </w:r>
    </w:p>
    <w:p w14:paraId="659E5680" w14:textId="1378F614" w:rsidR="00150277" w:rsidRDefault="004375DE" w:rsidP="00150277">
      <w:pPr>
        <w:spacing w:after="120" w:line="480" w:lineRule="auto"/>
        <w:rPr>
          <w:rFonts w:eastAsiaTheme="minorEastAsia"/>
        </w:rPr>
      </w:pPr>
      <m:oMath>
        <m:sSub>
          <m:sSubPr>
            <m:ctrlPr>
              <w:rPr>
                <w:rFonts w:ascii="Cambria Math" w:hAnsi="Cambria Math"/>
                <w:i/>
              </w:rPr>
            </m:ctrlPr>
          </m:sSubPr>
          <m:e>
            <m:r>
              <w:rPr>
                <w:rFonts w:ascii="Cambria Math" w:hAnsi="Cambria Math"/>
              </w:rPr>
              <m:t>k</m:t>
            </m:r>
          </m:e>
          <m:sub>
            <m:r>
              <w:rPr>
                <w:rFonts w:ascii="Cambria Math" w:hAnsi="Cambria Math"/>
              </w:rPr>
              <m:t>low</m:t>
            </m:r>
          </m:sub>
        </m:sSub>
        <m:r>
          <w:rPr>
            <w:rFonts w:ascii="Cambria Math" w:hAnsi="Cambria Math"/>
          </w:rPr>
          <m:t>=</m:t>
        </m:r>
        <m:f>
          <m:fPr>
            <m:ctrlPr>
              <w:rPr>
                <w:rFonts w:ascii="Cambria Math" w:hAnsi="Cambria Math"/>
                <w:i/>
              </w:rPr>
            </m:ctrlPr>
          </m:fPr>
          <m:num>
            <m:r>
              <w:rPr>
                <w:rFonts w:ascii="Cambria Math" w:hAnsi="Cambria Math"/>
              </w:rPr>
              <m:t xml:space="preserve">2 </m:t>
            </m:r>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C</m:t>
                    </m:r>
                  </m:e>
                </m:d>
              </m:e>
            </m:func>
          </m:num>
          <m:den>
            <m:sSub>
              <m:sSubPr>
                <m:ctrlPr>
                  <w:rPr>
                    <w:rFonts w:ascii="Cambria Math" w:hAnsi="Cambria Math"/>
                    <w:i/>
                  </w:rPr>
                </m:ctrlPr>
              </m:sSubPr>
              <m:e>
                <m:r>
                  <w:rPr>
                    <w:rFonts w:ascii="Cambria Math" w:hAnsi="Cambria Math"/>
                  </w:rPr>
                  <m:t>r</m:t>
                </m:r>
              </m:e>
              <m:sub>
                <m:r>
                  <w:rPr>
                    <w:rFonts w:ascii="Cambria Math" w:hAnsi="Cambria Math"/>
                  </w:rPr>
                  <m:t>high</m:t>
                </m:r>
              </m:sub>
            </m:sSub>
          </m:den>
        </m:f>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high</m:t>
            </m:r>
          </m:sub>
        </m:sSub>
        <m:r>
          <w:rPr>
            <w:rFonts w:ascii="Cambria Math" w:hAnsi="Cambria Math"/>
          </w:rPr>
          <m:t>=</m:t>
        </m:r>
        <m:f>
          <m:fPr>
            <m:ctrlPr>
              <w:rPr>
                <w:rFonts w:ascii="Cambria Math" w:hAnsi="Cambria Math"/>
                <w:i/>
              </w:rPr>
            </m:ctrlPr>
          </m:fPr>
          <m:num>
            <m:r>
              <w:rPr>
                <w:rFonts w:ascii="Cambria Math" w:hAnsi="Cambria Math"/>
              </w:rPr>
              <m:t xml:space="preserve">12 </m:t>
            </m:r>
            <m:r>
              <m:rPr>
                <m:sty m:val="p"/>
              </m:rPr>
              <w:rPr>
                <w:rFonts w:ascii="Cambria Math" w:hAnsi="Cambria Math"/>
              </w:rPr>
              <m:t>max⁡</m:t>
            </m:r>
            <m:r>
              <w:rPr>
                <w:rFonts w:ascii="Cambria Math" w:hAnsi="Cambria Math"/>
              </w:rPr>
              <m:t>(C)</m:t>
            </m:r>
          </m:num>
          <m:den>
            <m:sSub>
              <m:sSubPr>
                <m:ctrlPr>
                  <w:rPr>
                    <w:rFonts w:ascii="Cambria Math" w:hAnsi="Cambria Math"/>
                    <w:i/>
                  </w:rPr>
                </m:ctrlPr>
              </m:sSubPr>
              <m:e>
                <m:r>
                  <w:rPr>
                    <w:rFonts w:ascii="Cambria Math" w:hAnsi="Cambria Math"/>
                  </w:rPr>
                  <m:t>r</m:t>
                </m:r>
              </m:e>
              <m:sub>
                <m:r>
                  <w:rPr>
                    <w:rFonts w:ascii="Cambria Math" w:hAnsi="Cambria Math"/>
                  </w:rPr>
                  <m:t>low</m:t>
                </m:r>
              </m:sub>
            </m:sSub>
          </m:den>
        </m:f>
        <m:r>
          <w:rPr>
            <w:rFonts w:ascii="Cambria Math" w:hAnsi="Cambria Math"/>
          </w:rPr>
          <m:t xml:space="preserve"> </m:t>
        </m:r>
      </m:oMath>
      <w:r w:rsidR="003569AD">
        <w:rPr>
          <w:rFonts w:eastAsiaTheme="minorEastAsia"/>
        </w:rPr>
        <w:tab/>
      </w:r>
      <w:r w:rsidR="003569AD">
        <w:rPr>
          <w:rFonts w:eastAsiaTheme="minorEastAsia"/>
        </w:rPr>
        <w:tab/>
      </w:r>
      <w:r w:rsidR="003569AD">
        <w:rPr>
          <w:rFonts w:eastAsiaTheme="minorEastAsia"/>
        </w:rPr>
        <w:tab/>
      </w:r>
      <w:r w:rsidR="003569AD">
        <w:rPr>
          <w:rFonts w:eastAsiaTheme="minorEastAsia"/>
        </w:rPr>
        <w:tab/>
      </w:r>
      <w:r w:rsidR="003569AD">
        <w:rPr>
          <w:rFonts w:eastAsiaTheme="minorEastAsia"/>
        </w:rPr>
        <w:tab/>
      </w:r>
      <w:r w:rsidR="003569AD">
        <w:rPr>
          <w:rFonts w:eastAsiaTheme="minorEastAsia"/>
        </w:rPr>
        <w:tab/>
      </w:r>
      <w:r w:rsidR="003569AD">
        <w:rPr>
          <w:rFonts w:eastAsiaTheme="minorEastAsia"/>
        </w:rPr>
        <w:tab/>
        <w:t>(4</w:t>
      </w:r>
      <w:r w:rsidR="00DF567D">
        <w:rPr>
          <w:rFonts w:eastAsiaTheme="minorEastAsia"/>
        </w:rPr>
        <w:t>)</w:t>
      </w:r>
    </w:p>
    <w:p w14:paraId="562ED6FE" w14:textId="57B3F9E4" w:rsidR="008A4612" w:rsidRDefault="00DF567D" w:rsidP="004E4CDC">
      <w:pPr>
        <w:spacing w:after="120" w:line="480" w:lineRule="auto"/>
        <w:rPr>
          <w:rFonts w:eastAsiaTheme="minorEastAsia"/>
          <w:bCs/>
        </w:rPr>
      </w:pPr>
      <w:r>
        <w:rPr>
          <w:rFonts w:eastAsiaTheme="minorEastAsia"/>
          <w:bCs/>
        </w:rPr>
        <w:t>where</w:t>
      </w:r>
      <w:r w:rsidRPr="00DF567D">
        <w:rPr>
          <w:rFonts w:eastAsiaTheme="minorEastAsia"/>
          <w:bCs/>
        </w:rPr>
        <w:t xml:space="preserve"> variables and parameters </w:t>
      </w:r>
      <w:r>
        <w:rPr>
          <w:rFonts w:eastAsiaTheme="minorEastAsia"/>
          <w:bCs/>
        </w:rPr>
        <w:t xml:space="preserve">are </w:t>
      </w:r>
      <w:r w:rsidRPr="00DF567D">
        <w:rPr>
          <w:rFonts w:eastAsiaTheme="minorEastAsia"/>
          <w:bCs/>
        </w:rPr>
        <w:t>as defined in</w:t>
      </w:r>
      <w:r w:rsidR="003569AD">
        <w:rPr>
          <w:rFonts w:eastAsiaTheme="minorEastAsia"/>
          <w:bCs/>
        </w:rPr>
        <w:t xml:space="preserve"> Equation 3</w:t>
      </w:r>
      <w:r w:rsidRPr="00DF567D">
        <w:rPr>
          <w:rFonts w:eastAsiaTheme="minorEastAsia"/>
          <w:bCs/>
        </w:rPr>
        <w:t xml:space="preserve">. </w:t>
      </w:r>
    </w:p>
    <w:p w14:paraId="62BC28B4" w14:textId="0993B8C4" w:rsidR="00DE02E1" w:rsidRDefault="003569AD" w:rsidP="004E4CDC">
      <w:pPr>
        <w:spacing w:after="120" w:line="480" w:lineRule="auto"/>
      </w:pPr>
      <w:r>
        <w:t>Equation 3</w:t>
      </w:r>
      <w:r w:rsidR="00DF567D" w:rsidRPr="00DF567D">
        <w:t xml:space="preserve"> </w:t>
      </w:r>
      <w:r w:rsidR="00B00B93">
        <w:t>was applied</w:t>
      </w:r>
      <w:r w:rsidR="00DE02E1">
        <w:t xml:space="preserve"> to stocks </w:t>
      </w:r>
      <w:r w:rsidR="008564B2">
        <w:t>with low</w:t>
      </w:r>
      <w:r w:rsidR="00DE02E1">
        <w:t xml:space="preserve"> </w:t>
      </w:r>
      <w:r w:rsidR="00154E76">
        <w:t xml:space="preserve">prior </w:t>
      </w:r>
      <w:r w:rsidR="008564B2">
        <w:t xml:space="preserve">biomass </w:t>
      </w:r>
      <w:r w:rsidR="00DE02E1">
        <w:t>at the end of the time series and</w:t>
      </w:r>
      <w:r w:rsidR="00DF567D">
        <w:t xml:space="preserve"> </w:t>
      </w:r>
      <w:r>
        <w:t>Equation 4</w:t>
      </w:r>
      <w:r w:rsidR="00DE02E1">
        <w:t xml:space="preserve"> </w:t>
      </w:r>
      <w:r w:rsidR="004C6D53">
        <w:t>was applied</w:t>
      </w:r>
      <w:r w:rsidR="00DE02E1">
        <w:t xml:space="preserve"> to stocks</w:t>
      </w:r>
      <w:r w:rsidR="00B00B93">
        <w:t xml:space="preserve"> with high biomass</w:t>
      </w:r>
      <w:r w:rsidR="00DE02E1">
        <w:t>.</w:t>
      </w:r>
      <w:r w:rsidR="00FC1381">
        <w:t xml:space="preserve"> </w:t>
      </w:r>
      <w:r w:rsidR="00030F77">
        <w:t>To reduce the influence of extreme</w:t>
      </w:r>
      <w:r w:rsidR="00154E76">
        <w:t xml:space="preserve"> </w:t>
      </w:r>
      <w:r w:rsidR="00030F77">
        <w:t xml:space="preserve">catches, </w:t>
      </w:r>
      <w:r w:rsidR="00154E76">
        <w:t>catch data were smoothed by a three-year moving average</w:t>
      </w:r>
      <w:r w:rsidR="00030F77">
        <w:t>.</w:t>
      </w:r>
    </w:p>
    <w:p w14:paraId="67726A70" w14:textId="1E40D05C" w:rsidR="00C839EB" w:rsidRPr="000F4A79" w:rsidRDefault="003569AD" w:rsidP="004E4CDC">
      <w:pPr>
        <w:pStyle w:val="berschrift3"/>
        <w:spacing w:line="480" w:lineRule="auto"/>
      </w:pPr>
      <w:bookmarkStart w:id="6" w:name="_Toc410816084"/>
      <w:r>
        <w:t>2.3.2</w:t>
      </w:r>
      <w:r w:rsidR="00C839EB" w:rsidRPr="000F4A79">
        <w:t xml:space="preserve"> Setting prior biomass ranges</w:t>
      </w:r>
      <w:bookmarkEnd w:id="6"/>
      <w:r w:rsidR="00C839EB" w:rsidRPr="000F4A79">
        <w:tab/>
      </w:r>
    </w:p>
    <w:p w14:paraId="07A81C59" w14:textId="050BF637" w:rsidR="00B7503E" w:rsidRDefault="007432D2" w:rsidP="001666AB">
      <w:pPr>
        <w:spacing w:after="120" w:line="480" w:lineRule="auto"/>
      </w:pPr>
      <w:r>
        <w:t>In order to provide</w:t>
      </w:r>
      <w:r w:rsidR="000F4A79" w:rsidRPr="00FA0090">
        <w:t xml:space="preserve"> prior estimates of relative biomass at the beginning and end of the time series, and optional</w:t>
      </w:r>
      <w:r w:rsidR="00344853">
        <w:t>ly</w:t>
      </w:r>
      <w:r w:rsidR="000F4A79" w:rsidRPr="00FA0090">
        <w:t xml:space="preserve"> also in </w:t>
      </w:r>
      <w:r w:rsidR="004C6D53">
        <w:t>an intermediate year</w:t>
      </w:r>
      <w:r w:rsidR="000F4A79" w:rsidRPr="00FA0090">
        <w:t>, one of the possible t</w:t>
      </w:r>
      <w:r w:rsidR="00F81854">
        <w:t>hree</w:t>
      </w:r>
      <w:r w:rsidR="000F4A79" w:rsidRPr="00FA0090">
        <w:t xml:space="preserve"> broad </w:t>
      </w:r>
      <w:r w:rsidR="00681D0C">
        <w:t xml:space="preserve">biomass </w:t>
      </w:r>
      <w:r w:rsidR="000F4A79" w:rsidRPr="00FA0090">
        <w:t xml:space="preserve">ranges shown in </w:t>
      </w:r>
      <w:r w:rsidR="00747DA0">
        <w:t>Table 3</w:t>
      </w:r>
      <w:r w:rsidR="000F4A79" w:rsidRPr="00FA0090">
        <w:t xml:space="preserve"> was </w:t>
      </w:r>
      <w:r w:rsidR="00147C01">
        <w:t>chosen</w:t>
      </w:r>
      <w:r w:rsidR="00C90105">
        <w:t xml:space="preserve">, </w:t>
      </w:r>
      <w:r w:rsidR="004C6D53">
        <w:t xml:space="preserve">depending on the </w:t>
      </w:r>
      <w:r w:rsidR="00681D0C">
        <w:t xml:space="preserve">assumed </w:t>
      </w:r>
      <w:r w:rsidR="004C6D53">
        <w:t>depletion level</w:t>
      </w:r>
      <w:r w:rsidR="000F4A79" w:rsidRPr="00FA0090">
        <w:t xml:space="preserve">. </w:t>
      </w:r>
      <w:r w:rsidR="007D2912">
        <w:t>This was done automatically b</w:t>
      </w:r>
      <w:r w:rsidR="00A86A0B">
        <w:t>y</w:t>
      </w:r>
      <w:r w:rsidR="007D2912">
        <w:t xml:space="preserve"> </w:t>
      </w:r>
      <w:r w:rsidR="00154E76">
        <w:t>default rules</w:t>
      </w:r>
      <w:r w:rsidR="007D2912">
        <w:t xml:space="preserve"> described in the </w:t>
      </w:r>
      <w:r w:rsidR="001666AB">
        <w:t xml:space="preserve">online </w:t>
      </w:r>
      <w:r w:rsidR="007D2912">
        <w:t xml:space="preserve">Supplement. </w:t>
      </w:r>
      <w:r w:rsidR="000F4A79">
        <w:t>Obvious</w:t>
      </w:r>
      <w:r w:rsidR="001666AB">
        <w:t xml:space="preserve"> wrong </w:t>
      </w:r>
      <w:r w:rsidR="00154E76">
        <w:t>priors resulting from the default rules</w:t>
      </w:r>
      <w:r w:rsidR="001666AB">
        <w:t xml:space="preserve">, such as </w:t>
      </w:r>
      <w:r w:rsidR="00154E76">
        <w:t>setting</w:t>
      </w:r>
      <w:r w:rsidR="00711C42">
        <w:t xml:space="preserve"> </w:t>
      </w:r>
      <w:r w:rsidR="001666AB">
        <w:t xml:space="preserve">initial biomass </w:t>
      </w:r>
      <w:r w:rsidR="00154E76">
        <w:t xml:space="preserve">to medium </w:t>
      </w:r>
      <w:r w:rsidR="001666AB">
        <w:t>when instead the stock was still lightly exploited</w:t>
      </w:r>
      <w:r w:rsidR="00F81854">
        <w:t xml:space="preserve"> or </w:t>
      </w:r>
      <w:r w:rsidR="00154E76">
        <w:t xml:space="preserve">already </w:t>
      </w:r>
      <w:r w:rsidR="00F81854">
        <w:t>severely depleted</w:t>
      </w:r>
      <w:r w:rsidR="00154E76">
        <w:t xml:space="preserve"> at the beginning of the time series</w:t>
      </w:r>
      <w:r w:rsidR="001666AB">
        <w:t xml:space="preserve">, </w:t>
      </w:r>
      <w:r w:rsidR="000F4A79">
        <w:t xml:space="preserve">were </w:t>
      </w:r>
      <w:r w:rsidR="0061211E">
        <w:t xml:space="preserve">noted and subsequently </w:t>
      </w:r>
      <w:r w:rsidR="000C6BD6">
        <w:t xml:space="preserve">adjusted </w:t>
      </w:r>
      <w:r w:rsidR="000F4A79">
        <w:t xml:space="preserve">manually. </w:t>
      </w:r>
      <w:r w:rsidR="000F4A79" w:rsidRPr="00FA0090">
        <w:t xml:space="preserve">Thus, the results </w:t>
      </w:r>
      <w:r w:rsidR="001666AB">
        <w:t xml:space="preserve">of this study </w:t>
      </w:r>
      <w:r w:rsidR="000F4A79" w:rsidRPr="00FA0090">
        <w:t xml:space="preserve">refer to </w:t>
      </w:r>
      <w:r w:rsidR="00C90105">
        <w:t>a scenario</w:t>
      </w:r>
      <w:r w:rsidR="000F4A79" w:rsidRPr="00FA0090">
        <w:t xml:space="preserve"> where managers </w:t>
      </w:r>
      <w:r w:rsidR="004C6D53">
        <w:t xml:space="preserve">are assumed to </w:t>
      </w:r>
      <w:r w:rsidR="00154E76">
        <w:t xml:space="preserve">not </w:t>
      </w:r>
      <w:r w:rsidR="000F4A79" w:rsidRPr="00FA0090">
        <w:t>ha</w:t>
      </w:r>
      <w:r w:rsidR="004C6D53">
        <w:t>v</w:t>
      </w:r>
      <w:r w:rsidR="00921EDB">
        <w:t>e</w:t>
      </w:r>
      <w:r w:rsidR="00154E76">
        <w:t xml:space="preserve"> made gross</w:t>
      </w:r>
      <w:r w:rsidR="000F4A79" w:rsidRPr="00FA0090">
        <w:t xml:space="preserve"> </w:t>
      </w:r>
      <w:r w:rsidR="00154E76">
        <w:t xml:space="preserve">errors in </w:t>
      </w:r>
      <w:r w:rsidR="000F4A79" w:rsidRPr="00FA0090">
        <w:t>set</w:t>
      </w:r>
      <w:r w:rsidR="00154E76">
        <w:t>ting</w:t>
      </w:r>
      <w:r w:rsidR="000F4A79" w:rsidRPr="00FA0090">
        <w:t xml:space="preserve"> </w:t>
      </w:r>
      <w:r w:rsidR="00F81854">
        <w:t xml:space="preserve">broad </w:t>
      </w:r>
      <w:r w:rsidR="000F4A79" w:rsidRPr="00FA0090">
        <w:t>prior biomass ranges</w:t>
      </w:r>
      <w:r w:rsidR="00154E76">
        <w:t>.</w:t>
      </w:r>
      <w:r w:rsidR="00B7503E">
        <w:t xml:space="preserve"> </w:t>
      </w:r>
      <w:r w:rsidR="00D82C49">
        <w:t xml:space="preserve">For example, experts attending the ICES WKLIFE IV and V workshops </w:t>
      </w:r>
      <w:r w:rsidR="00D82C49">
        <w:lastRenderedPageBreak/>
        <w:t xml:space="preserve">in Lisbon in October 2014 and 2015 were able to describe stock-status and exploitation histories for some of the North Atlantic stocks, which were then translated into the corresponding relative biomass ranges given in Table 2 (ICES 2014, 2015). </w:t>
      </w:r>
    </w:p>
    <w:p w14:paraId="539D4837" w14:textId="64F96037" w:rsidR="003569AD" w:rsidRDefault="003569AD" w:rsidP="001666AB">
      <w:pPr>
        <w:spacing w:after="120" w:line="480" w:lineRule="auto"/>
      </w:pPr>
      <w:r>
        <w:t>[Table 3 near here]</w:t>
      </w:r>
    </w:p>
    <w:p w14:paraId="55FCE839" w14:textId="28F1396B" w:rsidR="00C839EB" w:rsidRPr="000F4A79" w:rsidRDefault="003569AD" w:rsidP="004E4CDC">
      <w:pPr>
        <w:pStyle w:val="berschrift3"/>
        <w:spacing w:line="480" w:lineRule="auto"/>
      </w:pPr>
      <w:bookmarkStart w:id="7" w:name="_Toc410816085"/>
      <w:r>
        <w:t>2.3.3</w:t>
      </w:r>
      <w:r w:rsidR="00C839EB" w:rsidRPr="000F4A79">
        <w:t xml:space="preserve"> Finding viable </w:t>
      </w:r>
      <w:r w:rsidR="00C839EB" w:rsidRPr="000F4A79">
        <w:rPr>
          <w:i/>
        </w:rPr>
        <w:t>r-k</w:t>
      </w:r>
      <w:r w:rsidR="00C839EB" w:rsidRPr="000F4A79">
        <w:t xml:space="preserve"> pairs</w:t>
      </w:r>
      <w:bookmarkEnd w:id="7"/>
    </w:p>
    <w:p w14:paraId="6265AC2B" w14:textId="4CF13DD0" w:rsidR="000B7391" w:rsidRDefault="008710FF" w:rsidP="004E4CDC">
      <w:pPr>
        <w:spacing w:after="120" w:line="480" w:lineRule="auto"/>
      </w:pPr>
      <w:r>
        <w:t xml:space="preserve">For the detection of viable </w:t>
      </w:r>
      <w:r w:rsidRPr="008710FF">
        <w:rPr>
          <w:i/>
        </w:rPr>
        <w:t>r-k</w:t>
      </w:r>
      <w:r>
        <w:t xml:space="preserve"> pairs, </w:t>
      </w:r>
      <w:r w:rsidR="00F97D60">
        <w:t>a</w:t>
      </w:r>
      <w:r w:rsidR="009D2D64">
        <w:t xml:space="preserve"> random </w:t>
      </w:r>
      <w:r w:rsidR="009D2D64" w:rsidRPr="009D2D64">
        <w:rPr>
          <w:i/>
        </w:rPr>
        <w:t>r-k</w:t>
      </w:r>
      <w:r w:rsidR="009D2D64">
        <w:t xml:space="preserve"> pair </w:t>
      </w:r>
      <w:r w:rsidR="00EB6FC8">
        <w:t>i</w:t>
      </w:r>
      <w:r w:rsidR="007432D2">
        <w:t xml:space="preserve">s </w:t>
      </w:r>
      <w:r w:rsidR="00F97D60">
        <w:t xml:space="preserve">selected </w:t>
      </w:r>
      <w:r w:rsidR="009D2D64">
        <w:t xml:space="preserve">from within the prior ranges for </w:t>
      </w:r>
      <w:r w:rsidR="009D2D64" w:rsidRPr="009D2D64">
        <w:rPr>
          <w:i/>
        </w:rPr>
        <w:t>r</w:t>
      </w:r>
      <w:r w:rsidR="009D2D64">
        <w:t xml:space="preserve"> and </w:t>
      </w:r>
      <w:r w:rsidR="009D2D64" w:rsidRPr="009D2D64">
        <w:rPr>
          <w:i/>
        </w:rPr>
        <w:t>k</w:t>
      </w:r>
      <w:r w:rsidR="00F97D60">
        <w:t>. T</w:t>
      </w:r>
      <w:r w:rsidR="009D2D64">
        <w:t>hen</w:t>
      </w:r>
      <w:r w:rsidR="00921EDB">
        <w:t>,</w:t>
      </w:r>
      <w:r w:rsidR="009D2D64">
        <w:t xml:space="preserve"> </w:t>
      </w:r>
      <w:r w:rsidR="000B7391">
        <w:t xml:space="preserve">a starting biomass </w:t>
      </w:r>
      <w:r w:rsidR="00EB6FC8">
        <w:t>i</w:t>
      </w:r>
      <w:r w:rsidR="007432D2">
        <w:t xml:space="preserve">s </w:t>
      </w:r>
      <w:r w:rsidR="00F97D60">
        <w:t xml:space="preserve">selected </w:t>
      </w:r>
      <w:r w:rsidR="000B7391">
        <w:t xml:space="preserve">from the prior biomass range for the first year </w:t>
      </w:r>
      <w:r w:rsidR="00F97D60">
        <w:t>and</w:t>
      </w:r>
      <w:r w:rsidR="00F1509C">
        <w:t xml:space="preserve"> </w:t>
      </w:r>
      <w:r w:rsidR="00EB6FC8">
        <w:t xml:space="preserve">Equation </w:t>
      </w:r>
      <w:r w:rsidR="003569AD">
        <w:t xml:space="preserve">1 or </w:t>
      </w:r>
      <w:r w:rsidR="00EB6FC8">
        <w:t>2</w:t>
      </w:r>
      <w:r w:rsidR="00F1509C">
        <w:t xml:space="preserve"> </w:t>
      </w:r>
      <w:r w:rsidR="00EB6FC8">
        <w:t>i</w:t>
      </w:r>
      <w:r w:rsidR="007432D2">
        <w:t xml:space="preserve">s </w:t>
      </w:r>
      <w:r w:rsidR="00F97D60">
        <w:t xml:space="preserve">used </w:t>
      </w:r>
      <w:r w:rsidR="009D2D64">
        <w:t>to calcula</w:t>
      </w:r>
      <w:r w:rsidR="00F97D60">
        <w:t xml:space="preserve">te the predicted biomass in </w:t>
      </w:r>
      <w:r w:rsidR="009D2D64">
        <w:t>subsequent year</w:t>
      </w:r>
      <w:r w:rsidR="00F97D60">
        <w:t>s</w:t>
      </w:r>
      <w:r w:rsidR="009D2D64">
        <w:t xml:space="preserve">. An </w:t>
      </w:r>
      <w:r w:rsidR="009D2D64" w:rsidRPr="009D2D64">
        <w:rPr>
          <w:i/>
        </w:rPr>
        <w:t>r-k</w:t>
      </w:r>
      <w:r w:rsidR="009D2D64">
        <w:t xml:space="preserve"> pair </w:t>
      </w:r>
      <w:r w:rsidR="00EB6FC8">
        <w:t>i</w:t>
      </w:r>
      <w:r w:rsidR="007432D2">
        <w:t xml:space="preserve">s </w:t>
      </w:r>
      <w:r w:rsidR="009D2D64">
        <w:t>discarded if any of the</w:t>
      </w:r>
      <w:r w:rsidR="007432D2">
        <w:t xml:space="preserve"> following</w:t>
      </w:r>
      <w:r w:rsidR="009D2D64">
        <w:t xml:space="preserve"> conditions </w:t>
      </w:r>
      <w:r w:rsidR="007432D2">
        <w:t>applie</w:t>
      </w:r>
      <w:r w:rsidR="00EB6FC8">
        <w:t>s</w:t>
      </w:r>
      <w:r w:rsidR="009D2D64">
        <w:t>:</w:t>
      </w:r>
    </w:p>
    <w:p w14:paraId="718AE92D" w14:textId="676F0DF5" w:rsidR="009D2D64" w:rsidRDefault="009D2D64" w:rsidP="004E4CDC">
      <w:pPr>
        <w:pStyle w:val="Listenabsatz"/>
        <w:numPr>
          <w:ilvl w:val="0"/>
          <w:numId w:val="1"/>
        </w:numPr>
        <w:spacing w:after="120" w:line="480" w:lineRule="auto"/>
      </w:pPr>
      <w:r>
        <w:t xml:space="preserve">The predicted biomass </w:t>
      </w:r>
      <w:r w:rsidR="00EB6FC8">
        <w:t>i</w:t>
      </w:r>
      <w:r w:rsidR="007432D2">
        <w:t xml:space="preserve">s </w:t>
      </w:r>
      <w:r>
        <w:t xml:space="preserve">smaller than 0.01 </w:t>
      </w:r>
      <w:r w:rsidRPr="00F62CB2">
        <w:rPr>
          <w:i/>
        </w:rPr>
        <w:t>k</w:t>
      </w:r>
      <w:r w:rsidR="00100F86">
        <w:t xml:space="preserve"> (the stock crashes</w:t>
      </w:r>
      <w:r>
        <w:t>);</w:t>
      </w:r>
    </w:p>
    <w:p w14:paraId="67DD6952" w14:textId="07905992" w:rsidR="009D2D64" w:rsidRDefault="009D2D64" w:rsidP="004E4CDC">
      <w:pPr>
        <w:pStyle w:val="Listenabsatz"/>
        <w:numPr>
          <w:ilvl w:val="0"/>
          <w:numId w:val="1"/>
        </w:numPr>
        <w:spacing w:after="120" w:line="480" w:lineRule="auto"/>
      </w:pPr>
      <w:r>
        <w:t xml:space="preserve">The predicted biomass </w:t>
      </w:r>
      <w:r w:rsidR="007432D2">
        <w:t>f</w:t>
      </w:r>
      <w:r w:rsidR="00EB6FC8">
        <w:t>alls</w:t>
      </w:r>
      <w:r w:rsidR="007432D2">
        <w:t xml:space="preserve"> </w:t>
      </w:r>
      <w:r>
        <w:t xml:space="preserve">outside the prior biomass range </w:t>
      </w:r>
      <w:r w:rsidR="008710FF">
        <w:t>of the</w:t>
      </w:r>
      <w:r>
        <w:t xml:space="preserve"> intermediate year;</w:t>
      </w:r>
    </w:p>
    <w:p w14:paraId="341E4C3A" w14:textId="68984D5B" w:rsidR="009D2D64" w:rsidRDefault="009D2D64" w:rsidP="004E4CDC">
      <w:pPr>
        <w:pStyle w:val="Listenabsatz"/>
        <w:numPr>
          <w:ilvl w:val="0"/>
          <w:numId w:val="1"/>
        </w:numPr>
        <w:spacing w:after="120" w:line="480" w:lineRule="auto"/>
      </w:pPr>
      <w:r>
        <w:t xml:space="preserve">The predicted biomass </w:t>
      </w:r>
      <w:r w:rsidR="007432D2">
        <w:t>f</w:t>
      </w:r>
      <w:r w:rsidR="00EB6FC8">
        <w:t>alls</w:t>
      </w:r>
      <w:r w:rsidR="007432D2">
        <w:t xml:space="preserve"> </w:t>
      </w:r>
      <w:r>
        <w:t xml:space="preserve">outside the prior biomass range </w:t>
      </w:r>
      <w:r w:rsidR="008710FF">
        <w:t>of</w:t>
      </w:r>
      <w:r>
        <w:t xml:space="preserve"> the final year;</w:t>
      </w:r>
    </w:p>
    <w:p w14:paraId="1F8D4B0A" w14:textId="3B8711AB" w:rsidR="009D2D64" w:rsidRDefault="00F62CB2" w:rsidP="004E4CDC">
      <w:pPr>
        <w:spacing w:after="120" w:line="480" w:lineRule="auto"/>
      </w:pPr>
      <w:r>
        <w:t>If</w:t>
      </w:r>
      <w:r w:rsidR="00A46D0E">
        <w:t xml:space="preserve"> none of these conditions apply</w:t>
      </w:r>
      <w:r>
        <w:t xml:space="preserve">, then the </w:t>
      </w:r>
      <w:r w:rsidRPr="00F62CB2">
        <w:rPr>
          <w:i/>
        </w:rPr>
        <w:t>r-k</w:t>
      </w:r>
      <w:r>
        <w:t xml:space="preserve"> pair and the trajectory of predicted biomass </w:t>
      </w:r>
      <w:r w:rsidR="00EB6FC8">
        <w:t>a</w:t>
      </w:r>
      <w:r w:rsidR="007432D2">
        <w:t xml:space="preserve">re </w:t>
      </w:r>
      <w:r>
        <w:t xml:space="preserve">considered viable and </w:t>
      </w:r>
      <w:r w:rsidR="00EB6FC8">
        <w:t>a</w:t>
      </w:r>
      <w:r w:rsidR="007432D2">
        <w:t xml:space="preserve">re </w:t>
      </w:r>
      <w:r>
        <w:t xml:space="preserve">stored for analysis. </w:t>
      </w:r>
      <w:r w:rsidR="008710FF">
        <w:t>For the purpose of this study, t</w:t>
      </w:r>
      <w:r w:rsidR="00680FDF">
        <w:t xml:space="preserve">his process </w:t>
      </w:r>
      <w:r w:rsidR="00FD1A38">
        <w:t xml:space="preserve">was </w:t>
      </w:r>
      <w:r w:rsidR="00144FCB">
        <w:t>applied to</w:t>
      </w:r>
      <w:r w:rsidR="00BA0BA6">
        <w:t xml:space="preserve"> </w:t>
      </w:r>
      <w:r w:rsidR="00144FCB">
        <w:t>10,000 – 2</w:t>
      </w:r>
      <w:r w:rsidR="00BA0BA6">
        <w:t xml:space="preserve">00,000 random </w:t>
      </w:r>
      <w:r w:rsidR="008710FF" w:rsidRPr="008710FF">
        <w:rPr>
          <w:i/>
        </w:rPr>
        <w:t>r-k</w:t>
      </w:r>
      <w:r w:rsidR="008710FF">
        <w:t xml:space="preserve"> pairs, 11</w:t>
      </w:r>
      <w:r w:rsidR="00EB6FC8">
        <w:t>-21</w:t>
      </w:r>
      <w:r w:rsidR="008710FF">
        <w:t xml:space="preserve"> start-biomass values, and </w:t>
      </w:r>
      <w:r w:rsidR="00EB6FC8">
        <w:t>3-6</w:t>
      </w:r>
      <w:r w:rsidR="008710FF">
        <w:t xml:space="preserve"> random error patterns for each </w:t>
      </w:r>
      <w:r w:rsidR="008710FF" w:rsidRPr="008710FF">
        <w:rPr>
          <w:i/>
        </w:rPr>
        <w:t>r-k</w:t>
      </w:r>
      <w:r w:rsidR="008710FF">
        <w:t xml:space="preserve">-start-biomass combination. </w:t>
      </w:r>
      <w:r w:rsidR="00144FCB">
        <w:t xml:space="preserve">In order to speed up </w:t>
      </w:r>
      <w:r w:rsidR="00BA0BA6">
        <w:t xml:space="preserve">processing, </w:t>
      </w:r>
      <w:r w:rsidR="00144FCB">
        <w:t xml:space="preserve">the search </w:t>
      </w:r>
      <w:r w:rsidR="00BA0BA6">
        <w:t>for viable</w:t>
      </w:r>
      <w:r w:rsidR="00144FCB">
        <w:t xml:space="preserve"> </w:t>
      </w:r>
      <w:r w:rsidR="00144FCB" w:rsidRPr="003557B7">
        <w:rPr>
          <w:i/>
        </w:rPr>
        <w:t>r-k</w:t>
      </w:r>
      <w:r w:rsidR="00144FCB">
        <w:t xml:space="preserve"> pairs </w:t>
      </w:r>
      <w:r w:rsidR="001074CC">
        <w:t>i</w:t>
      </w:r>
      <w:r w:rsidR="00BA0BA6">
        <w:t>s</w:t>
      </w:r>
      <w:r w:rsidR="00144FCB">
        <w:t xml:space="preserve"> </w:t>
      </w:r>
      <w:r w:rsidR="00BA0BA6">
        <w:t>terminated</w:t>
      </w:r>
      <w:r w:rsidR="00144FCB">
        <w:t xml:space="preserve"> once more then 1,000 </w:t>
      </w:r>
      <w:r w:rsidR="00BA0BA6">
        <w:t>pairs</w:t>
      </w:r>
      <w:r w:rsidR="00144FCB">
        <w:t xml:space="preserve"> </w:t>
      </w:r>
      <w:r w:rsidR="001074CC">
        <w:t>a</w:t>
      </w:r>
      <w:r w:rsidR="00144FCB">
        <w:t xml:space="preserve">re found. </w:t>
      </w:r>
      <w:r w:rsidR="003557B7">
        <w:t xml:space="preserve">For triangles with a thin tip an additional search </w:t>
      </w:r>
      <w:r w:rsidR="001074CC">
        <w:t>i</w:t>
      </w:r>
      <w:r w:rsidR="003557B7">
        <w:t xml:space="preserve">s conducted in the </w:t>
      </w:r>
      <w:r w:rsidR="00D35E04">
        <w:t xml:space="preserve">tip </w:t>
      </w:r>
      <w:r w:rsidR="003557B7">
        <w:t>region</w:t>
      </w:r>
      <w:r w:rsidR="00D35E04">
        <w:t>.</w:t>
      </w:r>
    </w:p>
    <w:p w14:paraId="0A84787B" w14:textId="37FFC5B8" w:rsidR="00C839EB" w:rsidRPr="000F4A79" w:rsidRDefault="00CC7C99" w:rsidP="004E4CDC">
      <w:pPr>
        <w:pStyle w:val="berschrift3"/>
        <w:spacing w:line="480" w:lineRule="auto"/>
      </w:pPr>
      <w:bookmarkStart w:id="8" w:name="_Toc410816086"/>
      <w:r>
        <w:t>2.3.4</w:t>
      </w:r>
      <w:r w:rsidR="00C839EB" w:rsidRPr="000F4A79">
        <w:t xml:space="preserve"> Finding the most probable values </w:t>
      </w:r>
      <w:r w:rsidR="00C839EB" w:rsidRPr="003557B7">
        <w:t xml:space="preserve">of </w:t>
      </w:r>
      <w:r w:rsidR="00C839EB" w:rsidRPr="000F4A79">
        <w:rPr>
          <w:i/>
        </w:rPr>
        <w:t>r, k</w:t>
      </w:r>
      <w:r w:rsidR="002430CF">
        <w:t>,</w:t>
      </w:r>
      <w:r w:rsidR="00C839EB" w:rsidRPr="000F4A79">
        <w:t xml:space="preserve"> </w:t>
      </w:r>
      <w:r w:rsidR="00C839EB" w:rsidRPr="000F4A79">
        <w:rPr>
          <w:i/>
        </w:rPr>
        <w:t>MSY</w:t>
      </w:r>
      <w:r w:rsidR="00C839EB" w:rsidRPr="002430CF">
        <w:t xml:space="preserve"> </w:t>
      </w:r>
      <w:r w:rsidR="002430CF" w:rsidRPr="002430CF">
        <w:t>and predicted biomass</w:t>
      </w:r>
      <w:bookmarkEnd w:id="8"/>
    </w:p>
    <w:p w14:paraId="170EC2DB" w14:textId="0C4BDC46" w:rsidR="00A20611" w:rsidRDefault="000F4A79" w:rsidP="004E4CDC">
      <w:pPr>
        <w:pStyle w:val="Beschriftung"/>
        <w:spacing w:after="120" w:line="480" w:lineRule="auto"/>
        <w:rPr>
          <w:b w:val="0"/>
          <w:color w:val="auto"/>
          <w:sz w:val="22"/>
          <w:szCs w:val="22"/>
        </w:rPr>
      </w:pPr>
      <w:r w:rsidRPr="005B6F6F">
        <w:rPr>
          <w:b w:val="0"/>
          <w:color w:val="auto"/>
          <w:sz w:val="22"/>
          <w:szCs w:val="22"/>
        </w:rPr>
        <w:t xml:space="preserve">CMSY seeks the most probable </w:t>
      </w:r>
      <w:r w:rsidRPr="005B6F6F">
        <w:rPr>
          <w:b w:val="0"/>
          <w:i/>
          <w:color w:val="auto"/>
          <w:sz w:val="22"/>
          <w:szCs w:val="22"/>
        </w:rPr>
        <w:t>r-k</w:t>
      </w:r>
      <w:r w:rsidRPr="005B6F6F">
        <w:rPr>
          <w:b w:val="0"/>
          <w:color w:val="auto"/>
          <w:sz w:val="22"/>
          <w:szCs w:val="22"/>
        </w:rPr>
        <w:t xml:space="preserve"> pair near the tip of the triangle</w:t>
      </w:r>
      <w:r w:rsidR="00A20611">
        <w:rPr>
          <w:b w:val="0"/>
          <w:color w:val="auto"/>
          <w:sz w:val="22"/>
          <w:szCs w:val="22"/>
        </w:rPr>
        <w:t xml:space="preserve"> of viable pairs</w:t>
      </w:r>
      <w:r w:rsidR="008710FF">
        <w:rPr>
          <w:b w:val="0"/>
          <w:color w:val="auto"/>
          <w:sz w:val="22"/>
          <w:szCs w:val="22"/>
        </w:rPr>
        <w:t xml:space="preserve"> </w:t>
      </w:r>
      <w:r w:rsidR="008710FF" w:rsidRPr="00147C01">
        <w:rPr>
          <w:b w:val="0"/>
          <w:color w:val="auto"/>
          <w:sz w:val="22"/>
          <w:szCs w:val="22"/>
        </w:rPr>
        <w:t>(</w:t>
      </w:r>
      <w:r w:rsidR="00747DA0">
        <w:rPr>
          <w:b w:val="0"/>
          <w:color w:val="auto"/>
          <w:sz w:val="22"/>
          <w:szCs w:val="22"/>
        </w:rPr>
        <w:t>Figure 1)</w:t>
      </w:r>
      <w:r w:rsidRPr="005B6F6F">
        <w:rPr>
          <w:b w:val="0"/>
          <w:color w:val="auto"/>
          <w:sz w:val="22"/>
          <w:szCs w:val="22"/>
        </w:rPr>
        <w:t xml:space="preserve">. For this purpose, </w:t>
      </w:r>
      <w:r w:rsidR="0061211E">
        <w:rPr>
          <w:b w:val="0"/>
          <w:color w:val="auto"/>
          <w:sz w:val="22"/>
          <w:szCs w:val="22"/>
        </w:rPr>
        <w:t xml:space="preserve">all </w:t>
      </w:r>
      <w:r w:rsidR="003114D1">
        <w:rPr>
          <w:b w:val="0"/>
          <w:color w:val="auto"/>
          <w:sz w:val="22"/>
          <w:szCs w:val="22"/>
        </w:rPr>
        <w:t>viable</w:t>
      </w:r>
      <w:r w:rsidRPr="005B6F6F">
        <w:rPr>
          <w:b w:val="0"/>
          <w:color w:val="auto"/>
          <w:sz w:val="22"/>
          <w:szCs w:val="22"/>
        </w:rPr>
        <w:t xml:space="preserve"> </w:t>
      </w:r>
      <w:r w:rsidRPr="005B6F6F">
        <w:rPr>
          <w:b w:val="0"/>
          <w:i/>
          <w:color w:val="auto"/>
          <w:sz w:val="22"/>
          <w:szCs w:val="22"/>
        </w:rPr>
        <w:t>r</w:t>
      </w:r>
      <w:r w:rsidR="00A5087E">
        <w:rPr>
          <w:b w:val="0"/>
          <w:color w:val="auto"/>
          <w:sz w:val="22"/>
          <w:szCs w:val="22"/>
        </w:rPr>
        <w:t xml:space="preserve">-values </w:t>
      </w:r>
      <w:r w:rsidR="001074CC">
        <w:rPr>
          <w:b w:val="0"/>
          <w:color w:val="auto"/>
          <w:sz w:val="22"/>
          <w:szCs w:val="22"/>
        </w:rPr>
        <w:t>a</w:t>
      </w:r>
      <w:r w:rsidR="00A5087E">
        <w:rPr>
          <w:b w:val="0"/>
          <w:color w:val="auto"/>
          <w:sz w:val="22"/>
          <w:szCs w:val="22"/>
        </w:rPr>
        <w:t xml:space="preserve">re </w:t>
      </w:r>
      <w:r w:rsidR="001074CC">
        <w:rPr>
          <w:b w:val="0"/>
          <w:color w:val="auto"/>
          <w:sz w:val="22"/>
          <w:szCs w:val="22"/>
        </w:rPr>
        <w:t xml:space="preserve">assigned </w:t>
      </w:r>
      <w:r w:rsidR="00A5087E">
        <w:rPr>
          <w:b w:val="0"/>
          <w:color w:val="auto"/>
          <w:sz w:val="22"/>
          <w:szCs w:val="22"/>
        </w:rPr>
        <w:t xml:space="preserve">to </w:t>
      </w:r>
      <w:r w:rsidRPr="005B6F6F">
        <w:rPr>
          <w:b w:val="0"/>
          <w:color w:val="auto"/>
          <w:sz w:val="22"/>
          <w:szCs w:val="22"/>
        </w:rPr>
        <w:t>25</w:t>
      </w:r>
      <w:r w:rsidR="001074CC">
        <w:rPr>
          <w:b w:val="0"/>
          <w:color w:val="auto"/>
          <w:sz w:val="22"/>
          <w:szCs w:val="22"/>
        </w:rPr>
        <w:t>-100</w:t>
      </w:r>
      <w:r w:rsidRPr="005B6F6F">
        <w:rPr>
          <w:b w:val="0"/>
          <w:color w:val="auto"/>
          <w:sz w:val="22"/>
          <w:szCs w:val="22"/>
        </w:rPr>
        <w:t xml:space="preserve"> </w:t>
      </w:r>
      <w:r w:rsidR="00A5087E">
        <w:rPr>
          <w:b w:val="0"/>
          <w:color w:val="auto"/>
          <w:sz w:val="22"/>
          <w:szCs w:val="22"/>
        </w:rPr>
        <w:t>bins</w:t>
      </w:r>
      <w:r w:rsidR="0076593B" w:rsidRPr="005B6F6F">
        <w:rPr>
          <w:b w:val="0"/>
          <w:color w:val="auto"/>
          <w:sz w:val="22"/>
          <w:szCs w:val="22"/>
        </w:rPr>
        <w:t xml:space="preserve"> of equal width in log-space. The </w:t>
      </w:r>
      <w:r w:rsidR="001074CC">
        <w:rPr>
          <w:b w:val="0"/>
          <w:color w:val="auto"/>
          <w:sz w:val="22"/>
          <w:szCs w:val="22"/>
        </w:rPr>
        <w:t>75</w:t>
      </w:r>
      <w:r w:rsidR="001074CC" w:rsidRPr="001074CC">
        <w:rPr>
          <w:b w:val="0"/>
          <w:color w:val="auto"/>
          <w:sz w:val="22"/>
          <w:szCs w:val="22"/>
          <w:vertAlign w:val="superscript"/>
        </w:rPr>
        <w:t>th</w:t>
      </w:r>
      <w:r w:rsidR="001074CC">
        <w:rPr>
          <w:b w:val="0"/>
          <w:color w:val="auto"/>
          <w:sz w:val="22"/>
          <w:szCs w:val="22"/>
        </w:rPr>
        <w:t xml:space="preserve"> percentile</w:t>
      </w:r>
      <w:r w:rsidR="0076593B" w:rsidRPr="005B6F6F">
        <w:rPr>
          <w:b w:val="0"/>
          <w:color w:val="auto"/>
          <w:sz w:val="22"/>
          <w:szCs w:val="22"/>
        </w:rPr>
        <w:t xml:space="preserve"> of the mid-</w:t>
      </w:r>
      <w:r w:rsidRPr="005B6F6F">
        <w:rPr>
          <w:b w:val="0"/>
          <w:color w:val="auto"/>
          <w:sz w:val="22"/>
          <w:szCs w:val="22"/>
        </w:rPr>
        <w:t xml:space="preserve">values of </w:t>
      </w:r>
      <w:r w:rsidR="0076593B" w:rsidRPr="005B6F6F">
        <w:rPr>
          <w:b w:val="0"/>
          <w:color w:val="auto"/>
          <w:sz w:val="22"/>
          <w:szCs w:val="22"/>
        </w:rPr>
        <w:t>occupied bins</w:t>
      </w:r>
      <w:r w:rsidRPr="005B6F6F">
        <w:rPr>
          <w:b w:val="0"/>
          <w:color w:val="auto"/>
          <w:sz w:val="22"/>
          <w:szCs w:val="22"/>
        </w:rPr>
        <w:t xml:space="preserve"> </w:t>
      </w:r>
      <w:r w:rsidR="001074CC">
        <w:rPr>
          <w:b w:val="0"/>
          <w:color w:val="auto"/>
          <w:sz w:val="22"/>
          <w:szCs w:val="22"/>
        </w:rPr>
        <w:t>i</w:t>
      </w:r>
      <w:r w:rsidRPr="005B6F6F">
        <w:rPr>
          <w:b w:val="0"/>
          <w:color w:val="auto"/>
          <w:sz w:val="22"/>
          <w:szCs w:val="22"/>
        </w:rPr>
        <w:t xml:space="preserve">s taken as </w:t>
      </w:r>
      <w:r w:rsidR="00A5087E">
        <w:rPr>
          <w:b w:val="0"/>
          <w:color w:val="auto"/>
          <w:sz w:val="22"/>
          <w:szCs w:val="22"/>
        </w:rPr>
        <w:t xml:space="preserve">the </w:t>
      </w:r>
      <w:r w:rsidRPr="005B6F6F">
        <w:rPr>
          <w:b w:val="0"/>
          <w:color w:val="auto"/>
          <w:sz w:val="22"/>
          <w:szCs w:val="22"/>
        </w:rPr>
        <w:t xml:space="preserve">most probable estimate of </w:t>
      </w:r>
      <w:r w:rsidRPr="005B6F6F">
        <w:rPr>
          <w:b w:val="0"/>
          <w:i/>
          <w:color w:val="auto"/>
          <w:sz w:val="22"/>
          <w:szCs w:val="22"/>
        </w:rPr>
        <w:t>r</w:t>
      </w:r>
      <w:r w:rsidRPr="005B6F6F">
        <w:rPr>
          <w:b w:val="0"/>
          <w:color w:val="auto"/>
          <w:sz w:val="22"/>
          <w:szCs w:val="22"/>
        </w:rPr>
        <w:t>. Th</w:t>
      </w:r>
      <w:r w:rsidR="00DF567D">
        <w:rPr>
          <w:b w:val="0"/>
          <w:color w:val="auto"/>
          <w:sz w:val="22"/>
          <w:szCs w:val="22"/>
        </w:rPr>
        <w:t xml:space="preserve">is procedure </w:t>
      </w:r>
      <w:r w:rsidRPr="005B6F6F">
        <w:rPr>
          <w:b w:val="0"/>
          <w:color w:val="auto"/>
          <w:sz w:val="22"/>
          <w:szCs w:val="22"/>
        </w:rPr>
        <w:t>giv</w:t>
      </w:r>
      <w:r w:rsidR="00DF567D">
        <w:rPr>
          <w:b w:val="0"/>
          <w:color w:val="auto"/>
          <w:sz w:val="22"/>
          <w:szCs w:val="22"/>
        </w:rPr>
        <w:t>es</w:t>
      </w:r>
      <w:r w:rsidRPr="005B6F6F">
        <w:rPr>
          <w:b w:val="0"/>
          <w:color w:val="auto"/>
          <w:sz w:val="22"/>
          <w:szCs w:val="22"/>
        </w:rPr>
        <w:t xml:space="preserve"> </w:t>
      </w:r>
      <w:r w:rsidR="00DF567D">
        <w:rPr>
          <w:b w:val="0"/>
          <w:color w:val="auto"/>
          <w:sz w:val="22"/>
          <w:szCs w:val="22"/>
        </w:rPr>
        <w:t xml:space="preserve">equal weight to </w:t>
      </w:r>
      <w:r w:rsidRPr="005B6F6F">
        <w:rPr>
          <w:b w:val="0"/>
          <w:color w:val="auto"/>
          <w:sz w:val="22"/>
          <w:szCs w:val="22"/>
        </w:rPr>
        <w:t>all oc</w:t>
      </w:r>
      <w:r w:rsidR="00FD1A38">
        <w:rPr>
          <w:b w:val="0"/>
          <w:color w:val="auto"/>
          <w:sz w:val="22"/>
          <w:szCs w:val="22"/>
        </w:rPr>
        <w:t xml:space="preserve">cupied bins </w:t>
      </w:r>
      <w:r w:rsidR="00DF567D">
        <w:rPr>
          <w:b w:val="0"/>
          <w:color w:val="auto"/>
          <w:sz w:val="22"/>
          <w:szCs w:val="22"/>
        </w:rPr>
        <w:t xml:space="preserve">and </w:t>
      </w:r>
      <w:r w:rsidR="00FD1A38">
        <w:rPr>
          <w:b w:val="0"/>
          <w:color w:val="auto"/>
          <w:sz w:val="22"/>
          <w:szCs w:val="22"/>
        </w:rPr>
        <w:t>reduce</w:t>
      </w:r>
      <w:r w:rsidR="00DF567D">
        <w:rPr>
          <w:b w:val="0"/>
          <w:color w:val="auto"/>
          <w:sz w:val="22"/>
          <w:szCs w:val="22"/>
        </w:rPr>
        <w:t>s</w:t>
      </w:r>
      <w:r w:rsidRPr="005B6F6F">
        <w:rPr>
          <w:b w:val="0"/>
          <w:color w:val="auto"/>
          <w:sz w:val="22"/>
          <w:szCs w:val="22"/>
        </w:rPr>
        <w:t xml:space="preserve"> the bias cause</w:t>
      </w:r>
      <w:r w:rsidR="00C52233">
        <w:rPr>
          <w:b w:val="0"/>
          <w:color w:val="auto"/>
          <w:sz w:val="22"/>
          <w:szCs w:val="22"/>
        </w:rPr>
        <w:t>d</w:t>
      </w:r>
      <w:r w:rsidRPr="005B6F6F">
        <w:rPr>
          <w:b w:val="0"/>
          <w:color w:val="auto"/>
          <w:sz w:val="22"/>
          <w:szCs w:val="22"/>
        </w:rPr>
        <w:t xml:space="preserve"> by the triangular </w:t>
      </w:r>
      <w:r w:rsidR="001074CC">
        <w:rPr>
          <w:b w:val="0"/>
          <w:color w:val="auto"/>
          <w:sz w:val="22"/>
          <w:szCs w:val="22"/>
        </w:rPr>
        <w:t xml:space="preserve">(instead of ellipsoid) </w:t>
      </w:r>
      <w:r w:rsidRPr="005B6F6F">
        <w:rPr>
          <w:b w:val="0"/>
          <w:color w:val="auto"/>
          <w:sz w:val="22"/>
          <w:szCs w:val="22"/>
        </w:rPr>
        <w:t xml:space="preserve">shape of </w:t>
      </w:r>
      <w:r w:rsidR="001074CC">
        <w:rPr>
          <w:b w:val="0"/>
          <w:color w:val="auto"/>
          <w:sz w:val="22"/>
          <w:szCs w:val="22"/>
        </w:rPr>
        <w:lastRenderedPageBreak/>
        <w:t xml:space="preserve">the cloud of viable </w:t>
      </w:r>
      <w:r w:rsidR="001074CC" w:rsidRPr="001074CC">
        <w:rPr>
          <w:b w:val="0"/>
          <w:i/>
          <w:color w:val="auto"/>
          <w:sz w:val="22"/>
          <w:szCs w:val="22"/>
        </w:rPr>
        <w:t>r-k</w:t>
      </w:r>
      <w:r w:rsidR="001074CC">
        <w:rPr>
          <w:b w:val="0"/>
          <w:color w:val="auto"/>
          <w:sz w:val="22"/>
          <w:szCs w:val="22"/>
        </w:rPr>
        <w:t xml:space="preserve"> pairs</w:t>
      </w:r>
      <w:r w:rsidR="00CC7C99">
        <w:rPr>
          <w:b w:val="0"/>
          <w:color w:val="auto"/>
          <w:sz w:val="22"/>
          <w:szCs w:val="22"/>
        </w:rPr>
        <w:t xml:space="preserve"> (compare cloud of probable </w:t>
      </w:r>
      <w:r w:rsidR="00CC7C99" w:rsidRPr="00CC7C99">
        <w:rPr>
          <w:b w:val="0"/>
          <w:i/>
          <w:color w:val="auto"/>
          <w:sz w:val="22"/>
          <w:szCs w:val="22"/>
        </w:rPr>
        <w:t>r-k</w:t>
      </w:r>
      <w:r w:rsidR="00CC7C99">
        <w:rPr>
          <w:b w:val="0"/>
          <w:color w:val="auto"/>
          <w:sz w:val="22"/>
          <w:szCs w:val="22"/>
        </w:rPr>
        <w:t xml:space="preserve"> pairs estimated by BSM in Fig. 1)</w:t>
      </w:r>
      <w:r w:rsidRPr="005B6F6F">
        <w:rPr>
          <w:b w:val="0"/>
          <w:color w:val="auto"/>
          <w:sz w:val="22"/>
          <w:szCs w:val="22"/>
        </w:rPr>
        <w:t xml:space="preserve">. </w:t>
      </w:r>
      <w:r w:rsidR="00A20611">
        <w:rPr>
          <w:b w:val="0"/>
          <w:color w:val="auto"/>
          <w:sz w:val="22"/>
          <w:szCs w:val="22"/>
        </w:rPr>
        <w:t>Approximate 95% confidence limits of</w:t>
      </w:r>
      <w:r w:rsidR="001074CC">
        <w:rPr>
          <w:b w:val="0"/>
          <w:color w:val="auto"/>
          <w:sz w:val="22"/>
          <w:szCs w:val="22"/>
        </w:rPr>
        <w:t xml:space="preserve"> the most probabl</w:t>
      </w:r>
      <w:r w:rsidR="00043954">
        <w:rPr>
          <w:b w:val="0"/>
          <w:color w:val="auto"/>
          <w:sz w:val="22"/>
          <w:szCs w:val="22"/>
        </w:rPr>
        <w:t>e</w:t>
      </w:r>
      <w:r w:rsidR="00A20611">
        <w:rPr>
          <w:b w:val="0"/>
          <w:color w:val="auto"/>
          <w:sz w:val="22"/>
          <w:szCs w:val="22"/>
        </w:rPr>
        <w:t xml:space="preserve"> </w:t>
      </w:r>
      <w:r w:rsidR="00A20611" w:rsidRPr="00A20611">
        <w:rPr>
          <w:b w:val="0"/>
          <w:i/>
          <w:color w:val="auto"/>
          <w:sz w:val="22"/>
          <w:szCs w:val="22"/>
        </w:rPr>
        <w:t>r</w:t>
      </w:r>
      <w:r w:rsidR="00A20611">
        <w:rPr>
          <w:b w:val="0"/>
          <w:color w:val="auto"/>
          <w:sz w:val="22"/>
          <w:szCs w:val="22"/>
        </w:rPr>
        <w:t xml:space="preserve"> </w:t>
      </w:r>
      <w:r w:rsidR="001074CC">
        <w:rPr>
          <w:b w:val="0"/>
          <w:color w:val="auto"/>
          <w:sz w:val="22"/>
          <w:szCs w:val="22"/>
        </w:rPr>
        <w:t>are</w:t>
      </w:r>
      <w:r w:rsidR="00A20611">
        <w:rPr>
          <w:b w:val="0"/>
          <w:color w:val="auto"/>
          <w:sz w:val="22"/>
          <w:szCs w:val="22"/>
        </w:rPr>
        <w:t xml:space="preserve"> obtained as </w:t>
      </w:r>
      <w:r w:rsidR="00E57322">
        <w:rPr>
          <w:b w:val="0"/>
          <w:color w:val="auto"/>
          <w:sz w:val="22"/>
          <w:szCs w:val="22"/>
        </w:rPr>
        <w:t>51.2</w:t>
      </w:r>
      <w:r w:rsidR="00A20611">
        <w:rPr>
          <w:b w:val="0"/>
          <w:color w:val="auto"/>
          <w:sz w:val="22"/>
          <w:szCs w:val="22"/>
        </w:rPr>
        <w:t>5</w:t>
      </w:r>
      <w:r w:rsidR="00A20611" w:rsidRPr="00A20611">
        <w:rPr>
          <w:b w:val="0"/>
          <w:color w:val="auto"/>
          <w:sz w:val="22"/>
          <w:szCs w:val="22"/>
          <w:vertAlign w:val="superscript"/>
        </w:rPr>
        <w:t>th</w:t>
      </w:r>
      <w:r w:rsidR="00A20611">
        <w:rPr>
          <w:b w:val="0"/>
          <w:color w:val="auto"/>
          <w:sz w:val="22"/>
          <w:szCs w:val="22"/>
        </w:rPr>
        <w:t xml:space="preserve"> and 9</w:t>
      </w:r>
      <w:r w:rsidR="00E57322">
        <w:rPr>
          <w:b w:val="0"/>
          <w:color w:val="auto"/>
          <w:sz w:val="22"/>
          <w:szCs w:val="22"/>
        </w:rPr>
        <w:t>8.</w:t>
      </w:r>
      <w:r w:rsidR="00A20611">
        <w:rPr>
          <w:b w:val="0"/>
          <w:color w:val="auto"/>
          <w:sz w:val="22"/>
          <w:szCs w:val="22"/>
        </w:rPr>
        <w:t>75</w:t>
      </w:r>
      <w:r w:rsidR="00A20611" w:rsidRPr="00A20611">
        <w:rPr>
          <w:b w:val="0"/>
          <w:color w:val="auto"/>
          <w:sz w:val="22"/>
          <w:szCs w:val="22"/>
          <w:vertAlign w:val="superscript"/>
        </w:rPr>
        <w:t>th</w:t>
      </w:r>
      <w:r w:rsidR="00A20611">
        <w:rPr>
          <w:b w:val="0"/>
          <w:color w:val="auto"/>
          <w:sz w:val="22"/>
          <w:szCs w:val="22"/>
        </w:rPr>
        <w:t xml:space="preserve"> percentiles of the mid-values of occupied bins</w:t>
      </w:r>
      <w:r w:rsidR="00E57322">
        <w:rPr>
          <w:b w:val="0"/>
          <w:color w:val="auto"/>
          <w:sz w:val="22"/>
          <w:szCs w:val="22"/>
        </w:rPr>
        <w:t>, respectively</w:t>
      </w:r>
      <w:r w:rsidR="00A20611">
        <w:rPr>
          <w:b w:val="0"/>
          <w:color w:val="auto"/>
          <w:sz w:val="22"/>
          <w:szCs w:val="22"/>
        </w:rPr>
        <w:t xml:space="preserve">. </w:t>
      </w:r>
    </w:p>
    <w:p w14:paraId="712C4162" w14:textId="6C65937C" w:rsidR="00D13BCB" w:rsidRDefault="00F230E2" w:rsidP="00D13BCB">
      <w:pPr>
        <w:pStyle w:val="Beschriftung"/>
        <w:spacing w:after="120" w:line="480" w:lineRule="auto"/>
        <w:rPr>
          <w:b w:val="0"/>
          <w:color w:val="auto"/>
          <w:sz w:val="22"/>
          <w:szCs w:val="22"/>
        </w:rPr>
      </w:pPr>
      <w:r>
        <w:rPr>
          <w:b w:val="0"/>
          <w:color w:val="auto"/>
          <w:sz w:val="22"/>
          <w:szCs w:val="22"/>
        </w:rPr>
        <w:t xml:space="preserve">The most probable value of </w:t>
      </w:r>
      <w:r w:rsidRPr="00F230E2">
        <w:rPr>
          <w:b w:val="0"/>
          <w:i/>
          <w:color w:val="auto"/>
          <w:sz w:val="22"/>
          <w:szCs w:val="22"/>
        </w:rPr>
        <w:t>k</w:t>
      </w:r>
      <w:r>
        <w:rPr>
          <w:b w:val="0"/>
          <w:color w:val="auto"/>
          <w:sz w:val="22"/>
          <w:szCs w:val="22"/>
        </w:rPr>
        <w:t xml:space="preserve"> </w:t>
      </w:r>
      <w:r w:rsidR="00E57322">
        <w:rPr>
          <w:b w:val="0"/>
          <w:color w:val="auto"/>
          <w:sz w:val="22"/>
          <w:szCs w:val="22"/>
        </w:rPr>
        <w:t>i</w:t>
      </w:r>
      <w:r w:rsidR="008710FF">
        <w:rPr>
          <w:b w:val="0"/>
          <w:color w:val="auto"/>
          <w:sz w:val="22"/>
          <w:szCs w:val="22"/>
        </w:rPr>
        <w:t>s</w:t>
      </w:r>
      <w:r>
        <w:rPr>
          <w:b w:val="0"/>
          <w:color w:val="auto"/>
          <w:sz w:val="22"/>
          <w:szCs w:val="22"/>
        </w:rPr>
        <w:t xml:space="preserve"> determined </w:t>
      </w:r>
      <w:r w:rsidR="00C27FC9">
        <w:rPr>
          <w:b w:val="0"/>
          <w:color w:val="auto"/>
          <w:sz w:val="22"/>
          <w:szCs w:val="22"/>
        </w:rPr>
        <w:t>from a</w:t>
      </w:r>
      <w:r>
        <w:rPr>
          <w:b w:val="0"/>
          <w:color w:val="auto"/>
          <w:sz w:val="22"/>
          <w:szCs w:val="22"/>
        </w:rPr>
        <w:t xml:space="preserve"> linear</w:t>
      </w:r>
      <w:r w:rsidR="00A36AC1" w:rsidRPr="00A36AC1">
        <w:rPr>
          <w:b w:val="0"/>
          <w:color w:val="auto"/>
          <w:sz w:val="22"/>
          <w:szCs w:val="22"/>
        </w:rPr>
        <w:t xml:space="preserve"> regression fitted to log</w:t>
      </w:r>
      <w:r w:rsidR="00B51BE6">
        <w:rPr>
          <w:b w:val="0"/>
          <w:color w:val="auto"/>
          <w:sz w:val="22"/>
          <w:szCs w:val="22"/>
        </w:rPr>
        <w:t>(</w:t>
      </w:r>
      <w:r w:rsidR="00A36AC1" w:rsidRPr="00A36AC1">
        <w:rPr>
          <w:b w:val="0"/>
          <w:i/>
          <w:color w:val="auto"/>
          <w:sz w:val="22"/>
          <w:szCs w:val="22"/>
        </w:rPr>
        <w:t>k</w:t>
      </w:r>
      <w:r w:rsidR="00B51BE6">
        <w:rPr>
          <w:b w:val="0"/>
          <w:color w:val="auto"/>
          <w:sz w:val="22"/>
          <w:szCs w:val="22"/>
        </w:rPr>
        <w:t xml:space="preserve">) </w:t>
      </w:r>
      <w:r w:rsidR="00A36AC1" w:rsidRPr="00A36AC1">
        <w:rPr>
          <w:b w:val="0"/>
          <w:color w:val="auto"/>
          <w:sz w:val="22"/>
          <w:szCs w:val="22"/>
        </w:rPr>
        <w:t>as a function of log</w:t>
      </w:r>
      <w:r w:rsidR="00B51BE6">
        <w:rPr>
          <w:b w:val="0"/>
          <w:color w:val="auto"/>
          <w:sz w:val="22"/>
          <w:szCs w:val="22"/>
        </w:rPr>
        <w:t>(</w:t>
      </w:r>
      <w:r w:rsidR="00A36AC1" w:rsidRPr="00A36AC1">
        <w:rPr>
          <w:b w:val="0"/>
          <w:i/>
          <w:color w:val="auto"/>
          <w:sz w:val="22"/>
          <w:szCs w:val="22"/>
        </w:rPr>
        <w:t>r</w:t>
      </w:r>
      <w:r w:rsidR="00B51BE6">
        <w:rPr>
          <w:b w:val="0"/>
          <w:color w:val="auto"/>
          <w:sz w:val="22"/>
          <w:szCs w:val="22"/>
        </w:rPr>
        <w:t>),</w:t>
      </w:r>
      <w:r w:rsidR="00A36AC1" w:rsidRPr="00A36AC1">
        <w:rPr>
          <w:b w:val="0"/>
          <w:color w:val="auto"/>
          <w:sz w:val="22"/>
          <w:szCs w:val="22"/>
        </w:rPr>
        <w:t xml:space="preserve"> </w:t>
      </w:r>
      <w:r w:rsidR="00E57322">
        <w:rPr>
          <w:b w:val="0"/>
          <w:color w:val="auto"/>
          <w:sz w:val="22"/>
          <w:szCs w:val="22"/>
        </w:rPr>
        <w:t xml:space="preserve">for </w:t>
      </w:r>
      <w:r w:rsidR="00E57322" w:rsidRPr="00E57322">
        <w:rPr>
          <w:b w:val="0"/>
          <w:i/>
          <w:color w:val="auto"/>
          <w:sz w:val="22"/>
          <w:szCs w:val="22"/>
        </w:rPr>
        <w:t>r-k</w:t>
      </w:r>
      <w:r w:rsidR="00E57322">
        <w:rPr>
          <w:b w:val="0"/>
          <w:color w:val="auto"/>
          <w:sz w:val="22"/>
          <w:szCs w:val="22"/>
        </w:rPr>
        <w:t xml:space="preserve"> pairs where </w:t>
      </w:r>
      <w:r w:rsidR="00E57322" w:rsidRPr="00E57322">
        <w:rPr>
          <w:b w:val="0"/>
          <w:i/>
          <w:color w:val="auto"/>
          <w:sz w:val="22"/>
          <w:szCs w:val="22"/>
        </w:rPr>
        <w:t>r</w:t>
      </w:r>
      <w:r w:rsidR="00E57322">
        <w:rPr>
          <w:b w:val="0"/>
          <w:color w:val="auto"/>
          <w:sz w:val="22"/>
          <w:szCs w:val="22"/>
        </w:rPr>
        <w:t xml:space="preserve"> is larger than median of mid-values of occupied bins, </w:t>
      </w:r>
      <w:r w:rsidR="00A36AC1" w:rsidRPr="00A36AC1">
        <w:rPr>
          <w:b w:val="0"/>
          <w:color w:val="auto"/>
          <w:sz w:val="22"/>
          <w:szCs w:val="22"/>
        </w:rPr>
        <w:t xml:space="preserve">with </w:t>
      </w:r>
      <w:r w:rsidR="008300F1">
        <w:rPr>
          <w:b w:val="0"/>
          <w:color w:val="auto"/>
          <w:sz w:val="22"/>
          <w:szCs w:val="22"/>
        </w:rPr>
        <w:t xml:space="preserve">log(4 </w:t>
      </w:r>
      <w:r w:rsidR="008300F1" w:rsidRPr="008300F1">
        <w:rPr>
          <w:b w:val="0"/>
          <w:i/>
          <w:color w:val="auto"/>
          <w:sz w:val="22"/>
          <w:szCs w:val="22"/>
        </w:rPr>
        <w:t>MSY</w:t>
      </w:r>
      <w:r w:rsidR="008300F1">
        <w:rPr>
          <w:b w:val="0"/>
          <w:color w:val="auto"/>
          <w:sz w:val="22"/>
          <w:szCs w:val="22"/>
        </w:rPr>
        <w:t xml:space="preserve">) as intercept and with </w:t>
      </w:r>
      <w:r w:rsidR="00A36AC1" w:rsidRPr="00A36AC1">
        <w:rPr>
          <w:b w:val="0"/>
          <w:color w:val="auto"/>
          <w:sz w:val="22"/>
          <w:szCs w:val="22"/>
        </w:rPr>
        <w:t>a fixed slope of -1</w:t>
      </w:r>
      <w:r w:rsidR="00B51BE6">
        <w:rPr>
          <w:b w:val="0"/>
          <w:color w:val="auto"/>
          <w:sz w:val="22"/>
          <w:szCs w:val="22"/>
        </w:rPr>
        <w:t xml:space="preserve">, based on the rearranged Schaefer model shown in </w:t>
      </w:r>
      <w:r w:rsidR="00CC7C99">
        <w:rPr>
          <w:b w:val="0"/>
          <w:color w:val="auto"/>
          <w:sz w:val="22"/>
          <w:szCs w:val="22"/>
        </w:rPr>
        <w:t>Equation 5</w:t>
      </w:r>
      <w:r w:rsidR="00A36AC1" w:rsidRPr="00A36AC1">
        <w:rPr>
          <w:b w:val="0"/>
          <w:color w:val="auto"/>
          <w:sz w:val="22"/>
          <w:szCs w:val="22"/>
        </w:rPr>
        <w:t xml:space="preserve">. </w:t>
      </w:r>
      <w:r w:rsidR="00FE6256">
        <w:rPr>
          <w:b w:val="0"/>
          <w:color w:val="auto"/>
          <w:sz w:val="22"/>
          <w:szCs w:val="22"/>
        </w:rPr>
        <w:t>Note that a</w:t>
      </w:r>
      <w:r w:rsidR="00A36AC1" w:rsidRPr="00A36AC1">
        <w:rPr>
          <w:b w:val="0"/>
          <w:color w:val="auto"/>
          <w:sz w:val="22"/>
          <w:szCs w:val="22"/>
        </w:rPr>
        <w:t xml:space="preserve">ll </w:t>
      </w:r>
      <w:r w:rsidR="00A36AC1" w:rsidRPr="00A36AC1">
        <w:rPr>
          <w:b w:val="0"/>
          <w:i/>
          <w:color w:val="auto"/>
          <w:sz w:val="22"/>
          <w:szCs w:val="22"/>
        </w:rPr>
        <w:t>r-k</w:t>
      </w:r>
      <w:r w:rsidR="00A36AC1" w:rsidRPr="00A36AC1">
        <w:rPr>
          <w:b w:val="0"/>
          <w:color w:val="auto"/>
          <w:sz w:val="22"/>
          <w:szCs w:val="22"/>
        </w:rPr>
        <w:t xml:space="preserve"> pairs </w:t>
      </w:r>
      <w:r w:rsidR="00B51BE6">
        <w:rPr>
          <w:b w:val="0"/>
          <w:color w:val="auto"/>
          <w:sz w:val="22"/>
          <w:szCs w:val="22"/>
        </w:rPr>
        <w:t>on this</w:t>
      </w:r>
      <w:r w:rsidR="00A36AC1" w:rsidRPr="00A36AC1">
        <w:rPr>
          <w:b w:val="0"/>
          <w:color w:val="auto"/>
          <w:sz w:val="22"/>
          <w:szCs w:val="22"/>
        </w:rPr>
        <w:t xml:space="preserve"> line </w:t>
      </w:r>
      <w:r w:rsidR="008300F1">
        <w:rPr>
          <w:b w:val="0"/>
          <w:color w:val="auto"/>
          <w:sz w:val="22"/>
          <w:szCs w:val="22"/>
        </w:rPr>
        <w:t xml:space="preserve">have the same intercept and thus </w:t>
      </w:r>
      <w:r w:rsidR="00A36AC1" w:rsidRPr="00A36AC1">
        <w:rPr>
          <w:b w:val="0"/>
          <w:color w:val="auto"/>
          <w:sz w:val="22"/>
          <w:szCs w:val="22"/>
        </w:rPr>
        <w:t xml:space="preserve">give the same value </w:t>
      </w:r>
      <w:r w:rsidR="00D13BCB">
        <w:rPr>
          <w:b w:val="0"/>
          <w:color w:val="auto"/>
          <w:sz w:val="22"/>
          <w:szCs w:val="22"/>
        </w:rPr>
        <w:t>of MSY.</w:t>
      </w:r>
    </w:p>
    <w:p w14:paraId="3C320181" w14:textId="1E97C24E" w:rsidR="00D13BCB" w:rsidRDefault="00D13BCB" w:rsidP="00CC7C99">
      <w:pPr>
        <w:spacing w:line="480" w:lineRule="auto"/>
      </w:pPr>
      <m:oMath>
        <m:r>
          <w:rPr>
            <w:rFonts w:ascii="Cambria Math" w:hAnsi="Cambria Math"/>
          </w:rPr>
          <m:t xml:space="preserve">MSY= </m:t>
        </m:r>
        <m:f>
          <m:fPr>
            <m:ctrlPr>
              <w:rPr>
                <w:rFonts w:ascii="Cambria Math" w:hAnsi="Cambria Math"/>
                <w:i/>
              </w:rPr>
            </m:ctrlPr>
          </m:fPr>
          <m:num>
            <m:r>
              <w:rPr>
                <w:rFonts w:ascii="Cambria Math" w:hAnsi="Cambria Math"/>
              </w:rPr>
              <m:t>r k</m:t>
            </m:r>
          </m:num>
          <m:den>
            <m:r>
              <w:rPr>
                <w:rFonts w:ascii="Cambria Math" w:hAnsi="Cambria Math"/>
              </w:rPr>
              <m:t>4</m:t>
            </m:r>
          </m:den>
        </m:f>
        <m:r>
          <w:rPr>
            <w:rFonts w:ascii="Cambria Math" w:hAnsi="Cambria Math"/>
          </w:rPr>
          <m:t xml:space="preserve">  →  </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k</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 MSY</m:t>
                </m:r>
              </m:e>
            </m:d>
          </m:e>
        </m:func>
        <m:r>
          <w:rPr>
            <w:rFonts w:ascii="Cambria Math" w:hAnsi="Cambria Math"/>
          </w:rPr>
          <m:t>+</m:t>
        </m:r>
        <m:d>
          <m:dPr>
            <m:ctrlPr>
              <w:rPr>
                <w:rFonts w:ascii="Cambria Math" w:hAnsi="Cambria Math"/>
                <w:i/>
              </w:rPr>
            </m:ctrlPr>
          </m:dPr>
          <m:e>
            <m:r>
              <w:rPr>
                <w:rFonts w:ascii="Cambria Math" w:hAnsi="Cambria Math"/>
              </w:rPr>
              <m:t>-1</m:t>
            </m:r>
          </m:e>
        </m:d>
        <m:r>
          <m:rPr>
            <m:sty m:val="p"/>
          </m:rPr>
          <w:rPr>
            <w:rFonts w:ascii="Cambria Math" w:hAnsi="Cambria Math"/>
          </w:rPr>
          <m:t xml:space="preserve"> log</m:t>
        </m:r>
        <m:r>
          <w:rPr>
            <w:rFonts w:ascii="Cambria Math" w:hAnsi="Cambria Math"/>
          </w:rPr>
          <m:t>(r)</m:t>
        </m:r>
      </m:oMath>
      <w:r w:rsidR="00CC7C99">
        <w:t xml:space="preserve">         </w:t>
      </w:r>
      <w:r w:rsidR="00CC7C99">
        <w:tab/>
      </w:r>
      <w:r w:rsidR="00CC7C99">
        <w:tab/>
      </w:r>
      <w:r w:rsidR="00CC7C99">
        <w:tab/>
      </w:r>
      <w:r w:rsidR="00CC7C99">
        <w:tab/>
      </w:r>
      <w:r w:rsidR="00CC7C99">
        <w:tab/>
        <w:t>(5</w:t>
      </w:r>
      <w:r>
        <w:t>)</w:t>
      </w:r>
    </w:p>
    <w:p w14:paraId="4B776C94" w14:textId="526B16F4" w:rsidR="00D13BCB" w:rsidRPr="00D13BCB" w:rsidRDefault="00D13BCB" w:rsidP="00CC7C99">
      <w:pPr>
        <w:spacing w:line="480" w:lineRule="auto"/>
      </w:pPr>
      <w:r w:rsidRPr="003973A3">
        <w:t xml:space="preserve">Approximate 95% confidence limits of </w:t>
      </w:r>
      <w:r w:rsidRPr="003973A3">
        <w:rPr>
          <w:i/>
        </w:rPr>
        <w:t>k</w:t>
      </w:r>
      <w:r w:rsidRPr="003973A3">
        <w:t xml:space="preserve"> </w:t>
      </w:r>
      <w:r w:rsidR="00E57322">
        <w:t>a</w:t>
      </w:r>
      <w:r w:rsidRPr="003973A3">
        <w:t xml:space="preserve">re obtained by adding the standard deviation of the residuals of the regression line to the predicted </w:t>
      </w:r>
      <w:r w:rsidRPr="003973A3">
        <w:rPr>
          <w:i/>
        </w:rPr>
        <w:t>k</w:t>
      </w:r>
      <w:r w:rsidRPr="003973A3">
        <w:t xml:space="preserve"> value </w:t>
      </w:r>
      <w:r>
        <w:t>at the lower confidence limit of</w:t>
      </w:r>
      <w:r w:rsidRPr="003973A3">
        <w:t xml:space="preserve"> </w:t>
      </w:r>
      <w:r w:rsidRPr="003973A3">
        <w:rPr>
          <w:i/>
        </w:rPr>
        <w:t>r</w:t>
      </w:r>
      <w:r w:rsidRPr="003973A3">
        <w:t xml:space="preserve">, and subtracting it from the </w:t>
      </w:r>
      <w:r w:rsidRPr="003973A3">
        <w:rPr>
          <w:i/>
        </w:rPr>
        <w:t>k</w:t>
      </w:r>
      <w:r w:rsidRPr="003973A3">
        <w:t xml:space="preserve">-value predicted for the upper confidence limit of </w:t>
      </w:r>
      <w:r w:rsidRPr="003973A3">
        <w:rPr>
          <w:i/>
        </w:rPr>
        <w:t>r</w:t>
      </w:r>
      <w:r w:rsidRPr="003973A3">
        <w:t xml:space="preserve">. </w:t>
      </w:r>
      <w:r w:rsidRPr="00C77307">
        <w:rPr>
          <w:i/>
        </w:rPr>
        <w:t>MSY</w:t>
      </w:r>
      <w:r w:rsidRPr="00C77307">
        <w:t xml:space="preserve"> </w:t>
      </w:r>
      <w:r>
        <w:t xml:space="preserve">and its 95% confidence limits </w:t>
      </w:r>
      <w:r w:rsidR="00E57322">
        <w:t>a</w:t>
      </w:r>
      <w:r>
        <w:t xml:space="preserve">re obtained as geometric mean of the </w:t>
      </w:r>
      <w:r w:rsidRPr="004F6972">
        <w:rPr>
          <w:i/>
        </w:rPr>
        <w:t>MSY</w:t>
      </w:r>
      <w:r>
        <w:t xml:space="preserve"> values calculated for each of the </w:t>
      </w:r>
      <w:r w:rsidRPr="004F6972">
        <w:rPr>
          <w:i/>
        </w:rPr>
        <w:t>r-k</w:t>
      </w:r>
      <w:r>
        <w:t xml:space="preserve"> pairs</w:t>
      </w:r>
      <w:r w:rsidR="00CC7C99">
        <w:t xml:space="preserve"> where </w:t>
      </w:r>
      <w:r w:rsidR="00CC7C99" w:rsidRPr="00CC7C99">
        <w:rPr>
          <w:i/>
        </w:rPr>
        <w:t>r</w:t>
      </w:r>
      <w:r w:rsidR="00CC7C99">
        <w:t xml:space="preserve"> is larger than the median</w:t>
      </w:r>
      <w:r>
        <w:t xml:space="preserve">. </w:t>
      </w:r>
      <w:r w:rsidRPr="00D13BCB">
        <w:t xml:space="preserve">Viable biomass trajectories were restricted to those associated with an </w:t>
      </w:r>
      <w:r w:rsidRPr="00D13BCB">
        <w:rPr>
          <w:i/>
        </w:rPr>
        <w:t>r-k</w:t>
      </w:r>
      <w:r w:rsidRPr="00D13BCB">
        <w:t xml:space="preserve"> pair that fell within the confidence limits of the CMSY estimates of </w:t>
      </w:r>
      <w:r w:rsidRPr="00D13BCB">
        <w:rPr>
          <w:i/>
        </w:rPr>
        <w:t>r</w:t>
      </w:r>
      <w:r w:rsidRPr="00D13BCB">
        <w:t xml:space="preserve"> and </w:t>
      </w:r>
      <w:r w:rsidRPr="00D13BCB">
        <w:rPr>
          <w:i/>
        </w:rPr>
        <w:t>k</w:t>
      </w:r>
      <w:r w:rsidRPr="00D13BCB">
        <w:t>. The median of the predicted biomass values for each year was used as the most probable biomass and the 2.5</w:t>
      </w:r>
      <w:r w:rsidRPr="00D13BCB">
        <w:rPr>
          <w:vertAlign w:val="superscript"/>
        </w:rPr>
        <w:t>th</w:t>
      </w:r>
      <w:r w:rsidRPr="00D13BCB">
        <w:t xml:space="preserve"> and 97.5</w:t>
      </w:r>
      <w:r w:rsidRPr="00D13BCB">
        <w:rPr>
          <w:vertAlign w:val="superscript"/>
        </w:rPr>
        <w:t>th</w:t>
      </w:r>
      <w:r w:rsidRPr="00D13BCB">
        <w:t xml:space="preserve"> percentiles were used as indicators of the range that contained 95% of the biomass predictions. </w:t>
      </w:r>
    </w:p>
    <w:p w14:paraId="3539AA3F" w14:textId="77777777" w:rsidR="00D13BCB" w:rsidRDefault="00D13BCB" w:rsidP="00D13BCB">
      <w:bookmarkStart w:id="9" w:name="_Toc410816087"/>
    </w:p>
    <w:p w14:paraId="14B990C3" w14:textId="3477A7F4" w:rsidR="00C839EB" w:rsidRPr="000F4A79" w:rsidRDefault="00CC7C99" w:rsidP="004E4CDC">
      <w:pPr>
        <w:pStyle w:val="berschrift2"/>
        <w:spacing w:line="480" w:lineRule="auto"/>
      </w:pPr>
      <w:r>
        <w:t>2.4</w:t>
      </w:r>
      <w:r w:rsidR="00C839EB" w:rsidRPr="000F4A79">
        <w:t xml:space="preserve"> Bayesian Schaefer analysis</w:t>
      </w:r>
      <w:bookmarkEnd w:id="9"/>
    </w:p>
    <w:p w14:paraId="2DF339EB" w14:textId="3ED65EBD" w:rsidR="00C839EB" w:rsidRPr="000F4A79" w:rsidRDefault="00CC7C99" w:rsidP="004E4CDC">
      <w:pPr>
        <w:pStyle w:val="berschrift3"/>
        <w:spacing w:line="480" w:lineRule="auto"/>
      </w:pPr>
      <w:bookmarkStart w:id="10" w:name="_Toc410816088"/>
      <w:r>
        <w:t>2.4</w:t>
      </w:r>
      <w:r w:rsidR="00C839EB" w:rsidRPr="000F4A79">
        <w:t xml:space="preserve">.1 Transforming </w:t>
      </w:r>
      <w:r w:rsidR="00C839EB" w:rsidRPr="000F4A79">
        <w:rPr>
          <w:i/>
        </w:rPr>
        <w:t>r-k</w:t>
      </w:r>
      <w:r w:rsidR="00C839EB" w:rsidRPr="000F4A79">
        <w:t xml:space="preserve"> bounds into informative priors</w:t>
      </w:r>
      <w:bookmarkEnd w:id="10"/>
    </w:p>
    <w:p w14:paraId="6701C53C" w14:textId="5F742B7D" w:rsidR="00DE02E1" w:rsidRDefault="00DE02E1" w:rsidP="004E4CDC">
      <w:pPr>
        <w:spacing w:after="120" w:line="480" w:lineRule="auto"/>
      </w:pPr>
      <w:r>
        <w:t xml:space="preserve">For </w:t>
      </w:r>
      <w:r w:rsidR="00804C9D">
        <w:t>BSM</w:t>
      </w:r>
      <w:r>
        <w:t>, the</w:t>
      </w:r>
      <w:r w:rsidR="00344853">
        <w:t xml:space="preserve"> uniform</w:t>
      </w:r>
      <w:r>
        <w:t xml:space="preserve"> </w:t>
      </w:r>
      <w:r w:rsidRPr="00E43936">
        <w:rPr>
          <w:i/>
        </w:rPr>
        <w:t>r</w:t>
      </w:r>
      <w:r>
        <w:t>-ranges shown in</w:t>
      </w:r>
      <w:r w:rsidR="00747DA0">
        <w:t xml:space="preserve"> Table 2</w:t>
      </w:r>
      <w:r>
        <w:t xml:space="preserve"> were translated into prior densities with a central value. </w:t>
      </w:r>
      <w:r w:rsidR="00C52233">
        <w:rPr>
          <w:rFonts w:cs="Calibri"/>
        </w:rPr>
        <w:t xml:space="preserve">An examination of the density of the viable </w:t>
      </w:r>
      <w:r w:rsidR="00C52233">
        <w:rPr>
          <w:rFonts w:cs="Calibri"/>
          <w:i/>
        </w:rPr>
        <w:t>r</w:t>
      </w:r>
      <w:r w:rsidR="00C52233">
        <w:rPr>
          <w:rFonts w:cs="Calibri"/>
        </w:rPr>
        <w:t xml:space="preserve">-values resulting from CMSY analysis of simulated data was performed using a </w:t>
      </w:r>
      <w:r w:rsidR="00C93BFE" w:rsidRPr="00441FE1">
        <w:rPr>
          <w:rFonts w:ascii="Symbol" w:hAnsi="Symbol" w:cs="Calibri"/>
          <w:i/>
        </w:rPr>
        <w:t></w:t>
      </w:r>
      <w:r w:rsidR="00C93BFE" w:rsidRPr="00441FE1">
        <w:rPr>
          <w:rFonts w:cs="Calibri"/>
          <w:i/>
          <w:vertAlign w:val="superscript"/>
        </w:rPr>
        <w:t>2</w:t>
      </w:r>
      <w:r w:rsidR="00C93BFE">
        <w:rPr>
          <w:rFonts w:cs="Calibri"/>
          <w:i/>
        </w:rPr>
        <w:t>-</w:t>
      </w:r>
      <w:r w:rsidR="00C52233">
        <w:rPr>
          <w:rFonts w:cs="Calibri"/>
        </w:rPr>
        <w:t xml:space="preserve">test against several standard distributions. The results </w:t>
      </w:r>
      <w:r w:rsidR="001D23AE">
        <w:rPr>
          <w:rFonts w:cs="Calibri"/>
        </w:rPr>
        <w:t>confirmed</w:t>
      </w:r>
      <w:r w:rsidR="00C52233">
        <w:rPr>
          <w:rFonts w:cs="Calibri"/>
        </w:rPr>
        <w:t xml:space="preserve"> that </w:t>
      </w:r>
      <w:r w:rsidR="00C52233">
        <w:rPr>
          <w:rFonts w:cs="Calibri"/>
          <w:i/>
        </w:rPr>
        <w:t>r</w:t>
      </w:r>
      <w:r w:rsidR="00C52233">
        <w:rPr>
          <w:rFonts w:cs="Calibri"/>
        </w:rPr>
        <w:t xml:space="preserve"> </w:t>
      </w:r>
      <w:r w:rsidR="001D23AE">
        <w:rPr>
          <w:rFonts w:cs="Calibri"/>
        </w:rPr>
        <w:t>i</w:t>
      </w:r>
      <w:r w:rsidR="00C52233">
        <w:rPr>
          <w:rFonts w:cs="Calibri"/>
        </w:rPr>
        <w:t>s log-normal</w:t>
      </w:r>
      <w:r w:rsidR="00C57C67">
        <w:rPr>
          <w:rFonts w:cs="Calibri"/>
        </w:rPr>
        <w:t>ly</w:t>
      </w:r>
      <w:r w:rsidR="00C52233">
        <w:rPr>
          <w:rFonts w:cs="Calibri"/>
        </w:rPr>
        <w:t xml:space="preserve"> distributed and </w:t>
      </w:r>
      <w:r w:rsidR="001D23AE">
        <w:rPr>
          <w:rFonts w:cs="Calibri"/>
        </w:rPr>
        <w:t xml:space="preserve">suggested </w:t>
      </w:r>
      <w:r w:rsidR="00C52233">
        <w:rPr>
          <w:rFonts w:cs="Calibri"/>
        </w:rPr>
        <w:t xml:space="preserve">that the mean of the </w:t>
      </w:r>
      <w:r w:rsidR="00C52233">
        <w:rPr>
          <w:rFonts w:cs="Calibri"/>
          <w:i/>
        </w:rPr>
        <w:t>r</w:t>
      </w:r>
      <w:r w:rsidR="00C52233">
        <w:rPr>
          <w:rFonts w:cs="Calibri"/>
        </w:rPr>
        <w:t xml:space="preserve">-ranges </w:t>
      </w:r>
      <w:r w:rsidR="00BB6AD5">
        <w:t xml:space="preserve">Table 2 </w:t>
      </w:r>
      <w:r w:rsidR="00C52233">
        <w:rPr>
          <w:rFonts w:cs="Calibri"/>
        </w:rPr>
        <w:t xml:space="preserve">provided a reasonable central </w:t>
      </w:r>
      <w:r w:rsidR="00C52233">
        <w:rPr>
          <w:rFonts w:cs="Calibri"/>
        </w:rPr>
        <w:lastRenderedPageBreak/>
        <w:t>value.</w:t>
      </w:r>
      <w:r>
        <w:t xml:space="preserve"> The height of the density function was inversely related </w:t>
      </w:r>
      <w:r w:rsidR="00C57C67">
        <w:t>to</w:t>
      </w:r>
      <w:r>
        <w:t xml:space="preserve"> the width of the </w:t>
      </w:r>
      <w:r w:rsidRPr="001F5B55">
        <w:rPr>
          <w:i/>
        </w:rPr>
        <w:t>r</w:t>
      </w:r>
      <w:r>
        <w:t xml:space="preserve">-range, </w:t>
      </w:r>
      <w:r w:rsidR="00C52233" w:rsidRPr="00C52233">
        <w:t>best fit by</w:t>
      </w:r>
      <w:r>
        <w:t xml:space="preserve"> an inverse range factor </w:t>
      </w:r>
      <w:r w:rsidR="00B9294A">
        <w:t>(</w:t>
      </w:r>
      <w:r w:rsidR="00B51BE6" w:rsidRPr="00B51BE6">
        <w:rPr>
          <w:i/>
        </w:rPr>
        <w:t>irf</w:t>
      </w:r>
      <w:r w:rsidR="00B51BE6">
        <w:t>) (</w:t>
      </w:r>
      <w:r w:rsidR="00CC7C99">
        <w:t>Equation 6</w:t>
      </w:r>
      <w:r w:rsidR="00B9294A">
        <w:t>)</w:t>
      </w:r>
      <w:r>
        <w:t xml:space="preserve">.  The standard deviation of </w:t>
      </w:r>
      <w:r w:rsidRPr="00257BE7">
        <w:rPr>
          <w:i/>
        </w:rPr>
        <w:t xml:space="preserve">r </w:t>
      </w:r>
      <w:r>
        <w:t xml:space="preserve">in log-space was then described by a uniform distribution between 0.001 </w:t>
      </w:r>
      <w:r w:rsidRPr="00257BE7">
        <w:rPr>
          <w:i/>
        </w:rPr>
        <w:t>irf</w:t>
      </w:r>
      <w:r>
        <w:t xml:space="preserve"> and 0.02 </w:t>
      </w:r>
      <w:r w:rsidRPr="00257BE7">
        <w:rPr>
          <w:i/>
        </w:rPr>
        <w:t>irf</w:t>
      </w:r>
      <w:r>
        <w:t xml:space="preserve">.      </w:t>
      </w:r>
    </w:p>
    <w:p w14:paraId="49F878F8" w14:textId="7B9D4377" w:rsidR="00D27F84" w:rsidRDefault="00D27F84" w:rsidP="004E4CDC">
      <w:pPr>
        <w:keepNext/>
        <w:spacing w:after="120" w:line="480" w:lineRule="auto"/>
        <w:rPr>
          <w:rFonts w:eastAsiaTheme="minorEastAsia"/>
        </w:rPr>
      </w:pPr>
      <m:oMath>
        <m:r>
          <w:rPr>
            <w:rFonts w:ascii="Cambria Math" w:hAnsi="Cambria Math"/>
          </w:rPr>
          <m:t>irf=</m:t>
        </m:r>
        <m:f>
          <m:fPr>
            <m:ctrlPr>
              <w:rPr>
                <w:rFonts w:ascii="Cambria Math" w:hAnsi="Cambria Math"/>
                <w:i/>
              </w:rPr>
            </m:ctrlPr>
          </m:fPr>
          <m:num>
            <m:r>
              <w:rPr>
                <w:rFonts w:ascii="Cambria Math" w:hAnsi="Cambria Math"/>
              </w:rPr>
              <m:t>3</m:t>
            </m:r>
          </m:num>
          <m:den>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high</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low</m:t>
                </m:r>
              </m:sub>
            </m:sSub>
            <m:r>
              <w:rPr>
                <w:rFonts w:ascii="Cambria Math" w:hAnsi="Cambria Math"/>
              </w:rPr>
              <m:t>)</m:t>
            </m:r>
          </m:den>
        </m:f>
      </m:oMath>
      <w:r w:rsidR="00CC7C99">
        <w:rPr>
          <w:rFonts w:eastAsiaTheme="minorEastAsia"/>
        </w:rPr>
        <w:tab/>
      </w:r>
      <w:r w:rsidR="00CC7C99">
        <w:rPr>
          <w:rFonts w:eastAsiaTheme="minorEastAsia"/>
        </w:rPr>
        <w:tab/>
      </w:r>
      <w:r w:rsidR="00CC7C99">
        <w:rPr>
          <w:rFonts w:eastAsiaTheme="minorEastAsia"/>
        </w:rPr>
        <w:tab/>
      </w:r>
      <w:r w:rsidR="00CC7C99">
        <w:rPr>
          <w:rFonts w:eastAsiaTheme="minorEastAsia"/>
        </w:rPr>
        <w:tab/>
      </w:r>
      <w:r w:rsidR="00CC7C99">
        <w:rPr>
          <w:rFonts w:eastAsiaTheme="minorEastAsia"/>
        </w:rPr>
        <w:tab/>
      </w:r>
      <w:r w:rsidR="00CC7C99">
        <w:rPr>
          <w:rFonts w:eastAsiaTheme="minorEastAsia"/>
        </w:rPr>
        <w:tab/>
      </w:r>
      <w:r w:rsidR="00CC7C99">
        <w:rPr>
          <w:rFonts w:eastAsiaTheme="minorEastAsia"/>
        </w:rPr>
        <w:tab/>
      </w:r>
      <w:r w:rsidR="00CC7C99">
        <w:rPr>
          <w:rFonts w:eastAsiaTheme="minorEastAsia"/>
        </w:rPr>
        <w:tab/>
      </w:r>
      <w:r w:rsidR="00CC7C99">
        <w:rPr>
          <w:rFonts w:eastAsiaTheme="minorEastAsia"/>
        </w:rPr>
        <w:tab/>
      </w:r>
      <w:r w:rsidR="00CC7C99">
        <w:rPr>
          <w:rFonts w:eastAsiaTheme="minorEastAsia"/>
        </w:rPr>
        <w:tab/>
        <w:t>(6</w:t>
      </w:r>
      <w:r w:rsidR="00B51BE6">
        <w:rPr>
          <w:rFonts w:eastAsiaTheme="minorEastAsia"/>
        </w:rPr>
        <w:t>)</w:t>
      </w:r>
    </w:p>
    <w:p w14:paraId="427CC6F4" w14:textId="4FCE0AF4" w:rsidR="00B51BE6" w:rsidRPr="00D27F84" w:rsidRDefault="00B51BE6" w:rsidP="004E4CDC">
      <w:pPr>
        <w:keepNext/>
        <w:spacing w:after="120" w:line="480" w:lineRule="auto"/>
      </w:pPr>
      <w:r w:rsidRPr="00B51BE6">
        <w:t xml:space="preserve">where </w:t>
      </w:r>
      <w:r w:rsidRPr="00B51BE6">
        <w:rPr>
          <w:i/>
        </w:rPr>
        <w:t>irf</w:t>
      </w:r>
      <w:r w:rsidRPr="00B51BE6">
        <w:t xml:space="preserve"> is an inverse range factor used in determining the prior density of </w:t>
      </w:r>
      <w:r w:rsidRPr="00B51BE6">
        <w:rPr>
          <w:i/>
        </w:rPr>
        <w:t>r</w:t>
      </w:r>
      <w:r w:rsidRPr="00B51BE6">
        <w:t xml:space="preserve"> for </w:t>
      </w:r>
      <w:r w:rsidR="00CC7C99">
        <w:t>BSM</w:t>
      </w:r>
      <w:r w:rsidRPr="00B51BE6">
        <w:t xml:space="preserve">, and </w:t>
      </w:r>
      <w:r w:rsidRPr="00B51BE6">
        <w:rPr>
          <w:i/>
        </w:rPr>
        <w:t>r</w:t>
      </w:r>
      <w:r w:rsidRPr="00B51BE6">
        <w:rPr>
          <w:i/>
          <w:vertAlign w:val="subscript"/>
        </w:rPr>
        <w:t>high</w:t>
      </w:r>
      <w:r w:rsidRPr="00B51BE6">
        <w:t xml:space="preserve"> and</w:t>
      </w:r>
      <w:r w:rsidRPr="00B51BE6">
        <w:rPr>
          <w:i/>
        </w:rPr>
        <w:t xml:space="preserve"> r</w:t>
      </w:r>
      <w:r w:rsidRPr="00B51BE6">
        <w:rPr>
          <w:i/>
          <w:vertAlign w:val="subscript"/>
        </w:rPr>
        <w:t>low</w:t>
      </w:r>
      <w:r w:rsidRPr="00B51BE6">
        <w:t xml:space="preserve"> indicate the prior </w:t>
      </w:r>
      <w:r w:rsidRPr="00B51BE6">
        <w:rPr>
          <w:i/>
        </w:rPr>
        <w:t>r</w:t>
      </w:r>
      <w:r w:rsidRPr="00B51BE6">
        <w:t xml:space="preserve"> range as defined in </w:t>
      </w:r>
      <w:r w:rsidR="00747DA0">
        <w:t>Table 2</w:t>
      </w:r>
      <w:r w:rsidRPr="00B51BE6">
        <w:t xml:space="preserve">. </w:t>
      </w:r>
    </w:p>
    <w:p w14:paraId="77B23804" w14:textId="6109E22A" w:rsidR="00DE02E1" w:rsidRDefault="00B67884" w:rsidP="004E4CDC">
      <w:pPr>
        <w:spacing w:after="120" w:line="480" w:lineRule="auto"/>
      </w:pPr>
      <w:r>
        <w:t>T</w:t>
      </w:r>
      <w:r w:rsidR="00DE02E1">
        <w:t>he</w:t>
      </w:r>
      <w:r>
        <w:t xml:space="preserve"> uniform</w:t>
      </w:r>
      <w:r w:rsidR="00DE02E1">
        <w:t xml:space="preserve"> </w:t>
      </w:r>
      <w:r w:rsidR="00DE02E1" w:rsidRPr="00B67884">
        <w:rPr>
          <w:i/>
        </w:rPr>
        <w:t>k</w:t>
      </w:r>
      <w:r w:rsidR="00DE02E1">
        <w:t xml:space="preserve">-ranges </w:t>
      </w:r>
      <w:r>
        <w:t>used by CMSY (</w:t>
      </w:r>
      <w:r w:rsidR="00CC7C99">
        <w:t>Equations 3 and 4</w:t>
      </w:r>
      <w:r>
        <w:t xml:space="preserve">) </w:t>
      </w:r>
      <w:r w:rsidR="00DE02E1">
        <w:t>were translated into</w:t>
      </w:r>
      <w:r>
        <w:t xml:space="preserve"> a</w:t>
      </w:r>
      <w:r w:rsidR="00DE02E1">
        <w:t xml:space="preserve"> prior density function </w:t>
      </w:r>
      <w:r>
        <w:t xml:space="preserve">by assuming that </w:t>
      </w:r>
      <w:r w:rsidRPr="00B67884">
        <w:rPr>
          <w:i/>
        </w:rPr>
        <w:t>k</w:t>
      </w:r>
      <w:r>
        <w:t xml:space="preserve"> was log-normal</w:t>
      </w:r>
      <w:r w:rsidR="00D27F84">
        <w:t>ly</w:t>
      </w:r>
      <w:r>
        <w:t xml:space="preserve"> distributed and that the mean of the </w:t>
      </w:r>
      <w:r>
        <w:rPr>
          <w:i/>
        </w:rPr>
        <w:t>k</w:t>
      </w:r>
      <w:r>
        <w:t xml:space="preserve">-ranges provided a reasonable central value. </w:t>
      </w:r>
      <w:r w:rsidR="00660856">
        <w:t xml:space="preserve">The standard deviation of the normal distribution in log-space was assumed </w:t>
      </w:r>
      <w:r w:rsidR="00D27F84">
        <w:t>to be</w:t>
      </w:r>
      <w:r w:rsidR="00660856">
        <w:t xml:space="preserve"> </w:t>
      </w:r>
      <w:r w:rsidR="00050E3A">
        <w:t>a quarter</w:t>
      </w:r>
      <w:r w:rsidR="00660856">
        <w:t xml:space="preserve"> of the distance between the central value and the lower bound of the </w:t>
      </w:r>
      <w:r w:rsidR="00660856" w:rsidRPr="00660856">
        <w:rPr>
          <w:i/>
        </w:rPr>
        <w:t>k</w:t>
      </w:r>
      <w:r w:rsidR="00660856">
        <w:t>-range</w:t>
      </w:r>
      <w:r w:rsidR="00466AC0">
        <w:t xml:space="preserve"> (McAllister et al. 2001)</w:t>
      </w:r>
      <w:r w:rsidR="00660856">
        <w:t>.</w:t>
      </w:r>
    </w:p>
    <w:p w14:paraId="0B1BEAFE" w14:textId="3BE5B64C" w:rsidR="00C839EB" w:rsidRPr="000F4A79" w:rsidRDefault="00CC7C99" w:rsidP="004E4CDC">
      <w:pPr>
        <w:pStyle w:val="berschrift3"/>
        <w:spacing w:line="480" w:lineRule="auto"/>
      </w:pPr>
      <w:bookmarkStart w:id="11" w:name="_Toc410816089"/>
      <w:r>
        <w:t>2.4</w:t>
      </w:r>
      <w:r w:rsidR="00C839EB" w:rsidRPr="000F4A79">
        <w:t>.2 Determining a prior for</w:t>
      </w:r>
      <w:r w:rsidR="00C839EB" w:rsidRPr="00374AAB">
        <w:t xml:space="preserve"> </w:t>
      </w:r>
      <w:bookmarkEnd w:id="11"/>
      <w:r w:rsidR="00374AAB" w:rsidRPr="00374AAB">
        <w:t>catchability</w:t>
      </w:r>
    </w:p>
    <w:p w14:paraId="34874A16" w14:textId="089DB0E9" w:rsidR="00747DA0" w:rsidRDefault="009959E0" w:rsidP="00747DA0">
      <w:pPr>
        <w:spacing w:after="120" w:line="480" w:lineRule="auto"/>
      </w:pPr>
      <w:r>
        <w:t>Data-limited stocks have, b</w:t>
      </w:r>
      <w:r w:rsidR="00D27F84">
        <w:t>y</w:t>
      </w:r>
      <w:r>
        <w:t xml:space="preserve"> definition, no estimation of biomass but may have</w:t>
      </w:r>
      <w:r w:rsidR="00E72E75">
        <w:t>,</w:t>
      </w:r>
      <w:r>
        <w:t xml:space="preserve"> </w:t>
      </w:r>
      <w:r w:rsidR="00EB5148">
        <w:t>at least for some years</w:t>
      </w:r>
      <w:r w:rsidR="00E72E75">
        <w:t>,</w:t>
      </w:r>
      <w:r w:rsidR="00EB5148">
        <w:t xml:space="preserve"> </w:t>
      </w:r>
      <w:r w:rsidR="00D27F84">
        <w:t xml:space="preserve">an </w:t>
      </w:r>
      <w:r>
        <w:t xml:space="preserve">estimation of stock abundance </w:t>
      </w:r>
      <w:r w:rsidR="00B9294A">
        <w:t>as</w:t>
      </w:r>
      <w:r>
        <w:t xml:space="preserve"> </w:t>
      </w:r>
      <w:r w:rsidR="00C93BFE">
        <w:t xml:space="preserve">CPUE </w:t>
      </w:r>
      <w:r>
        <w:t xml:space="preserve">in units of numbers per hour </w:t>
      </w:r>
      <w:r w:rsidR="001D23AE">
        <w:t xml:space="preserve">of fishing </w:t>
      </w:r>
      <w:r>
        <w:t xml:space="preserve">or as </w:t>
      </w:r>
      <w:r w:rsidR="00D27F84">
        <w:t xml:space="preserve">a </w:t>
      </w:r>
      <w:r>
        <w:t xml:space="preserve">biomass index derived from survey catches. Such </w:t>
      </w:r>
      <w:r w:rsidR="00A46D0E">
        <w:t xml:space="preserve">an </w:t>
      </w:r>
      <w:r>
        <w:t xml:space="preserve">abundance </w:t>
      </w:r>
      <w:r w:rsidR="00766801">
        <w:t xml:space="preserve">index </w:t>
      </w:r>
      <w:r>
        <w:t xml:space="preserve">is related to stock biomass by a catchability </w:t>
      </w:r>
      <w:r w:rsidR="00FE4E33">
        <w:t>coefficient</w:t>
      </w:r>
      <w:r>
        <w:t xml:space="preserve"> </w:t>
      </w:r>
      <w:r w:rsidRPr="009959E0">
        <w:rPr>
          <w:i/>
        </w:rPr>
        <w:t>q</w:t>
      </w:r>
      <w:r w:rsidR="000811F2" w:rsidRPr="000811F2">
        <w:t xml:space="preserve"> </w:t>
      </w:r>
      <w:r w:rsidR="00B9294A">
        <w:t>(</w:t>
      </w:r>
      <w:r w:rsidR="00CC7C99">
        <w:t>Equation 7</w:t>
      </w:r>
      <w:r w:rsidR="00B9294A">
        <w:t>)</w:t>
      </w:r>
      <w:r w:rsidR="000811F2">
        <w:t>.</w:t>
      </w:r>
    </w:p>
    <w:p w14:paraId="32E06138" w14:textId="05D2D26E" w:rsidR="00747DA0" w:rsidRDefault="004375DE" w:rsidP="00747DA0">
      <w:pPr>
        <w:spacing w:after="120" w:line="480" w:lineRule="auto"/>
        <w:rPr>
          <w:rFonts w:eastAsiaTheme="minorEastAsia"/>
        </w:rPr>
      </w:pPr>
      <m:oMath>
        <m:sSub>
          <m:sSubPr>
            <m:ctrlPr>
              <w:rPr>
                <w:rFonts w:ascii="Cambria Math" w:hAnsi="Cambria Math"/>
                <w:i/>
              </w:rPr>
            </m:ctrlPr>
          </m:sSubPr>
          <m:e>
            <m:r>
              <w:rPr>
                <w:rFonts w:ascii="Cambria Math" w:hAnsi="Cambria Math"/>
              </w:rPr>
              <m:t>CPUE</m:t>
            </m:r>
          </m:e>
          <m:sub>
            <m:r>
              <w:rPr>
                <w:rFonts w:ascii="Cambria Math" w:hAnsi="Cambria Math"/>
              </w:rPr>
              <m:t>t</m:t>
            </m:r>
          </m:sub>
        </m:sSub>
        <m:r>
          <w:rPr>
            <w:rFonts w:ascii="Cambria Math" w:hAnsi="Cambria Math"/>
          </w:rPr>
          <m:t xml:space="preserve">=q </m:t>
        </m:r>
        <m:sSub>
          <m:sSubPr>
            <m:ctrlPr>
              <w:rPr>
                <w:rFonts w:ascii="Cambria Math" w:hAnsi="Cambria Math"/>
                <w:i/>
              </w:rPr>
            </m:ctrlPr>
          </m:sSubPr>
          <m:e>
            <m:r>
              <w:rPr>
                <w:rFonts w:ascii="Cambria Math" w:hAnsi="Cambria Math"/>
              </w:rPr>
              <m:t>B</m:t>
            </m:r>
          </m:e>
          <m:sub>
            <m:r>
              <w:rPr>
                <w:rFonts w:ascii="Cambria Math" w:hAnsi="Cambria Math"/>
              </w:rPr>
              <m:t>t</m:t>
            </m:r>
          </m:sub>
        </m:sSub>
      </m:oMath>
      <w:r w:rsidR="00CC7C99">
        <w:rPr>
          <w:rFonts w:eastAsiaTheme="minorEastAsia"/>
        </w:rPr>
        <w:tab/>
      </w:r>
      <w:r w:rsidR="00CC7C99">
        <w:rPr>
          <w:rFonts w:eastAsiaTheme="minorEastAsia"/>
        </w:rPr>
        <w:tab/>
      </w:r>
      <w:r w:rsidR="00CC7C99">
        <w:rPr>
          <w:rFonts w:eastAsiaTheme="minorEastAsia"/>
        </w:rPr>
        <w:tab/>
      </w:r>
      <w:r w:rsidR="00CC7C99">
        <w:rPr>
          <w:rFonts w:eastAsiaTheme="minorEastAsia"/>
        </w:rPr>
        <w:tab/>
      </w:r>
      <w:r w:rsidR="00CC7C99">
        <w:rPr>
          <w:rFonts w:eastAsiaTheme="minorEastAsia"/>
        </w:rPr>
        <w:tab/>
      </w:r>
      <w:r w:rsidR="00CC7C99">
        <w:rPr>
          <w:rFonts w:eastAsiaTheme="minorEastAsia"/>
        </w:rPr>
        <w:tab/>
      </w:r>
      <w:r w:rsidR="00CC7C99">
        <w:rPr>
          <w:rFonts w:eastAsiaTheme="minorEastAsia"/>
        </w:rPr>
        <w:tab/>
      </w:r>
      <w:r w:rsidR="00CC7C99">
        <w:rPr>
          <w:rFonts w:eastAsiaTheme="minorEastAsia"/>
        </w:rPr>
        <w:tab/>
      </w:r>
      <w:r w:rsidR="00CC7C99">
        <w:rPr>
          <w:rFonts w:eastAsiaTheme="minorEastAsia"/>
        </w:rPr>
        <w:tab/>
      </w:r>
      <w:r w:rsidR="00CC7C99">
        <w:rPr>
          <w:rFonts w:eastAsiaTheme="minorEastAsia"/>
        </w:rPr>
        <w:tab/>
      </w:r>
      <w:r w:rsidR="00CC7C99">
        <w:rPr>
          <w:rFonts w:eastAsiaTheme="minorEastAsia"/>
        </w:rPr>
        <w:tab/>
        <w:t>(7</w:t>
      </w:r>
      <w:r w:rsidR="00B51BE6">
        <w:rPr>
          <w:rFonts w:eastAsiaTheme="minorEastAsia"/>
        </w:rPr>
        <w:t>)</w:t>
      </w:r>
    </w:p>
    <w:p w14:paraId="720CF17E" w14:textId="4F61331E" w:rsidR="009959E0" w:rsidRPr="00747DA0" w:rsidRDefault="00B51BE6" w:rsidP="00747DA0">
      <w:pPr>
        <w:spacing w:after="120" w:line="480" w:lineRule="auto"/>
        <w:rPr>
          <w:rFonts w:eastAsiaTheme="minorEastAsia"/>
        </w:rPr>
      </w:pPr>
      <w:r w:rsidRPr="00B51BE6">
        <w:rPr>
          <w:rFonts w:eastAsiaTheme="minorEastAsia"/>
          <w:bCs/>
        </w:rPr>
        <w:t xml:space="preserve">where </w:t>
      </w:r>
      <w:r w:rsidRPr="00B51BE6">
        <w:rPr>
          <w:rFonts w:eastAsiaTheme="minorEastAsia"/>
          <w:bCs/>
          <w:i/>
        </w:rPr>
        <w:t>CPUE</w:t>
      </w:r>
      <w:r w:rsidRPr="00B51BE6">
        <w:rPr>
          <w:rFonts w:eastAsiaTheme="minorEastAsia"/>
          <w:bCs/>
          <w:i/>
          <w:vertAlign w:val="subscript"/>
        </w:rPr>
        <w:t>t</w:t>
      </w:r>
      <w:r w:rsidRPr="00B51BE6">
        <w:rPr>
          <w:rFonts w:eastAsiaTheme="minorEastAsia"/>
          <w:bCs/>
        </w:rPr>
        <w:t xml:space="preserve"> is mean catch per unit effort in year </w:t>
      </w:r>
      <w:r w:rsidRPr="00B51BE6">
        <w:rPr>
          <w:rFonts w:eastAsiaTheme="minorEastAsia"/>
          <w:bCs/>
          <w:i/>
        </w:rPr>
        <w:t>t</w:t>
      </w:r>
      <w:r w:rsidRPr="00B51BE6">
        <w:rPr>
          <w:rFonts w:eastAsiaTheme="minorEastAsia"/>
          <w:bCs/>
        </w:rPr>
        <w:t xml:space="preserve">, </w:t>
      </w:r>
      <w:r w:rsidRPr="00B51BE6">
        <w:rPr>
          <w:rFonts w:eastAsiaTheme="minorEastAsia"/>
          <w:bCs/>
          <w:i/>
        </w:rPr>
        <w:t>B</w:t>
      </w:r>
      <w:r w:rsidRPr="00B51BE6">
        <w:rPr>
          <w:rFonts w:eastAsiaTheme="minorEastAsia"/>
          <w:bCs/>
          <w:i/>
          <w:vertAlign w:val="subscript"/>
        </w:rPr>
        <w:t>t</w:t>
      </w:r>
      <w:r w:rsidRPr="00B51BE6">
        <w:rPr>
          <w:rFonts w:eastAsiaTheme="minorEastAsia"/>
          <w:bCs/>
        </w:rPr>
        <w:t xml:space="preserve"> is </w:t>
      </w:r>
      <w:r w:rsidR="00CC7C99">
        <w:rPr>
          <w:rFonts w:eastAsiaTheme="minorEastAsia"/>
          <w:bCs/>
        </w:rPr>
        <w:t xml:space="preserve">available </w:t>
      </w:r>
      <w:r w:rsidRPr="00B51BE6">
        <w:rPr>
          <w:rFonts w:eastAsiaTheme="minorEastAsia"/>
          <w:bCs/>
        </w:rPr>
        <w:t xml:space="preserve">biomass in year </w:t>
      </w:r>
      <w:r w:rsidRPr="00B51BE6">
        <w:rPr>
          <w:rFonts w:eastAsiaTheme="minorEastAsia"/>
          <w:bCs/>
          <w:i/>
        </w:rPr>
        <w:t>t</w:t>
      </w:r>
      <w:r w:rsidRPr="00B51BE6">
        <w:rPr>
          <w:rFonts w:eastAsiaTheme="minorEastAsia"/>
          <w:bCs/>
        </w:rPr>
        <w:t xml:space="preserve">, and </w:t>
      </w:r>
      <w:r w:rsidRPr="00B51BE6">
        <w:rPr>
          <w:rFonts w:eastAsiaTheme="minorEastAsia"/>
          <w:bCs/>
          <w:i/>
        </w:rPr>
        <w:t>q</w:t>
      </w:r>
      <w:r w:rsidRPr="00B51BE6">
        <w:rPr>
          <w:rFonts w:eastAsiaTheme="minorEastAsia"/>
          <w:bCs/>
        </w:rPr>
        <w:t xml:space="preserve"> is the catchability coefficient.</w:t>
      </w:r>
      <w:r>
        <w:rPr>
          <w:rFonts w:eastAsiaTheme="minorEastAsia"/>
          <w:bCs/>
        </w:rPr>
        <w:t xml:space="preserve"> </w:t>
      </w:r>
      <w:r w:rsidR="00394768">
        <w:rPr>
          <w:rFonts w:eastAsiaTheme="minorEastAsia"/>
          <w:bCs/>
        </w:rPr>
        <w:t>The basic dynamics of the</w:t>
      </w:r>
      <w:r w:rsidR="000811F2">
        <w:t xml:space="preserve"> </w:t>
      </w:r>
      <w:r w:rsidR="00B9294A">
        <w:t xml:space="preserve">corresponding </w:t>
      </w:r>
      <w:r w:rsidR="000811F2">
        <w:t>Schaefer production model</w:t>
      </w:r>
      <w:r w:rsidR="00422BA0">
        <w:t xml:space="preserve"> for abundance as </w:t>
      </w:r>
      <w:r w:rsidR="00422BA0" w:rsidRPr="00422BA0">
        <w:rPr>
          <w:i/>
        </w:rPr>
        <w:t>CPUE</w:t>
      </w:r>
      <w:r w:rsidR="000811F2">
        <w:t xml:space="preserve"> </w:t>
      </w:r>
      <w:r w:rsidR="004B0876">
        <w:t xml:space="preserve">can therefore be </w:t>
      </w:r>
      <w:r w:rsidR="00766801">
        <w:t>expres</w:t>
      </w:r>
      <w:r w:rsidR="004B0876">
        <w:t>s</w:t>
      </w:r>
      <w:r w:rsidR="00766801">
        <w:t>ed</w:t>
      </w:r>
      <w:r w:rsidR="00B9294A">
        <w:t xml:space="preserve"> </w:t>
      </w:r>
      <w:r w:rsidR="00766801">
        <w:t xml:space="preserve">in the form of </w:t>
      </w:r>
      <w:r w:rsidR="00BE5190">
        <w:t>Equation 8</w:t>
      </w:r>
      <w:r w:rsidR="000811F2">
        <w:t>.</w:t>
      </w:r>
    </w:p>
    <w:p w14:paraId="75995978" w14:textId="1A945434" w:rsidR="000811F2" w:rsidRDefault="004375DE" w:rsidP="004E4CDC">
      <w:pPr>
        <w:keepNext/>
        <w:spacing w:after="120" w:line="480" w:lineRule="auto"/>
        <w:rPr>
          <w:rFonts w:eastAsiaTheme="minorEastAsia"/>
        </w:rPr>
      </w:pPr>
      <m:oMath>
        <m:sSub>
          <m:sSubPr>
            <m:ctrlPr>
              <w:rPr>
                <w:rFonts w:ascii="Cambria Math" w:hAnsi="Cambria Math"/>
                <w:i/>
              </w:rPr>
            </m:ctrlPr>
          </m:sSubPr>
          <m:e>
            <m:r>
              <w:rPr>
                <w:rFonts w:ascii="Cambria Math" w:hAnsi="Cambria Math"/>
              </w:rPr>
              <m:t>CPUE</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CPUE</m:t>
            </m:r>
          </m:e>
          <m:sub>
            <m:r>
              <w:rPr>
                <w:rFonts w:ascii="Cambria Math" w:hAnsi="Cambria Math"/>
              </w:rPr>
              <m:t>t</m:t>
            </m:r>
          </m:sub>
        </m:sSub>
        <m:r>
          <w:rPr>
            <w:rFonts w:ascii="Cambria Math" w:hAnsi="Cambria Math"/>
          </w:rPr>
          <m:t xml:space="preserve">+r </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CPUE</m:t>
                    </m:r>
                  </m:e>
                  <m:sub>
                    <m:r>
                      <w:rPr>
                        <w:rFonts w:ascii="Cambria Math" w:hAnsi="Cambria Math"/>
                      </w:rPr>
                      <m:t>t</m:t>
                    </m:r>
                  </m:sub>
                </m:sSub>
              </m:num>
              <m:den>
                <m:r>
                  <w:rPr>
                    <w:rFonts w:ascii="Cambria Math" w:hAnsi="Cambria Math"/>
                  </w:rPr>
                  <m:t>q k</m:t>
                </m:r>
              </m:den>
            </m:f>
          </m:e>
        </m:d>
        <m:sSub>
          <m:sSubPr>
            <m:ctrlPr>
              <w:rPr>
                <w:rFonts w:ascii="Cambria Math" w:hAnsi="Cambria Math"/>
                <w:i/>
              </w:rPr>
            </m:ctrlPr>
          </m:sSubPr>
          <m:e>
            <m:r>
              <w:rPr>
                <w:rFonts w:ascii="Cambria Math" w:hAnsi="Cambria Math"/>
              </w:rPr>
              <m:t>CPUE</m:t>
            </m:r>
          </m:e>
          <m:sub>
            <m:r>
              <w:rPr>
                <w:rFonts w:ascii="Cambria Math" w:hAnsi="Cambria Math"/>
              </w:rPr>
              <m:t>t</m:t>
            </m:r>
          </m:sub>
        </m:sSub>
        <m:r>
          <w:rPr>
            <w:rFonts w:ascii="Cambria Math" w:hAnsi="Cambria Math"/>
          </w:rPr>
          <m:t xml:space="preserve">-q </m:t>
        </m:r>
        <m:sSub>
          <m:sSubPr>
            <m:ctrlPr>
              <w:rPr>
                <w:rFonts w:ascii="Cambria Math" w:hAnsi="Cambria Math"/>
                <w:i/>
              </w:rPr>
            </m:ctrlPr>
          </m:sSubPr>
          <m:e>
            <m:r>
              <w:rPr>
                <w:rFonts w:ascii="Cambria Math" w:hAnsi="Cambria Math"/>
              </w:rPr>
              <m:t>C</m:t>
            </m:r>
          </m:e>
          <m:sub>
            <m:r>
              <w:rPr>
                <w:rFonts w:ascii="Cambria Math" w:hAnsi="Cambria Math"/>
              </w:rPr>
              <m:t>t</m:t>
            </m:r>
          </m:sub>
        </m:sSub>
      </m:oMath>
      <w:r w:rsidR="00BE5190">
        <w:rPr>
          <w:rFonts w:eastAsiaTheme="minorEastAsia"/>
        </w:rPr>
        <w:tab/>
      </w:r>
      <w:r w:rsidR="00BE5190">
        <w:rPr>
          <w:rFonts w:eastAsiaTheme="minorEastAsia"/>
        </w:rPr>
        <w:tab/>
      </w:r>
      <w:r w:rsidR="00BE5190">
        <w:rPr>
          <w:rFonts w:eastAsiaTheme="minorEastAsia"/>
        </w:rPr>
        <w:tab/>
      </w:r>
      <w:r w:rsidR="00BE5190">
        <w:rPr>
          <w:rFonts w:eastAsiaTheme="minorEastAsia"/>
        </w:rPr>
        <w:tab/>
      </w:r>
      <w:r w:rsidR="00BE5190">
        <w:rPr>
          <w:rFonts w:eastAsiaTheme="minorEastAsia"/>
        </w:rPr>
        <w:tab/>
      </w:r>
      <w:r w:rsidR="00BE5190">
        <w:rPr>
          <w:rFonts w:eastAsiaTheme="minorEastAsia"/>
        </w:rPr>
        <w:tab/>
        <w:t>(8</w:t>
      </w:r>
      <w:r w:rsidR="00DB2B86">
        <w:rPr>
          <w:rFonts w:eastAsiaTheme="minorEastAsia"/>
        </w:rPr>
        <w:t>)</w:t>
      </w:r>
    </w:p>
    <w:p w14:paraId="31D4F247" w14:textId="3836D1C1" w:rsidR="00D7264A" w:rsidRDefault="00DB2B86" w:rsidP="00DB2B86">
      <w:pPr>
        <w:keepNext/>
        <w:spacing w:after="120" w:line="480" w:lineRule="auto"/>
      </w:pPr>
      <w:r w:rsidRPr="00DB2B86">
        <w:rPr>
          <w:rFonts w:eastAsiaTheme="minorEastAsia"/>
          <w:bCs/>
        </w:rPr>
        <w:t xml:space="preserve">where variables and parameters are as defined in </w:t>
      </w:r>
      <w:r w:rsidR="00BE5190">
        <w:rPr>
          <w:rFonts w:eastAsiaTheme="minorEastAsia"/>
          <w:bCs/>
        </w:rPr>
        <w:t>Equation 1 and 7</w:t>
      </w:r>
      <w:r w:rsidRPr="00DB2B86">
        <w:rPr>
          <w:rFonts w:eastAsiaTheme="minorEastAsia"/>
          <w:bCs/>
        </w:rPr>
        <w:t xml:space="preserve">. </w:t>
      </w:r>
      <w:r w:rsidR="007E088B">
        <w:t xml:space="preserve">Priors for </w:t>
      </w:r>
      <w:r w:rsidR="007E088B" w:rsidRPr="007E088B">
        <w:rPr>
          <w:i/>
        </w:rPr>
        <w:t>q</w:t>
      </w:r>
      <w:r w:rsidR="007E088B">
        <w:t xml:space="preserve"> were derived from </w:t>
      </w:r>
      <w:r w:rsidR="00D06E93">
        <w:t xml:space="preserve">the </w:t>
      </w:r>
      <w:r w:rsidR="00F53562">
        <w:t>Schaefer equilibrium equation for catch</w:t>
      </w:r>
      <w:r w:rsidR="00D7264A">
        <w:t xml:space="preserve"> (</w:t>
      </w:r>
      <w:r w:rsidR="00BE5190">
        <w:t>Equation 9</w:t>
      </w:r>
      <w:r w:rsidR="00D7264A">
        <w:t>).</w:t>
      </w:r>
    </w:p>
    <w:p w14:paraId="41A634CD" w14:textId="54E5D058" w:rsidR="00D7264A" w:rsidRPr="00B655AF" w:rsidRDefault="00D7264A" w:rsidP="004E4CDC">
      <w:pPr>
        <w:keepNext/>
        <w:spacing w:after="120" w:line="480" w:lineRule="auto"/>
      </w:pPr>
      <m:oMath>
        <m:r>
          <w:rPr>
            <w:rFonts w:ascii="Cambria Math" w:hAnsi="Cambria Math"/>
          </w:rPr>
          <m:t>Y=r B (1-</m:t>
        </m:r>
        <m:f>
          <m:fPr>
            <m:ctrlPr>
              <w:rPr>
                <w:rFonts w:ascii="Cambria Math" w:hAnsi="Cambria Math"/>
                <w:i/>
              </w:rPr>
            </m:ctrlPr>
          </m:fPr>
          <m:num>
            <m:r>
              <w:rPr>
                <w:rFonts w:ascii="Cambria Math" w:hAnsi="Cambria Math"/>
              </w:rPr>
              <m:t>B</m:t>
            </m:r>
          </m:num>
          <m:den>
            <m:r>
              <w:rPr>
                <w:rFonts w:ascii="Cambria Math" w:hAnsi="Cambria Math"/>
              </w:rPr>
              <m:t>k</m:t>
            </m:r>
          </m:den>
        </m:f>
        <m:r>
          <w:rPr>
            <w:rFonts w:ascii="Cambria Math" w:hAnsi="Cambria Math"/>
          </w:rPr>
          <m:t>)</m:t>
        </m:r>
      </m:oMath>
      <w:r w:rsidR="00BE5190">
        <w:rPr>
          <w:rFonts w:eastAsiaTheme="minorEastAsia"/>
        </w:rPr>
        <w:tab/>
      </w:r>
      <w:r w:rsidR="00BE5190">
        <w:rPr>
          <w:rFonts w:eastAsiaTheme="minorEastAsia"/>
        </w:rPr>
        <w:tab/>
      </w:r>
      <w:r w:rsidR="00BE5190">
        <w:rPr>
          <w:rFonts w:eastAsiaTheme="minorEastAsia"/>
        </w:rPr>
        <w:tab/>
      </w:r>
      <w:r w:rsidR="00BE5190">
        <w:rPr>
          <w:rFonts w:eastAsiaTheme="minorEastAsia"/>
        </w:rPr>
        <w:tab/>
      </w:r>
      <w:r w:rsidR="00BE5190">
        <w:rPr>
          <w:rFonts w:eastAsiaTheme="minorEastAsia"/>
        </w:rPr>
        <w:tab/>
      </w:r>
      <w:r w:rsidR="00BE5190">
        <w:rPr>
          <w:rFonts w:eastAsiaTheme="minorEastAsia"/>
        </w:rPr>
        <w:tab/>
      </w:r>
      <w:r w:rsidR="00BE5190">
        <w:rPr>
          <w:rFonts w:eastAsiaTheme="minorEastAsia"/>
        </w:rPr>
        <w:tab/>
      </w:r>
      <w:r w:rsidR="00BE5190">
        <w:rPr>
          <w:rFonts w:eastAsiaTheme="minorEastAsia"/>
        </w:rPr>
        <w:tab/>
      </w:r>
      <w:r w:rsidR="00BE5190">
        <w:rPr>
          <w:rFonts w:eastAsiaTheme="minorEastAsia"/>
        </w:rPr>
        <w:tab/>
      </w:r>
      <w:r w:rsidR="00BE5190">
        <w:rPr>
          <w:rFonts w:eastAsiaTheme="minorEastAsia"/>
        </w:rPr>
        <w:tab/>
        <w:t>(9</w:t>
      </w:r>
      <w:r w:rsidR="00DB2B86">
        <w:rPr>
          <w:rFonts w:eastAsiaTheme="minorEastAsia"/>
        </w:rPr>
        <w:t>)</w:t>
      </w:r>
    </w:p>
    <w:p w14:paraId="7CEE8396" w14:textId="648C7B12" w:rsidR="00352AF2" w:rsidRDefault="00352AF2" w:rsidP="004E4CDC">
      <w:pPr>
        <w:spacing w:after="120" w:line="480" w:lineRule="auto"/>
      </w:pPr>
      <w:r>
        <w:t xml:space="preserve">where </w:t>
      </w:r>
      <w:r w:rsidRPr="00352AF2">
        <w:rPr>
          <w:i/>
        </w:rPr>
        <w:t>Y</w:t>
      </w:r>
      <w:r>
        <w:t xml:space="preserve"> is the equilibrium yield</w:t>
      </w:r>
      <w:r w:rsidR="00236014">
        <w:t xml:space="preserve"> for any given biomass </w:t>
      </w:r>
      <w:r w:rsidR="00236014" w:rsidRPr="00236014">
        <w:rPr>
          <w:i/>
        </w:rPr>
        <w:t>B</w:t>
      </w:r>
      <w:r w:rsidR="004B0876">
        <w:t>, and</w:t>
      </w:r>
      <w:r>
        <w:t xml:space="preserve"> other parameters are as defined in Equation 1.</w:t>
      </w:r>
    </w:p>
    <w:p w14:paraId="77F3AA53" w14:textId="66753BC2" w:rsidR="00247525" w:rsidRDefault="00D7264A" w:rsidP="004E4CDC">
      <w:pPr>
        <w:spacing w:after="120" w:line="480" w:lineRule="auto"/>
      </w:pPr>
      <w:r>
        <w:t>Setting</w:t>
      </w:r>
      <w:r w:rsidR="00D06E93">
        <w:t xml:space="preserve"> </w:t>
      </w:r>
      <w:r w:rsidRPr="00B655AF">
        <w:rPr>
          <w:i/>
        </w:rPr>
        <w:t>B</w:t>
      </w:r>
      <w:r>
        <w:t>/</w:t>
      </w:r>
      <w:r w:rsidRPr="00B655AF">
        <w:rPr>
          <w:i/>
        </w:rPr>
        <w:t>k</w:t>
      </w:r>
      <w:r>
        <w:t xml:space="preserve"> =</w:t>
      </w:r>
      <w:r w:rsidR="00D06E93">
        <w:t xml:space="preserve"> 0.5</w:t>
      </w:r>
      <w:r>
        <w:t>,</w:t>
      </w:r>
      <w:r w:rsidR="00D06E93">
        <w:t xml:space="preserve"> </w:t>
      </w:r>
      <w:r w:rsidR="00B655AF" w:rsidRPr="00B655AF">
        <w:rPr>
          <w:i/>
        </w:rPr>
        <w:t>B</w:t>
      </w:r>
      <w:r w:rsidR="0091123B">
        <w:t xml:space="preserve"> = </w:t>
      </w:r>
      <w:r w:rsidR="00D06E93" w:rsidRPr="00B655AF">
        <w:rPr>
          <w:i/>
        </w:rPr>
        <w:t>CPUE</w:t>
      </w:r>
      <w:r w:rsidR="0091123B">
        <w:t>/</w:t>
      </w:r>
      <w:r w:rsidR="0091123B" w:rsidRPr="00B655AF">
        <w:rPr>
          <w:i/>
        </w:rPr>
        <w:t>q</w:t>
      </w:r>
      <w:r w:rsidR="00D06E93">
        <w:t xml:space="preserve"> </w:t>
      </w:r>
      <w:r>
        <w:t xml:space="preserve">and </w:t>
      </w:r>
      <w:r w:rsidRPr="00B655AF">
        <w:rPr>
          <w:i/>
        </w:rPr>
        <w:t>Y</w:t>
      </w:r>
      <w:r>
        <w:t xml:space="preserve"> = catch </w:t>
      </w:r>
      <w:r w:rsidR="00F53562">
        <w:t xml:space="preserve">gives </w:t>
      </w:r>
      <w:r w:rsidR="00F53562" w:rsidRPr="00F53562">
        <w:rPr>
          <w:i/>
        </w:rPr>
        <w:t>q</w:t>
      </w:r>
      <w:r w:rsidR="00F53562">
        <w:t xml:space="preserve"> = 0.5 </w:t>
      </w:r>
      <w:r w:rsidR="00F53562" w:rsidRPr="00F53562">
        <w:rPr>
          <w:i/>
        </w:rPr>
        <w:t>r</w:t>
      </w:r>
      <w:r w:rsidR="00F53562">
        <w:t xml:space="preserve"> </w:t>
      </w:r>
      <w:r w:rsidR="00F53562" w:rsidRPr="00F53562">
        <w:rPr>
          <w:i/>
        </w:rPr>
        <w:t>CPUE</w:t>
      </w:r>
      <w:r w:rsidR="00F53562">
        <w:t xml:space="preserve"> / Catch</w:t>
      </w:r>
      <w:r w:rsidR="00247525">
        <w:t xml:space="preserve"> for </w:t>
      </w:r>
      <w:r w:rsidR="00F53562" w:rsidRPr="00F53562">
        <w:rPr>
          <w:i/>
        </w:rPr>
        <w:t>MSY</w:t>
      </w:r>
      <w:r w:rsidR="00F53562">
        <w:t>-level catch and biomass.</w:t>
      </w:r>
      <w:r w:rsidR="00247525">
        <w:t xml:space="preserve"> </w:t>
      </w:r>
      <w:r w:rsidR="0091123B">
        <w:t xml:space="preserve">Setting </w:t>
      </w:r>
      <w:r w:rsidR="00B655AF" w:rsidRPr="00B655AF">
        <w:rPr>
          <w:i/>
        </w:rPr>
        <w:t>B</w:t>
      </w:r>
      <w:r w:rsidR="00B655AF">
        <w:t>/</w:t>
      </w:r>
      <w:r w:rsidR="00B655AF" w:rsidRPr="00B655AF">
        <w:rPr>
          <w:i/>
        </w:rPr>
        <w:t>k</w:t>
      </w:r>
      <w:r w:rsidR="00B655AF">
        <w:t xml:space="preserve"> </w:t>
      </w:r>
      <w:r w:rsidR="0091123B">
        <w:t xml:space="preserve">= 0.25 for half </w:t>
      </w:r>
      <w:r w:rsidR="0091123B" w:rsidRPr="0091123B">
        <w:rPr>
          <w:i/>
        </w:rPr>
        <w:t>MSY</w:t>
      </w:r>
      <w:r w:rsidR="0091123B">
        <w:t xml:space="preserve">-level biomass gives </w:t>
      </w:r>
      <w:r w:rsidR="0091123B" w:rsidRPr="00F53562">
        <w:rPr>
          <w:i/>
        </w:rPr>
        <w:t>q</w:t>
      </w:r>
      <w:r w:rsidR="0091123B">
        <w:t xml:space="preserve"> = 0.75 </w:t>
      </w:r>
      <w:r w:rsidR="0091123B" w:rsidRPr="00F53562">
        <w:rPr>
          <w:i/>
        </w:rPr>
        <w:t>r</w:t>
      </w:r>
      <w:r w:rsidR="0091123B">
        <w:t xml:space="preserve"> </w:t>
      </w:r>
      <w:r w:rsidR="0091123B" w:rsidRPr="00F53562">
        <w:rPr>
          <w:i/>
        </w:rPr>
        <w:t>CPUE</w:t>
      </w:r>
      <w:r w:rsidR="0091123B">
        <w:t xml:space="preserve"> / Catch. Suitable multipliers for low and high biomass and prior </w:t>
      </w:r>
      <w:r w:rsidR="0091123B" w:rsidRPr="0091123B">
        <w:rPr>
          <w:i/>
        </w:rPr>
        <w:t>r</w:t>
      </w:r>
      <w:r w:rsidR="0091123B">
        <w:t xml:space="preserve"> ranges were derived empirically from simulated data. </w:t>
      </w:r>
      <w:r w:rsidR="00247525">
        <w:t xml:space="preserve">For stocks with high </w:t>
      </w:r>
      <w:r w:rsidR="0091123B">
        <w:t>recent</w:t>
      </w:r>
      <w:r w:rsidR="00247525">
        <w:t xml:space="preserve"> prior biomass, </w:t>
      </w:r>
      <w:r w:rsidR="0091123B">
        <w:t xml:space="preserve">priors for </w:t>
      </w:r>
      <w:r w:rsidR="0091123B" w:rsidRPr="00B655AF">
        <w:rPr>
          <w:i/>
        </w:rPr>
        <w:t>q</w:t>
      </w:r>
      <w:r w:rsidR="0091123B">
        <w:t xml:space="preserve"> were derived</w:t>
      </w:r>
      <w:r w:rsidR="00BE5190">
        <w:t xml:space="preserve"> as shown in Equation 10</w:t>
      </w:r>
      <w:r w:rsidR="00247525">
        <w:t xml:space="preserve"> and Equat</w:t>
      </w:r>
      <w:r w:rsidR="00BE5190">
        <w:t>ion 11</w:t>
      </w:r>
      <w:r w:rsidR="00247525">
        <w:t>.</w:t>
      </w:r>
    </w:p>
    <w:p w14:paraId="6AD8824E" w14:textId="66B21D4C" w:rsidR="00247525" w:rsidRDefault="004375DE" w:rsidP="004E4CDC">
      <w:pPr>
        <w:keepNext/>
        <w:spacing w:after="120" w:line="480" w:lineRule="auto"/>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low</m:t>
            </m:r>
          </m:sub>
        </m:sSub>
        <m:r>
          <w:rPr>
            <w:rFonts w:ascii="Cambria Math" w:hAnsi="Cambria Math"/>
          </w:rPr>
          <m:t xml:space="preserve">= </m:t>
        </m:r>
        <m:f>
          <m:fPr>
            <m:ctrlPr>
              <w:rPr>
                <w:rFonts w:ascii="Cambria Math" w:hAnsi="Cambria Math"/>
                <w:i/>
              </w:rPr>
            </m:ctrlPr>
          </m:fPr>
          <m:num>
            <m:r>
              <w:rPr>
                <w:rFonts w:ascii="Cambria Math" w:hAnsi="Cambria Math"/>
              </w:rPr>
              <m:t xml:space="preserve">0.25 </m:t>
            </m:r>
            <m:sSub>
              <m:sSubPr>
                <m:ctrlPr>
                  <w:rPr>
                    <w:rFonts w:ascii="Cambria Math" w:hAnsi="Cambria Math"/>
                    <w:i/>
                  </w:rPr>
                </m:ctrlPr>
              </m:sSubPr>
              <m:e>
                <m:r>
                  <w:rPr>
                    <w:rFonts w:ascii="Cambria Math" w:hAnsi="Cambria Math"/>
                  </w:rPr>
                  <m:t>r</m:t>
                </m:r>
              </m:e>
              <m:sub>
                <m:r>
                  <w:rPr>
                    <w:rFonts w:ascii="Cambria Math" w:hAnsi="Cambria Math"/>
                  </w:rPr>
                  <m:t>pgm</m:t>
                </m:r>
              </m:sub>
            </m:sSub>
            <m:r>
              <w:rPr>
                <w:rFonts w:ascii="Cambria Math" w:hAnsi="Cambria Math"/>
              </w:rPr>
              <m:t xml:space="preserve"> </m:t>
            </m:r>
            <m:sSub>
              <m:sSubPr>
                <m:ctrlPr>
                  <w:rPr>
                    <w:rFonts w:ascii="Cambria Math" w:hAnsi="Cambria Math"/>
                    <w:i/>
                  </w:rPr>
                </m:ctrlPr>
              </m:sSubPr>
              <m:e>
                <m:r>
                  <w:rPr>
                    <w:rFonts w:ascii="Cambria Math" w:hAnsi="Cambria Math"/>
                  </w:rPr>
                  <m:t>CPUE</m:t>
                </m:r>
              </m:e>
              <m:sub>
                <m:r>
                  <w:rPr>
                    <w:rFonts w:ascii="Cambria Math" w:hAnsi="Cambria Math"/>
                  </w:rPr>
                  <m:t>mean</m:t>
                </m:r>
              </m:sub>
            </m:sSub>
          </m:num>
          <m:den>
            <m:sSub>
              <m:sSubPr>
                <m:ctrlPr>
                  <w:rPr>
                    <w:rFonts w:ascii="Cambria Math" w:hAnsi="Cambria Math"/>
                    <w:i/>
                  </w:rPr>
                </m:ctrlPr>
              </m:sSubPr>
              <m:e>
                <m:r>
                  <w:rPr>
                    <w:rFonts w:ascii="Cambria Math" w:hAnsi="Cambria Math"/>
                  </w:rPr>
                  <m:t>C</m:t>
                </m:r>
              </m:e>
              <m:sub>
                <m:r>
                  <w:rPr>
                    <w:rFonts w:ascii="Cambria Math" w:hAnsi="Cambria Math"/>
                  </w:rPr>
                  <m:t>mean</m:t>
                </m:r>
              </m:sub>
            </m:sSub>
          </m:den>
        </m:f>
      </m:oMath>
      <w:r w:rsidR="00BE5190">
        <w:rPr>
          <w:rFonts w:eastAsiaTheme="minorEastAsia"/>
        </w:rPr>
        <w:tab/>
      </w:r>
      <w:r w:rsidR="00BE5190">
        <w:rPr>
          <w:rFonts w:eastAsiaTheme="minorEastAsia"/>
        </w:rPr>
        <w:tab/>
      </w:r>
      <w:r w:rsidR="00BE5190">
        <w:rPr>
          <w:rFonts w:eastAsiaTheme="minorEastAsia"/>
        </w:rPr>
        <w:tab/>
      </w:r>
      <w:r w:rsidR="00BE5190">
        <w:rPr>
          <w:rFonts w:eastAsiaTheme="minorEastAsia"/>
        </w:rPr>
        <w:tab/>
      </w:r>
      <w:r w:rsidR="00BE5190">
        <w:rPr>
          <w:rFonts w:eastAsiaTheme="minorEastAsia"/>
        </w:rPr>
        <w:tab/>
      </w:r>
      <w:r w:rsidR="00BE5190">
        <w:rPr>
          <w:rFonts w:eastAsiaTheme="minorEastAsia"/>
        </w:rPr>
        <w:tab/>
      </w:r>
      <w:r w:rsidR="00BE5190">
        <w:rPr>
          <w:rFonts w:eastAsiaTheme="minorEastAsia"/>
        </w:rPr>
        <w:tab/>
      </w:r>
      <w:r w:rsidR="00BE5190">
        <w:rPr>
          <w:rFonts w:eastAsiaTheme="minorEastAsia"/>
        </w:rPr>
        <w:tab/>
      </w:r>
      <w:r w:rsidR="00BE5190">
        <w:rPr>
          <w:rFonts w:eastAsiaTheme="minorEastAsia"/>
        </w:rPr>
        <w:tab/>
        <w:t>(10</w:t>
      </w:r>
      <w:r w:rsidR="00DB2B86">
        <w:rPr>
          <w:rFonts w:eastAsiaTheme="minorEastAsia"/>
        </w:rPr>
        <w:t>)</w:t>
      </w:r>
    </w:p>
    <w:p w14:paraId="5380357F" w14:textId="45670FA2" w:rsidR="00DB2B86" w:rsidRPr="00DB2B86" w:rsidRDefault="00DB2B86" w:rsidP="00DB2B86">
      <w:pPr>
        <w:keepNext/>
        <w:spacing w:after="120" w:line="480" w:lineRule="auto"/>
        <w:rPr>
          <w:rFonts w:eastAsiaTheme="minorEastAsia"/>
          <w:bCs/>
        </w:rPr>
      </w:pPr>
      <w:r>
        <w:rPr>
          <w:rFonts w:eastAsiaTheme="minorEastAsia"/>
          <w:bCs/>
        </w:rPr>
        <w:t>where</w:t>
      </w:r>
      <w:r w:rsidRPr="00DB2B86">
        <w:rPr>
          <w:rFonts w:eastAsiaTheme="minorEastAsia"/>
          <w:bCs/>
        </w:rPr>
        <w:t xml:space="preserve"> </w:t>
      </w:r>
      <w:r w:rsidRPr="00DB2B86">
        <w:rPr>
          <w:rFonts w:eastAsiaTheme="minorEastAsia"/>
          <w:bCs/>
          <w:i/>
        </w:rPr>
        <w:t>q</w:t>
      </w:r>
      <w:r w:rsidRPr="00DB2B86">
        <w:rPr>
          <w:rFonts w:eastAsiaTheme="minorEastAsia"/>
          <w:bCs/>
          <w:i/>
          <w:vertAlign w:val="subscript"/>
        </w:rPr>
        <w:t>low</w:t>
      </w:r>
      <w:r>
        <w:rPr>
          <w:rFonts w:eastAsiaTheme="minorEastAsia"/>
          <w:bCs/>
        </w:rPr>
        <w:t xml:space="preserve"> is the l</w:t>
      </w:r>
      <w:r w:rsidRPr="00DB2B86">
        <w:rPr>
          <w:rFonts w:eastAsiaTheme="minorEastAsia"/>
          <w:bCs/>
        </w:rPr>
        <w:t xml:space="preserve">ower prior for the catchability coefficient for stocks with high recent biomass, </w:t>
      </w:r>
      <w:r w:rsidRPr="00DB2B86">
        <w:rPr>
          <w:rFonts w:eastAsiaTheme="minorEastAsia"/>
          <w:bCs/>
          <w:i/>
        </w:rPr>
        <w:t>r</w:t>
      </w:r>
      <w:r w:rsidRPr="00DB2B86">
        <w:rPr>
          <w:rFonts w:eastAsiaTheme="minorEastAsia"/>
          <w:bCs/>
          <w:i/>
          <w:vertAlign w:val="subscript"/>
        </w:rPr>
        <w:t>pgm</w:t>
      </w:r>
      <w:r w:rsidRPr="00DB2B86">
        <w:rPr>
          <w:rFonts w:eastAsiaTheme="minorEastAsia"/>
          <w:bCs/>
        </w:rPr>
        <w:t xml:space="preserve"> is the geometric mean of the prior range for </w:t>
      </w:r>
      <w:r w:rsidRPr="00DB2B86">
        <w:rPr>
          <w:rFonts w:eastAsiaTheme="minorEastAsia"/>
          <w:bCs/>
          <w:i/>
        </w:rPr>
        <w:t>r</w:t>
      </w:r>
      <w:r w:rsidRPr="00DB2B86">
        <w:rPr>
          <w:rFonts w:eastAsiaTheme="minorEastAsia"/>
          <w:bCs/>
        </w:rPr>
        <w:t xml:space="preserve">, </w:t>
      </w:r>
      <w:r w:rsidRPr="00DB2B86">
        <w:rPr>
          <w:rFonts w:eastAsiaTheme="minorEastAsia"/>
          <w:bCs/>
          <w:i/>
        </w:rPr>
        <w:t>CPUE</w:t>
      </w:r>
      <w:r w:rsidRPr="00DB2B86">
        <w:rPr>
          <w:rFonts w:eastAsiaTheme="minorEastAsia"/>
          <w:bCs/>
          <w:i/>
          <w:vertAlign w:val="subscript"/>
        </w:rPr>
        <w:t>mean</w:t>
      </w:r>
      <w:r w:rsidRPr="00DB2B86">
        <w:rPr>
          <w:rFonts w:eastAsiaTheme="minorEastAsia"/>
          <w:bCs/>
        </w:rPr>
        <w:t xml:space="preserve"> is the mean of catch-per-unit-effort over the last 5 or 10 years, and </w:t>
      </w:r>
      <w:r w:rsidRPr="00DB2B86">
        <w:rPr>
          <w:rFonts w:eastAsiaTheme="minorEastAsia"/>
          <w:bCs/>
          <w:i/>
        </w:rPr>
        <w:t>C</w:t>
      </w:r>
      <w:r w:rsidRPr="00DB2B86">
        <w:rPr>
          <w:rFonts w:eastAsiaTheme="minorEastAsia"/>
          <w:bCs/>
          <w:i/>
          <w:vertAlign w:val="subscript"/>
        </w:rPr>
        <w:t>mean</w:t>
      </w:r>
      <w:r w:rsidRPr="00DB2B86">
        <w:rPr>
          <w:rFonts w:eastAsiaTheme="minorEastAsia"/>
          <w:bCs/>
        </w:rPr>
        <w:t xml:space="preserve"> is the mean catch over the same period.</w:t>
      </w:r>
    </w:p>
    <w:p w14:paraId="10DC6BEE" w14:textId="714D1FB6" w:rsidR="001613B6" w:rsidRDefault="004375DE" w:rsidP="004E4CDC">
      <w:pPr>
        <w:keepNext/>
        <w:spacing w:after="120" w:line="480" w:lineRule="auto"/>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hi</m:t>
            </m:r>
            <m:r>
              <w:rPr>
                <w:rFonts w:ascii="Cambria Math" w:hAnsi="Cambria Math"/>
              </w:rPr>
              <m:t>gh</m:t>
            </m:r>
          </m:sub>
        </m:sSub>
        <m:r>
          <w:rPr>
            <w:rFonts w:ascii="Cambria Math" w:hAnsi="Cambria Math"/>
          </w:rPr>
          <m:t xml:space="preserve">= </m:t>
        </m:r>
        <m:f>
          <m:fPr>
            <m:ctrlPr>
              <w:rPr>
                <w:rFonts w:ascii="Cambria Math" w:hAnsi="Cambria Math"/>
                <w:i/>
              </w:rPr>
            </m:ctrlPr>
          </m:fPr>
          <m:num>
            <m:r>
              <w:rPr>
                <w:rFonts w:ascii="Cambria Math" w:hAnsi="Cambria Math"/>
              </w:rPr>
              <m:t xml:space="preserve">0.5 </m:t>
            </m:r>
            <m:sSub>
              <m:sSubPr>
                <m:ctrlPr>
                  <w:rPr>
                    <w:rFonts w:ascii="Cambria Math" w:hAnsi="Cambria Math"/>
                    <w:i/>
                  </w:rPr>
                </m:ctrlPr>
              </m:sSubPr>
              <m:e>
                <m:r>
                  <w:rPr>
                    <w:rFonts w:ascii="Cambria Math" w:hAnsi="Cambria Math"/>
                  </w:rPr>
                  <m:t>r</m:t>
                </m:r>
              </m:e>
              <m:sub>
                <m:r>
                  <w:rPr>
                    <w:rFonts w:ascii="Cambria Math" w:hAnsi="Cambria Math"/>
                  </w:rPr>
                  <m:t>high</m:t>
                </m:r>
              </m:sub>
            </m:sSub>
            <m:r>
              <w:rPr>
                <w:rFonts w:ascii="Cambria Math" w:hAnsi="Cambria Math"/>
              </w:rPr>
              <m:t xml:space="preserve"> </m:t>
            </m:r>
            <m:sSub>
              <m:sSubPr>
                <m:ctrlPr>
                  <w:rPr>
                    <w:rFonts w:ascii="Cambria Math" w:hAnsi="Cambria Math"/>
                    <w:i/>
                  </w:rPr>
                </m:ctrlPr>
              </m:sSubPr>
              <m:e>
                <m:r>
                  <w:rPr>
                    <w:rFonts w:ascii="Cambria Math" w:hAnsi="Cambria Math"/>
                  </w:rPr>
                  <m:t>CPUE</m:t>
                </m:r>
              </m:e>
              <m:sub>
                <m:r>
                  <w:rPr>
                    <w:rFonts w:ascii="Cambria Math" w:hAnsi="Cambria Math"/>
                  </w:rPr>
                  <m:t>mean</m:t>
                </m:r>
              </m:sub>
            </m:sSub>
          </m:num>
          <m:den>
            <m:sSub>
              <m:sSubPr>
                <m:ctrlPr>
                  <w:rPr>
                    <w:rFonts w:ascii="Cambria Math" w:hAnsi="Cambria Math"/>
                    <w:i/>
                  </w:rPr>
                </m:ctrlPr>
              </m:sSubPr>
              <m:e>
                <m:r>
                  <w:rPr>
                    <w:rFonts w:ascii="Cambria Math" w:hAnsi="Cambria Math"/>
                  </w:rPr>
                  <m:t>C</m:t>
                </m:r>
              </m:e>
              <m:sub>
                <m:r>
                  <w:rPr>
                    <w:rFonts w:ascii="Cambria Math" w:hAnsi="Cambria Math"/>
                  </w:rPr>
                  <m:t>mean</m:t>
                </m:r>
              </m:sub>
            </m:sSub>
          </m:den>
        </m:f>
      </m:oMath>
      <w:r w:rsidR="00BE5190">
        <w:rPr>
          <w:rFonts w:eastAsiaTheme="minorEastAsia"/>
        </w:rPr>
        <w:tab/>
      </w:r>
      <w:r w:rsidR="00BE5190">
        <w:rPr>
          <w:rFonts w:eastAsiaTheme="minorEastAsia"/>
        </w:rPr>
        <w:tab/>
      </w:r>
      <w:r w:rsidR="00BE5190">
        <w:rPr>
          <w:rFonts w:eastAsiaTheme="minorEastAsia"/>
        </w:rPr>
        <w:tab/>
      </w:r>
      <w:r w:rsidR="00BE5190">
        <w:rPr>
          <w:rFonts w:eastAsiaTheme="minorEastAsia"/>
        </w:rPr>
        <w:tab/>
      </w:r>
      <w:r w:rsidR="00BE5190">
        <w:rPr>
          <w:rFonts w:eastAsiaTheme="minorEastAsia"/>
        </w:rPr>
        <w:tab/>
      </w:r>
      <w:r w:rsidR="00BE5190">
        <w:rPr>
          <w:rFonts w:eastAsiaTheme="minorEastAsia"/>
        </w:rPr>
        <w:tab/>
      </w:r>
      <w:r w:rsidR="00BE5190">
        <w:rPr>
          <w:rFonts w:eastAsiaTheme="minorEastAsia"/>
        </w:rPr>
        <w:tab/>
      </w:r>
      <w:r w:rsidR="00BE5190">
        <w:rPr>
          <w:rFonts w:eastAsiaTheme="minorEastAsia"/>
        </w:rPr>
        <w:tab/>
      </w:r>
      <w:r w:rsidR="00BE5190">
        <w:rPr>
          <w:rFonts w:eastAsiaTheme="minorEastAsia"/>
        </w:rPr>
        <w:tab/>
        <w:t>(11</w:t>
      </w:r>
      <w:r w:rsidR="00DB2B86">
        <w:rPr>
          <w:rFonts w:eastAsiaTheme="minorEastAsia"/>
        </w:rPr>
        <w:t>)</w:t>
      </w:r>
    </w:p>
    <w:p w14:paraId="27625486" w14:textId="1538864E" w:rsidR="00DB2B86" w:rsidRPr="001613B6" w:rsidRDefault="00DB2B86" w:rsidP="004E4CDC">
      <w:pPr>
        <w:keepNext/>
        <w:spacing w:after="120" w:line="480" w:lineRule="auto"/>
      </w:pPr>
      <w:r>
        <w:rPr>
          <w:rFonts w:eastAsiaTheme="minorEastAsia"/>
        </w:rPr>
        <w:t>where</w:t>
      </w:r>
      <w:r w:rsidRPr="00DB2B86">
        <w:rPr>
          <w:rFonts w:eastAsiaTheme="minorEastAsia"/>
        </w:rPr>
        <w:t xml:space="preserve"> </w:t>
      </w:r>
      <w:r w:rsidRPr="00DB2B86">
        <w:rPr>
          <w:rFonts w:eastAsiaTheme="minorEastAsia"/>
          <w:i/>
        </w:rPr>
        <w:t>q</w:t>
      </w:r>
      <w:r w:rsidRPr="00DB2B86">
        <w:rPr>
          <w:rFonts w:eastAsiaTheme="minorEastAsia"/>
          <w:i/>
          <w:vertAlign w:val="subscript"/>
        </w:rPr>
        <w:t>high</w:t>
      </w:r>
      <w:r>
        <w:rPr>
          <w:rFonts w:eastAsiaTheme="minorEastAsia"/>
        </w:rPr>
        <w:t xml:space="preserve"> is the u</w:t>
      </w:r>
      <w:r w:rsidRPr="00DB2B86">
        <w:rPr>
          <w:rFonts w:eastAsiaTheme="minorEastAsia"/>
        </w:rPr>
        <w:t xml:space="preserve">pper prior for the catchability coefficient for stocks with high recent biomass, </w:t>
      </w:r>
      <w:r w:rsidRPr="00DB2B86">
        <w:rPr>
          <w:rFonts w:eastAsiaTheme="minorEastAsia"/>
          <w:i/>
        </w:rPr>
        <w:t>r</w:t>
      </w:r>
      <w:r w:rsidRPr="00DB2B86">
        <w:rPr>
          <w:rFonts w:eastAsiaTheme="minorEastAsia"/>
          <w:i/>
          <w:vertAlign w:val="subscript"/>
        </w:rPr>
        <w:t>high</w:t>
      </w:r>
      <w:r w:rsidRPr="00DB2B86">
        <w:rPr>
          <w:rFonts w:eastAsiaTheme="minorEastAsia"/>
        </w:rPr>
        <w:t xml:space="preserve"> is the upper prior range for </w:t>
      </w:r>
      <w:r w:rsidRPr="00DB2B86">
        <w:rPr>
          <w:rFonts w:eastAsiaTheme="minorEastAsia"/>
          <w:i/>
        </w:rPr>
        <w:t>r</w:t>
      </w:r>
      <w:r w:rsidRPr="00DB2B86">
        <w:rPr>
          <w:rFonts w:eastAsiaTheme="minorEastAsia"/>
        </w:rPr>
        <w:t>, and all other variables are as defined in</w:t>
      </w:r>
      <w:r>
        <w:rPr>
          <w:rFonts w:eastAsiaTheme="minorEastAsia"/>
        </w:rPr>
        <w:t xml:space="preserve"> </w:t>
      </w:r>
      <w:r w:rsidR="00BE5190">
        <w:rPr>
          <w:rFonts w:eastAsiaTheme="minorEastAsia"/>
        </w:rPr>
        <w:t>Equation 10</w:t>
      </w:r>
      <w:r w:rsidRPr="00DB2B86">
        <w:rPr>
          <w:rFonts w:eastAsiaTheme="minorEastAsia"/>
        </w:rPr>
        <w:t xml:space="preserve"> .</w:t>
      </w:r>
    </w:p>
    <w:p w14:paraId="7677DE2F" w14:textId="124EC3C9" w:rsidR="000F4A79" w:rsidRDefault="001613B6" w:rsidP="004E4CDC">
      <w:pPr>
        <w:spacing w:after="120" w:line="480" w:lineRule="auto"/>
      </w:pPr>
      <w:r>
        <w:t xml:space="preserve">For stocks with low </w:t>
      </w:r>
      <w:r w:rsidR="005A339E">
        <w:t>recent</w:t>
      </w:r>
      <w:r>
        <w:t xml:space="preserve"> prior biomass, the multiplier</w:t>
      </w:r>
      <w:r w:rsidR="00D218CB">
        <w:t>s</w:t>
      </w:r>
      <w:r>
        <w:t xml:space="preserve"> </w:t>
      </w:r>
      <w:r w:rsidR="0091123B">
        <w:t xml:space="preserve">were </w:t>
      </w:r>
      <w:r>
        <w:t xml:space="preserve">changed from 0.25 to 0.5 for </w:t>
      </w:r>
      <w:r w:rsidRPr="005A339E">
        <w:rPr>
          <w:i/>
        </w:rPr>
        <w:t>q</w:t>
      </w:r>
      <w:r w:rsidRPr="005A339E">
        <w:rPr>
          <w:i/>
          <w:vertAlign w:val="subscript"/>
        </w:rPr>
        <w:t>low</w:t>
      </w:r>
      <w:r>
        <w:t xml:space="preserve"> and from 0.5 to 1.</w:t>
      </w:r>
      <w:r w:rsidR="005A339E">
        <w:t xml:space="preserve">0 for </w:t>
      </w:r>
      <w:r w:rsidR="005A339E" w:rsidRPr="005A339E">
        <w:rPr>
          <w:i/>
        </w:rPr>
        <w:t>q</w:t>
      </w:r>
      <w:r w:rsidRPr="005A339E">
        <w:rPr>
          <w:i/>
          <w:vertAlign w:val="subscript"/>
        </w:rPr>
        <w:t>high</w:t>
      </w:r>
      <w:r>
        <w:t>.</w:t>
      </w:r>
      <w:r w:rsidR="005A339E">
        <w:t xml:space="preserve"> Mean catch and CPUE were taken over the last 5 years for species </w:t>
      </w:r>
      <w:r w:rsidR="0091123B">
        <w:t>with medium and high resilience</w:t>
      </w:r>
      <w:r w:rsidR="005A339E">
        <w:t xml:space="preserve"> </w:t>
      </w:r>
      <w:r w:rsidR="0091123B">
        <w:t>or</w:t>
      </w:r>
      <w:r w:rsidR="005A339E">
        <w:t xml:space="preserve"> over the last 10 years for species with low or very low resilience.</w:t>
      </w:r>
      <w:r>
        <w:t xml:space="preserve"> </w:t>
      </w:r>
      <w:r w:rsidR="005A339E">
        <w:t>For</w:t>
      </w:r>
      <w:r w:rsidR="0035168F">
        <w:t xml:space="preserve"> the Bayesian implementation of the Schaefer model, </w:t>
      </w:r>
      <w:r w:rsidR="005E79F1">
        <w:t xml:space="preserve">the </w:t>
      </w:r>
      <w:r w:rsidR="005E79F1" w:rsidRPr="005E79F1">
        <w:rPr>
          <w:i/>
        </w:rPr>
        <w:t>q</w:t>
      </w:r>
      <w:r w:rsidR="005E79F1">
        <w:t xml:space="preserve">-range was translated into a prior density function by </w:t>
      </w:r>
      <w:r w:rsidR="005E79F1">
        <w:lastRenderedPageBreak/>
        <w:t xml:space="preserve">assuming that </w:t>
      </w:r>
      <w:r w:rsidR="005E79F1">
        <w:rPr>
          <w:i/>
        </w:rPr>
        <w:t>q</w:t>
      </w:r>
      <w:r w:rsidR="005E79F1">
        <w:t xml:space="preserve"> was log-normally distributed and that the mean of the log </w:t>
      </w:r>
      <w:r w:rsidR="005E79F1">
        <w:rPr>
          <w:i/>
        </w:rPr>
        <w:t>q</w:t>
      </w:r>
      <w:r w:rsidR="005E79F1">
        <w:t xml:space="preserve">-range provided a reasonable central value, with a standard deviation assumed to be a quarter of the distance between the central value and </w:t>
      </w:r>
      <w:r w:rsidR="005E79F1" w:rsidRPr="005A339E">
        <w:rPr>
          <w:i/>
        </w:rPr>
        <w:t>q</w:t>
      </w:r>
      <w:r w:rsidR="005E79F1" w:rsidRPr="005A339E">
        <w:rPr>
          <w:i/>
          <w:vertAlign w:val="subscript"/>
        </w:rPr>
        <w:t>low</w:t>
      </w:r>
      <w:r w:rsidR="00D52E57">
        <w:t xml:space="preserve"> (McAllister et al. 2001).</w:t>
      </w:r>
      <w:r w:rsidR="00B655AF">
        <w:t xml:space="preserve"> The implementation of </w:t>
      </w:r>
      <w:r w:rsidR="003046B3">
        <w:t>BSM</w:t>
      </w:r>
      <w:r w:rsidR="0019347B">
        <w:t xml:space="preserve"> for CPUE data</w:t>
      </w:r>
      <w:r w:rsidR="003046B3">
        <w:t xml:space="preserve"> used the same settings as applied to observed or simulated biomass</w:t>
      </w:r>
      <w:r w:rsidR="00DB2B86">
        <w:t xml:space="preserve"> (see below)</w:t>
      </w:r>
      <w:r w:rsidR="00F20527">
        <w:t>. If less than 9</w:t>
      </w:r>
      <w:r w:rsidR="003046B3">
        <w:t xml:space="preserve"> years of CPUE data were available, the Schaefer model was not fit. Instead, CPUE was plotted on a second Y-axis in the plot of biomass predicted by CMSY (</w:t>
      </w:r>
      <w:r w:rsidR="00F655B8">
        <w:t>see example in</w:t>
      </w:r>
      <w:r w:rsidR="008C1F36">
        <w:t xml:space="preserve"> Figure 6</w:t>
      </w:r>
      <w:r w:rsidR="00D77C2C">
        <w:t>)</w:t>
      </w:r>
      <w:r w:rsidR="000F4A79">
        <w:t>.</w:t>
      </w:r>
    </w:p>
    <w:p w14:paraId="6F939EC4" w14:textId="171D1E99" w:rsidR="00C839EB" w:rsidRPr="00DD5D67" w:rsidRDefault="00BE5190" w:rsidP="004E4CDC">
      <w:pPr>
        <w:pStyle w:val="berschrift3"/>
        <w:spacing w:line="480" w:lineRule="auto"/>
      </w:pPr>
      <w:bookmarkStart w:id="12" w:name="_Toc410816090"/>
      <w:r>
        <w:t>2.4</w:t>
      </w:r>
      <w:r w:rsidR="00C839EB" w:rsidRPr="00DD5D67">
        <w:t xml:space="preserve">.3 </w:t>
      </w:r>
      <w:r w:rsidR="00D77C2C">
        <w:t>Implementation of the Bayesian Schaefer model</w:t>
      </w:r>
      <w:bookmarkEnd w:id="12"/>
      <w:r w:rsidR="00C839EB" w:rsidRPr="00DD5D67">
        <w:rPr>
          <w:i/>
        </w:rPr>
        <w:t xml:space="preserve"> </w:t>
      </w:r>
    </w:p>
    <w:p w14:paraId="0D3EC269" w14:textId="15E7D9B3" w:rsidR="00DD5D67" w:rsidRPr="005D46DF" w:rsidRDefault="00F86053" w:rsidP="004E4CDC">
      <w:pPr>
        <w:spacing w:after="120" w:line="480" w:lineRule="auto"/>
      </w:pPr>
      <w:r>
        <w:t>The state-space model implementation of the BSM (Miller and Meyer</w:t>
      </w:r>
      <w:r w:rsidR="00393DFB">
        <w:t xml:space="preserve"> </w:t>
      </w:r>
      <w:r>
        <w:t xml:space="preserve">1999) </w:t>
      </w:r>
      <w:r w:rsidR="00D77C2C">
        <w:t xml:space="preserve">for catch and biomass and for catch and CPUE </w:t>
      </w:r>
      <w:r w:rsidR="003046B3">
        <w:t>a</w:t>
      </w:r>
      <w:r w:rsidR="00D77C2C">
        <w:t>re incl</w:t>
      </w:r>
      <w:r w:rsidR="003046B3">
        <w:t>uded in the CMSY R-code</w:t>
      </w:r>
      <w:r w:rsidR="00B655AF">
        <w:t xml:space="preserve">, which is available as part of the </w:t>
      </w:r>
      <w:r w:rsidR="00AC3B9B">
        <w:t>online S</w:t>
      </w:r>
      <w:r w:rsidR="00B655AF">
        <w:t>upplement</w:t>
      </w:r>
      <w:r w:rsidR="00D77C2C">
        <w:t>.</w:t>
      </w:r>
      <w:r w:rsidR="00236014">
        <w:t xml:space="preserve"> </w:t>
      </w:r>
      <w:r w:rsidR="00DD5D67">
        <w:t>The JAGS software (</w:t>
      </w:r>
      <w:r w:rsidR="00C3754D">
        <w:t>Plummer 2003</w:t>
      </w:r>
      <w:r w:rsidR="00DD5D67">
        <w:t xml:space="preserve">) was used for </w:t>
      </w:r>
      <w:r w:rsidR="00D77C2C">
        <w:t>sampling the probability distributions of the parameters with the Markov chain Monte Carlo method.</w:t>
      </w:r>
      <w:r w:rsidR="00DD5D67">
        <w:t xml:space="preserve"> </w:t>
      </w:r>
      <w:r>
        <w:t>To facilitate mixing of the Gibbs samples, annu</w:t>
      </w:r>
      <w:r w:rsidR="00441FE1">
        <w:t>a</w:t>
      </w:r>
      <w:r>
        <w:t xml:space="preserve">l biomass was expressed relative to the unexploited biomass with </w:t>
      </w:r>
      <w:r>
        <w:rPr>
          <w:i/>
        </w:rPr>
        <w:t>P</w:t>
      </w:r>
      <w:r>
        <w:rPr>
          <w:i/>
          <w:vertAlign w:val="subscript"/>
        </w:rPr>
        <w:t>t</w:t>
      </w:r>
      <w:r>
        <w:rPr>
          <w:i/>
        </w:rPr>
        <w:t xml:space="preserve"> </w:t>
      </w:r>
      <w:r>
        <w:t xml:space="preserve">= </w:t>
      </w:r>
      <w:r>
        <w:rPr>
          <w:i/>
        </w:rPr>
        <w:t>B</w:t>
      </w:r>
      <w:r>
        <w:rPr>
          <w:i/>
          <w:vertAlign w:val="subscript"/>
        </w:rPr>
        <w:t>t</w:t>
      </w:r>
      <w:r>
        <w:rPr>
          <w:i/>
        </w:rPr>
        <w:t xml:space="preserve"> </w:t>
      </w:r>
      <w:r>
        <w:t xml:space="preserve">/ </w:t>
      </w:r>
      <w:r w:rsidRPr="00F86053">
        <w:rPr>
          <w:i/>
        </w:rPr>
        <w:t>k</w:t>
      </w:r>
      <w:r w:rsidR="00393DFB">
        <w:t xml:space="preserve"> (Meyers and Miller </w:t>
      </w:r>
      <w:r>
        <w:t>1999)</w:t>
      </w:r>
      <w:r w:rsidR="00441FE1">
        <w:t>.</w:t>
      </w:r>
      <w:r>
        <w:t xml:space="preserve">  </w:t>
      </w:r>
      <w:r w:rsidR="00DD5D67">
        <w:t xml:space="preserve">Basic parameter settings </w:t>
      </w:r>
      <w:r w:rsidR="003046B3">
        <w:t>include</w:t>
      </w:r>
      <w:r w:rsidR="00CB435D">
        <w:t>d</w:t>
      </w:r>
      <w:r w:rsidR="00DD5D67">
        <w:t xml:space="preserve"> three </w:t>
      </w:r>
      <w:r w:rsidR="00D77C2C">
        <w:t xml:space="preserve">sampling </w:t>
      </w:r>
      <w:r w:rsidR="00DD5D67">
        <w:t xml:space="preserve">chains with a chain length of 60,000 </w:t>
      </w:r>
      <w:r w:rsidR="00D77C2C">
        <w:t xml:space="preserve">steps </w:t>
      </w:r>
      <w:r w:rsidR="009D3877">
        <w:t xml:space="preserve">each and with </w:t>
      </w:r>
      <w:r w:rsidR="00DD5D67">
        <w:t xml:space="preserve">a burn-in phase of 30,000 </w:t>
      </w:r>
      <w:r w:rsidR="00D77C2C">
        <w:t>steps</w:t>
      </w:r>
      <w:r w:rsidR="00DD5D67">
        <w:t>. For the analysis of output, only every 10</w:t>
      </w:r>
      <w:r w:rsidR="00DD5D67" w:rsidRPr="005D46DF">
        <w:rPr>
          <w:vertAlign w:val="superscript"/>
        </w:rPr>
        <w:t>th</w:t>
      </w:r>
      <w:r w:rsidR="00DD5D67">
        <w:t xml:space="preserve"> value was used to reduce autocorrelation. </w:t>
      </w:r>
      <w:r w:rsidR="00D77C2C">
        <w:t xml:space="preserve">All </w:t>
      </w:r>
      <w:r w:rsidR="00B655AF">
        <w:t xml:space="preserve">posterior </w:t>
      </w:r>
      <w:r w:rsidR="00D77C2C">
        <w:t>parameter</w:t>
      </w:r>
      <w:r w:rsidR="00B655AF">
        <w:t xml:space="preserve"> estimates</w:t>
      </w:r>
      <w:r w:rsidR="00D77C2C">
        <w:t xml:space="preserve"> were assumed to be appro</w:t>
      </w:r>
      <w:r w:rsidR="00E504F0">
        <w:t>ximately log-normal</w:t>
      </w:r>
      <w:r w:rsidR="003046B3">
        <w:t>ly</w:t>
      </w:r>
      <w:r w:rsidR="00E504F0">
        <w:t xml:space="preserve"> distributed, with </w:t>
      </w:r>
      <w:r w:rsidR="003046B3">
        <w:t xml:space="preserve">the </w:t>
      </w:r>
      <w:r w:rsidR="00EB5148">
        <w:t>median</w:t>
      </w:r>
      <w:r w:rsidR="00E504F0">
        <w:t xml:space="preserve"> </w:t>
      </w:r>
      <w:r w:rsidR="003046B3">
        <w:t xml:space="preserve">used </w:t>
      </w:r>
      <w:r w:rsidR="00E504F0">
        <w:t xml:space="preserve">as </w:t>
      </w:r>
      <w:r w:rsidR="003046B3">
        <w:t xml:space="preserve">the </w:t>
      </w:r>
      <w:r w:rsidR="00E504F0">
        <w:t xml:space="preserve">central value and 95% confidence intervals </w:t>
      </w:r>
      <w:r w:rsidR="00EB5148">
        <w:t>approximated</w:t>
      </w:r>
      <w:r w:rsidR="00E504F0">
        <w:t xml:space="preserve"> </w:t>
      </w:r>
      <w:r w:rsidR="00EB5148">
        <w:t>by the 2.5</w:t>
      </w:r>
      <w:r w:rsidR="00EB5148" w:rsidRPr="00EB5148">
        <w:rPr>
          <w:vertAlign w:val="superscript"/>
        </w:rPr>
        <w:t>th</w:t>
      </w:r>
      <w:r w:rsidR="00EB5148">
        <w:t xml:space="preserve"> and 97.5</w:t>
      </w:r>
      <w:r w:rsidR="00EB5148" w:rsidRPr="00EB5148">
        <w:rPr>
          <w:vertAlign w:val="superscript"/>
        </w:rPr>
        <w:t>th</w:t>
      </w:r>
      <w:r w:rsidR="00EB5148">
        <w:t xml:space="preserve"> percentiles</w:t>
      </w:r>
      <w:r w:rsidR="00B26F90">
        <w:t xml:space="preserve"> to find values at which test statistics attain less than 0.05 significance</w:t>
      </w:r>
      <w:r w:rsidR="00B96F81">
        <w:t xml:space="preserve"> (Gelmann </w:t>
      </w:r>
      <w:r w:rsidR="00B96F81" w:rsidRPr="00441FE1">
        <w:rPr>
          <w:i/>
        </w:rPr>
        <w:t>et al.</w:t>
      </w:r>
      <w:r w:rsidR="00B96F81">
        <w:t xml:space="preserve"> 1995; McAllister </w:t>
      </w:r>
      <w:r w:rsidR="00B96F81" w:rsidRPr="00441FE1">
        <w:rPr>
          <w:i/>
        </w:rPr>
        <w:t>et al.</w:t>
      </w:r>
      <w:r w:rsidR="00B96F81">
        <w:t xml:space="preserve"> 2001</w:t>
      </w:r>
      <w:r w:rsidR="00B26F90">
        <w:t>; Owen 2013</w:t>
      </w:r>
      <w:r w:rsidR="00B96F81">
        <w:t>)</w:t>
      </w:r>
      <w:r w:rsidR="00E504F0">
        <w:t>.</w:t>
      </w:r>
      <w:r w:rsidR="00206CC6">
        <w:t xml:space="preserve"> </w:t>
      </w:r>
    </w:p>
    <w:p w14:paraId="3BB4FDB4" w14:textId="792F4B83" w:rsidR="00C839EB" w:rsidRPr="00046275" w:rsidRDefault="00C839EB" w:rsidP="004E4CDC">
      <w:pPr>
        <w:pStyle w:val="berschrift1"/>
        <w:spacing w:line="480" w:lineRule="auto"/>
      </w:pPr>
      <w:bookmarkStart w:id="13" w:name="_Toc410816091"/>
      <w:r w:rsidRPr="00046275">
        <w:t>3 Results</w:t>
      </w:r>
      <w:bookmarkEnd w:id="13"/>
    </w:p>
    <w:p w14:paraId="25989485" w14:textId="7DC7F6FA" w:rsidR="00480497" w:rsidRDefault="00480497" w:rsidP="004E4CDC">
      <w:pPr>
        <w:pStyle w:val="berschrift2"/>
        <w:spacing w:line="480" w:lineRule="auto"/>
      </w:pPr>
      <w:bookmarkStart w:id="14" w:name="_Toc410816092"/>
      <w:r>
        <w:t>3.1 Results for selecting priors with default rules</w:t>
      </w:r>
      <w:r w:rsidR="004A6CB5">
        <w:t xml:space="preserve"> for </w:t>
      </w:r>
      <w:r w:rsidR="004A6CB5" w:rsidRPr="004A6CB5">
        <w:rPr>
          <w:i/>
        </w:rPr>
        <w:t>r</w:t>
      </w:r>
      <w:r w:rsidR="004A6CB5">
        <w:t xml:space="preserve">, </w:t>
      </w:r>
      <w:r w:rsidR="004A6CB5" w:rsidRPr="004A6CB5">
        <w:rPr>
          <w:i/>
        </w:rPr>
        <w:t>k</w:t>
      </w:r>
      <w:r w:rsidR="004A6CB5">
        <w:t xml:space="preserve">, </w:t>
      </w:r>
      <w:r w:rsidR="00A8073C" w:rsidRPr="00A8073C">
        <w:rPr>
          <w:i/>
        </w:rPr>
        <w:t>q</w:t>
      </w:r>
      <w:r w:rsidR="00A8073C">
        <w:t xml:space="preserve">, </w:t>
      </w:r>
      <w:r w:rsidR="004A6CB5">
        <w:t>and biomass</w:t>
      </w:r>
    </w:p>
    <w:p w14:paraId="4F245DE7" w14:textId="7802C566" w:rsidR="0008044E" w:rsidRDefault="00480497" w:rsidP="00480497">
      <w:pPr>
        <w:spacing w:line="480" w:lineRule="auto"/>
      </w:pPr>
      <w:r>
        <w:t xml:space="preserve">To determine the prior ranges for </w:t>
      </w:r>
      <w:r w:rsidRPr="00480497">
        <w:rPr>
          <w:i/>
        </w:rPr>
        <w:t>r</w:t>
      </w:r>
      <w:r>
        <w:rPr>
          <w:i/>
        </w:rPr>
        <w:t>,</w:t>
      </w:r>
      <w:r>
        <w:t xml:space="preserve"> resilience categories (Very low, Low, Medium, High) at the species level were used from </w:t>
      </w:r>
      <w:hyperlink r:id="rId15" w:history="1">
        <w:r w:rsidRPr="001A23B6">
          <w:rPr>
            <w:rStyle w:val="Hyperlink"/>
          </w:rPr>
          <w:t>www.fishbase.org</w:t>
        </w:r>
      </w:hyperlink>
      <w:r>
        <w:t xml:space="preserve"> </w:t>
      </w:r>
      <w:r w:rsidR="001C048B">
        <w:t>for fishes and were selected</w:t>
      </w:r>
      <w:r w:rsidR="0008044E">
        <w:t xml:space="preserve"> manually for the four stocks of </w:t>
      </w:r>
      <w:r w:rsidR="0008044E">
        <w:lastRenderedPageBreak/>
        <w:t xml:space="preserve">invertebrates. </w:t>
      </w:r>
      <w:r w:rsidR="00BB2972" w:rsidRPr="00BB2972">
        <w:t xml:space="preserve">These categories, combined with catch data and prior biomass ranges, led to the detection of viable </w:t>
      </w:r>
      <w:r w:rsidR="00BB2972" w:rsidRPr="00BB2972">
        <w:rPr>
          <w:i/>
        </w:rPr>
        <w:t>r-k</w:t>
      </w:r>
      <w:r w:rsidR="00BB2972" w:rsidRPr="00BB2972">
        <w:t xml:space="preserve"> pairs in 140 </w:t>
      </w:r>
      <w:r w:rsidR="006E6965">
        <w:t xml:space="preserve">of 159 stocks (88%). In 19 </w:t>
      </w:r>
      <w:r w:rsidR="00BB2972" w:rsidRPr="00BB2972">
        <w:t>stocks the resilience category was changed manually to an adjacent lower or upper category</w:t>
      </w:r>
      <w:r w:rsidR="00BB2972">
        <w:t xml:space="preserve"> in order to find viable </w:t>
      </w:r>
      <w:r w:rsidR="00BB2972" w:rsidRPr="00BB2972">
        <w:rPr>
          <w:i/>
        </w:rPr>
        <w:t>r</w:t>
      </w:r>
      <w:r w:rsidR="00BB2972" w:rsidRPr="00BB2972">
        <w:t>-</w:t>
      </w:r>
      <w:r w:rsidR="00BB2972" w:rsidRPr="00BB2972">
        <w:rPr>
          <w:i/>
        </w:rPr>
        <w:t>k</w:t>
      </w:r>
      <w:r w:rsidR="00BB2972" w:rsidRPr="00BB2972">
        <w:t xml:space="preserve"> pairs</w:t>
      </w:r>
      <w:r w:rsidR="00BB2972">
        <w:t>.</w:t>
      </w:r>
      <w:r w:rsidR="00974B3B">
        <w:t xml:space="preserve"> In about half of these cases (9 of 19), the change was to an upper resilience category, i.e., there was no </w:t>
      </w:r>
      <w:r w:rsidR="001C048B">
        <w:t>apparent bias in the default rules</w:t>
      </w:r>
      <w:r w:rsidR="00974B3B">
        <w:t xml:space="preserve"> towards lower or higher categories</w:t>
      </w:r>
      <w:r w:rsidR="00DA34C6">
        <w:t>.</w:t>
      </w:r>
      <w:r w:rsidR="00AA66AD">
        <w:t xml:space="preserve"> </w:t>
      </w:r>
    </w:p>
    <w:p w14:paraId="58C51C34" w14:textId="10DC4531" w:rsidR="00DA34C6" w:rsidRDefault="004A6CB5" w:rsidP="00480497">
      <w:pPr>
        <w:spacing w:line="480" w:lineRule="auto"/>
      </w:pPr>
      <w:r>
        <w:t xml:space="preserve">The rules for deriving the prior ranges for </w:t>
      </w:r>
      <w:r w:rsidRPr="004A6CB5">
        <w:rPr>
          <w:i/>
        </w:rPr>
        <w:t>k</w:t>
      </w:r>
      <w:r>
        <w:t xml:space="preserve"> from maximum catch and </w:t>
      </w:r>
      <w:r w:rsidR="001C048B">
        <w:t xml:space="preserve">prior </w:t>
      </w:r>
      <w:r w:rsidRPr="004A6CB5">
        <w:rPr>
          <w:i/>
        </w:rPr>
        <w:t>r</w:t>
      </w:r>
      <w:r>
        <w:t xml:space="preserve"> were sufficient in all cases, no manual adjustments were done. </w:t>
      </w:r>
      <w:r w:rsidR="00A8073C">
        <w:t xml:space="preserve">Priors for catchability </w:t>
      </w:r>
      <w:r w:rsidR="00A8073C" w:rsidRPr="00FC563C">
        <w:rPr>
          <w:i/>
        </w:rPr>
        <w:t>q</w:t>
      </w:r>
      <w:r w:rsidR="00A8073C">
        <w:t xml:space="preserve"> were derived from equilibrium reasoning </w:t>
      </w:r>
      <w:r w:rsidR="005065FA">
        <w:t xml:space="preserve">and recent catches </w:t>
      </w:r>
      <w:r w:rsidR="00A8073C">
        <w:t>(Equation</w:t>
      </w:r>
      <w:r w:rsidR="001C048B">
        <w:t>s</w:t>
      </w:r>
      <w:r w:rsidR="00A8073C">
        <w:t xml:space="preserve"> </w:t>
      </w:r>
      <w:r w:rsidR="001C048B">
        <w:t>9-11</w:t>
      </w:r>
      <w:r w:rsidR="00A8073C">
        <w:t xml:space="preserve">). The prior ranges included the “true” value of </w:t>
      </w:r>
      <w:r w:rsidR="00A8073C" w:rsidRPr="00FC563C">
        <w:rPr>
          <w:i/>
        </w:rPr>
        <w:t>q</w:t>
      </w:r>
      <w:r w:rsidR="00A8073C">
        <w:t xml:space="preserve"> in </w:t>
      </w:r>
      <w:r w:rsidR="0000646E">
        <w:t>19</w:t>
      </w:r>
      <w:r w:rsidR="00A8073C">
        <w:t xml:space="preserve"> of 24 simulated stocks (</w:t>
      </w:r>
      <w:r w:rsidR="0000646E">
        <w:t>79</w:t>
      </w:r>
      <w:r w:rsidR="00A8073C">
        <w:t>%</w:t>
      </w:r>
      <w:r w:rsidR="005065FA">
        <w:t>, see Table 8</w:t>
      </w:r>
      <w:r w:rsidR="00A8073C">
        <w:t>).</w:t>
      </w:r>
    </w:p>
    <w:p w14:paraId="0D89A9C0" w14:textId="3EBAD40D" w:rsidR="00974B3B" w:rsidRDefault="00DA34C6" w:rsidP="00480497">
      <w:pPr>
        <w:spacing w:line="480" w:lineRule="auto"/>
      </w:pPr>
      <w:r>
        <w:t>To determine prior biomass ranges for the start and end of the time series</w:t>
      </w:r>
      <w:r w:rsidR="00413EF0">
        <w:t>,</w:t>
      </w:r>
      <w:r>
        <w:t xml:space="preserve"> and for an optional intermediate year, default rules were used as described in the online Supplement. The resulting prior biomass ranges were compatible with observed biomass or abundance in 92 of 159 stocks (58%). Initial biomass was manually corrected in 14 stocks (9%), intermediate biomass in 11 stocks (9%) and final biomass in 54 stocks (34%). S</w:t>
      </w:r>
      <w:r w:rsidR="00AA66AD">
        <w:t>ee data</w:t>
      </w:r>
      <w:r>
        <w:t xml:space="preserve"> on resilience and biomass priors</w:t>
      </w:r>
      <w:r w:rsidR="00AA66AD">
        <w:t xml:space="preserve"> in AllStocks_ID20.xlsx in th</w:t>
      </w:r>
      <w:r>
        <w:t>e online Supplement material</w:t>
      </w:r>
      <w:r w:rsidR="00974B3B">
        <w:t>.</w:t>
      </w:r>
    </w:p>
    <w:p w14:paraId="2975A7C7" w14:textId="35423459" w:rsidR="00046275" w:rsidRPr="00FA0090" w:rsidRDefault="00DA34C6" w:rsidP="004E4CDC">
      <w:pPr>
        <w:pStyle w:val="berschrift2"/>
        <w:spacing w:line="480" w:lineRule="auto"/>
      </w:pPr>
      <w:r>
        <w:t>3</w:t>
      </w:r>
      <w:r w:rsidR="00480497">
        <w:t>.2</w:t>
      </w:r>
      <w:r w:rsidR="00046275">
        <w:t xml:space="preserve"> </w:t>
      </w:r>
      <w:r w:rsidR="00046275" w:rsidRPr="00FA0090">
        <w:t>Results</w:t>
      </w:r>
      <w:r w:rsidR="00046275">
        <w:t xml:space="preserve"> for simulated stocks with catch and biomass</w:t>
      </w:r>
      <w:bookmarkEnd w:id="14"/>
      <w:r w:rsidR="00A259B5">
        <w:t xml:space="preserve"> </w:t>
      </w:r>
    </w:p>
    <w:p w14:paraId="6E7FEE69" w14:textId="720D0FEC" w:rsidR="00C53911" w:rsidRDefault="00771E93" w:rsidP="00F67273">
      <w:pPr>
        <w:spacing w:after="120" w:line="480" w:lineRule="auto"/>
      </w:pPr>
      <w:r>
        <w:t xml:space="preserve">The CMSY and </w:t>
      </w:r>
      <w:r w:rsidR="00804C9D">
        <w:t>BSM</w:t>
      </w:r>
      <w:r>
        <w:t xml:space="preserve"> </w:t>
      </w:r>
      <w:r w:rsidR="00B05186">
        <w:t xml:space="preserve">methods </w:t>
      </w:r>
      <w:r>
        <w:t xml:space="preserve">were applied to simulated catch and biomass data where the </w:t>
      </w:r>
      <w:r w:rsidR="001C048B">
        <w:t>“</w:t>
      </w:r>
      <w:r>
        <w:t>true</w:t>
      </w:r>
      <w:r w:rsidR="001C048B">
        <w:t>”</w:t>
      </w:r>
      <w:r>
        <w:t xml:space="preserve"> parameter values were known. </w:t>
      </w:r>
      <w:r w:rsidR="00DB2B86">
        <w:t>Tabulated results and d</w:t>
      </w:r>
      <w:r>
        <w:t xml:space="preserve">etailed analyses for every stock are available </w:t>
      </w:r>
      <w:r w:rsidR="00804C9D">
        <w:t>in</w:t>
      </w:r>
      <w:r>
        <w:t xml:space="preserve"> </w:t>
      </w:r>
      <w:r w:rsidR="008C1F36">
        <w:t>the online Supplement</w:t>
      </w:r>
      <w:r w:rsidR="00F74E33">
        <w:t xml:space="preserve"> (Tables S3</w:t>
      </w:r>
      <w:r w:rsidR="004E06AC">
        <w:t>,</w:t>
      </w:r>
      <w:r w:rsidR="00F74E33">
        <w:t xml:space="preserve"> S4</w:t>
      </w:r>
      <w:r w:rsidR="004E06AC">
        <w:t xml:space="preserve"> and Appendix I</w:t>
      </w:r>
      <w:r w:rsidR="00F74E33">
        <w:t>)</w:t>
      </w:r>
      <w:r>
        <w:t xml:space="preserve">. </w:t>
      </w:r>
      <w:r w:rsidR="00AC3B9B">
        <w:t>In most simulated stocks (75-96%</w:t>
      </w:r>
      <w:r w:rsidR="004E06AC">
        <w:t>,</w:t>
      </w:r>
      <w:r w:rsidR="00AC3B9B">
        <w:t xml:space="preserve"> depending on the parameter, see Table 4)</w:t>
      </w:r>
      <w:r>
        <w:t xml:space="preserve">, </w:t>
      </w:r>
      <w:r w:rsidR="00046275" w:rsidRPr="00FA0090">
        <w:t>the 95</w:t>
      </w:r>
      <w:r w:rsidR="00046275">
        <w:t>%</w:t>
      </w:r>
      <w:r w:rsidR="00046275" w:rsidRPr="00FA0090">
        <w:t xml:space="preserve"> </w:t>
      </w:r>
      <w:r w:rsidR="00046275">
        <w:t>confidence limits</w:t>
      </w:r>
      <w:r w:rsidR="00046275" w:rsidRPr="00FA0090">
        <w:t xml:space="preserve"> of the </w:t>
      </w:r>
      <w:r w:rsidR="00EF6C07">
        <w:t>estimate</w:t>
      </w:r>
      <w:r w:rsidR="00AC3B9B">
        <w:t>s</w:t>
      </w:r>
      <w:r w:rsidR="00EF6C07">
        <w:t xml:space="preserve"> by </w:t>
      </w:r>
      <w:r w:rsidR="00046275" w:rsidRPr="00FA0090">
        <w:t xml:space="preserve">CMSY </w:t>
      </w:r>
      <w:r w:rsidR="00804C9D">
        <w:t>and</w:t>
      </w:r>
      <w:r w:rsidR="00EF6C07">
        <w:t xml:space="preserve"> </w:t>
      </w:r>
      <w:r w:rsidR="00804C9D">
        <w:t>BSM</w:t>
      </w:r>
      <w:r w:rsidR="00CF5AEE">
        <w:t xml:space="preserve"> include</w:t>
      </w:r>
      <w:r w:rsidR="009D2239">
        <w:t>d</w:t>
      </w:r>
      <w:r w:rsidR="00EF6C07">
        <w:t xml:space="preserve"> the true value used in the simulations</w:t>
      </w:r>
      <w:r w:rsidR="009D2239">
        <w:t xml:space="preserve"> and were</w:t>
      </w:r>
      <w:r w:rsidR="00EF6C07">
        <w:t xml:space="preserve"> </w:t>
      </w:r>
      <w:r w:rsidR="00AC3B9B">
        <w:t xml:space="preserve">thus </w:t>
      </w:r>
      <w:r w:rsidR="00046275" w:rsidRPr="00FA0090">
        <w:t xml:space="preserve">not </w:t>
      </w:r>
      <w:r w:rsidR="00046275" w:rsidRPr="00E302AC">
        <w:t>significantly</w:t>
      </w:r>
      <w:r w:rsidR="00046275" w:rsidRPr="00FA0090">
        <w:t xml:space="preserve"> different from the </w:t>
      </w:r>
      <w:r w:rsidR="004E06AC">
        <w:t>“</w:t>
      </w:r>
      <w:r w:rsidR="00046275" w:rsidRPr="00FA0090">
        <w:t>true</w:t>
      </w:r>
      <w:r w:rsidR="004E06AC">
        <w:t>”</w:t>
      </w:r>
      <w:r w:rsidR="00046275">
        <w:rPr>
          <w:i/>
        </w:rPr>
        <w:t xml:space="preserve"> </w:t>
      </w:r>
      <w:r w:rsidR="00046275" w:rsidRPr="00FA0090">
        <w:t>value</w:t>
      </w:r>
      <w:r w:rsidR="00046275">
        <w:t>s</w:t>
      </w:r>
      <w:r w:rsidR="00AC3B9B">
        <w:t xml:space="preserve"> </w:t>
      </w:r>
      <w:r w:rsidR="00BB6AD5">
        <w:t>(</w:t>
      </w:r>
      <w:r w:rsidR="008B3B3E">
        <w:t>Smith 1995</w:t>
      </w:r>
      <w:r w:rsidR="00AC3B9B">
        <w:t>)</w:t>
      </w:r>
      <w:r w:rsidR="00046275" w:rsidRPr="00FA0090">
        <w:t xml:space="preserve">. </w:t>
      </w:r>
      <w:r w:rsidR="00EF6C07">
        <w:t xml:space="preserve">Results for CMSY and </w:t>
      </w:r>
      <w:r w:rsidR="00804C9D">
        <w:t>BSM</w:t>
      </w:r>
      <w:r w:rsidR="00EF6C07">
        <w:t xml:space="preserve"> </w:t>
      </w:r>
      <w:r w:rsidR="009D2239">
        <w:t xml:space="preserve">were </w:t>
      </w:r>
      <w:r w:rsidR="00EF6C07">
        <w:t xml:space="preserve">very similar. </w:t>
      </w:r>
      <w:r w:rsidR="00360D0A">
        <w:t>O</w:t>
      </w:r>
      <w:r w:rsidR="00E529DA">
        <w:t xml:space="preserve">f the six scenarios where CMSY estimates of </w:t>
      </w:r>
      <w:r w:rsidR="00E529DA" w:rsidRPr="00E529DA">
        <w:rPr>
          <w:i/>
        </w:rPr>
        <w:t>r</w:t>
      </w:r>
      <w:r w:rsidR="00E529DA">
        <w:t xml:space="preserve"> did not include the “true” value, four had high final biomass.</w:t>
      </w:r>
      <w:r w:rsidR="00C53911">
        <w:t xml:space="preserve"> Similarly, all four scenarios where BSM estimates did not include the “true” value had high final biomass</w:t>
      </w:r>
      <w:r w:rsidR="00360D0A">
        <w:t>.</w:t>
      </w:r>
      <w:r w:rsidR="00E529DA">
        <w:t xml:space="preserve">   </w:t>
      </w:r>
    </w:p>
    <w:p w14:paraId="608AE2CB" w14:textId="77E24412" w:rsidR="004E06AC" w:rsidRDefault="00804C9D" w:rsidP="00F67273">
      <w:pPr>
        <w:spacing w:after="120" w:line="480" w:lineRule="auto"/>
      </w:pPr>
      <w:r>
        <w:lastRenderedPageBreak/>
        <w:t>A comparison of CMSY and BSM</w:t>
      </w:r>
      <w:r w:rsidR="00046275">
        <w:t xml:space="preserve"> estimates versus </w:t>
      </w:r>
      <w:r w:rsidR="004E06AC">
        <w:t>“</w:t>
      </w:r>
      <w:r w:rsidR="00046275">
        <w:t>true</w:t>
      </w:r>
      <w:r w:rsidR="004E06AC">
        <w:t>”</w:t>
      </w:r>
      <w:r w:rsidR="00046275">
        <w:t xml:space="preserve"> values for </w:t>
      </w:r>
      <w:r w:rsidR="00046275" w:rsidRPr="00E51568">
        <w:rPr>
          <w:i/>
        </w:rPr>
        <w:t>MSY, r, k</w:t>
      </w:r>
      <w:r w:rsidR="00046275">
        <w:t>, last biomass and last exploitation rate</w:t>
      </w:r>
      <w:r w:rsidR="0011205E">
        <w:t xml:space="preserve"> show</w:t>
      </w:r>
      <w:r w:rsidR="009D2239">
        <w:t>ed</w:t>
      </w:r>
      <w:r>
        <w:t xml:space="preserve"> that t</w:t>
      </w:r>
      <w:r w:rsidR="00046275">
        <w:t xml:space="preserve">he median ratios and the ranges that contain 90% of the estimates </w:t>
      </w:r>
      <w:r w:rsidR="009D2239">
        <w:t xml:space="preserve">were </w:t>
      </w:r>
      <w:r w:rsidR="00046275">
        <w:t xml:space="preserve">very similar for </w:t>
      </w:r>
      <w:r>
        <w:t>both methods (</w:t>
      </w:r>
      <w:r w:rsidR="00F74E33">
        <w:t>Table 5</w:t>
      </w:r>
      <w:r w:rsidR="00CF5AEE">
        <w:t xml:space="preserve">). The median ratios </w:t>
      </w:r>
      <w:r w:rsidR="009D2239">
        <w:t xml:space="preserve">were </w:t>
      </w:r>
      <w:r w:rsidR="00046275">
        <w:t xml:space="preserve">close to </w:t>
      </w:r>
      <w:r w:rsidR="00B9294A">
        <w:t>unity</w:t>
      </w:r>
      <w:r w:rsidR="00046275">
        <w:t>, with maximum deviati</w:t>
      </w:r>
      <w:r w:rsidR="000E1250">
        <w:t>ons</w:t>
      </w:r>
      <w:r w:rsidR="00046275">
        <w:t xml:space="preserve"> of 0.</w:t>
      </w:r>
      <w:r w:rsidR="00AC3B9B">
        <w:t>80</w:t>
      </w:r>
      <w:r w:rsidR="00C27E23">
        <w:t xml:space="preserve"> and 1.0</w:t>
      </w:r>
      <w:r w:rsidR="00AC3B9B">
        <w:t>6</w:t>
      </w:r>
      <w:r w:rsidR="00046275">
        <w:t>. The 5</w:t>
      </w:r>
      <w:r w:rsidR="00046275" w:rsidRPr="00737EDC">
        <w:rPr>
          <w:vertAlign w:val="superscript"/>
        </w:rPr>
        <w:t>th</w:t>
      </w:r>
      <w:r w:rsidR="00046275">
        <w:t xml:space="preserve"> - 95</w:t>
      </w:r>
      <w:r w:rsidR="00046275" w:rsidRPr="00737EDC">
        <w:rPr>
          <w:vertAlign w:val="superscript"/>
        </w:rPr>
        <w:t>th</w:t>
      </w:r>
      <w:r w:rsidR="00046275">
        <w:t xml:space="preserve"> </w:t>
      </w:r>
      <w:r w:rsidR="00C7685D">
        <w:t>percentile ranges</w:t>
      </w:r>
      <w:r w:rsidR="00CF5AEE">
        <w:t>,</w:t>
      </w:r>
      <w:r w:rsidR="00C7685D">
        <w:t xml:space="preserve"> which contain</w:t>
      </w:r>
      <w:r w:rsidR="00046275">
        <w:t xml:space="preserve"> 90% of the estimates</w:t>
      </w:r>
      <w:r w:rsidR="00CF5AEE">
        <w:t>,</w:t>
      </w:r>
      <w:r w:rsidR="000E1250">
        <w:t xml:space="preserve"> </w:t>
      </w:r>
      <w:r w:rsidR="00C7685D">
        <w:t>include</w:t>
      </w:r>
      <w:r w:rsidR="009D2239">
        <w:t>d</w:t>
      </w:r>
      <w:r w:rsidR="00C7685D">
        <w:t xml:space="preserve"> the expected ratio of 1.0 </w:t>
      </w:r>
      <w:r w:rsidR="000E1250">
        <w:t>in all cases</w:t>
      </w:r>
      <w:r w:rsidR="000230AD">
        <w:t xml:space="preserve"> and </w:t>
      </w:r>
      <w:r w:rsidR="009D2239">
        <w:t xml:space="preserve">were </w:t>
      </w:r>
      <w:r w:rsidR="000230AD">
        <w:t>bracketed by the ratios 0.</w:t>
      </w:r>
      <w:r w:rsidR="00AC3B9B">
        <w:t>69</w:t>
      </w:r>
      <w:r w:rsidR="00027BA6">
        <w:t xml:space="preserve"> and 1.</w:t>
      </w:r>
      <w:r w:rsidR="00AC3B9B">
        <w:t>62</w:t>
      </w:r>
      <w:r w:rsidR="00027BA6">
        <w:t xml:space="preserve"> for </w:t>
      </w:r>
      <w:r w:rsidR="00AC3B9B">
        <w:t>BSM</w:t>
      </w:r>
      <w:r w:rsidR="00027BA6">
        <w:t xml:space="preserve"> and 0.</w:t>
      </w:r>
      <w:r w:rsidR="00AC3B9B">
        <w:t>20</w:t>
      </w:r>
      <w:r w:rsidR="00027BA6">
        <w:t xml:space="preserve"> and </w:t>
      </w:r>
      <w:r w:rsidR="00AC3B9B">
        <w:t>5.71</w:t>
      </w:r>
      <w:r w:rsidR="000230AD">
        <w:t xml:space="preserve"> for </w:t>
      </w:r>
      <w:r w:rsidR="00AC3B9B">
        <w:t>CMSY</w:t>
      </w:r>
      <w:r w:rsidR="000230AD">
        <w:t>.</w:t>
      </w:r>
      <w:r w:rsidR="00AC3B9B">
        <w:t xml:space="preserve"> The latter strong deviation referred to relative biomass in the simulated stock HL_M</w:t>
      </w:r>
      <w:r w:rsidR="00D23BDE">
        <w:t>. In this case,</w:t>
      </w:r>
      <w:r w:rsidR="00AC3B9B">
        <w:t xml:space="preserve"> the “true” value in the final year was 0.002 </w:t>
      </w:r>
      <w:r w:rsidR="00AC3B9B" w:rsidRPr="00AC3B9B">
        <w:rPr>
          <w:i/>
        </w:rPr>
        <w:t>k</w:t>
      </w:r>
      <w:r w:rsidR="00D23BDE">
        <w:t>,</w:t>
      </w:r>
      <w:r w:rsidR="00AC3B9B">
        <w:t xml:space="preserve"> whereas the CMSY estimate was 0.109</w:t>
      </w:r>
      <w:r w:rsidR="000E1250">
        <w:t xml:space="preserve"> </w:t>
      </w:r>
      <w:r w:rsidR="00AC3B9B" w:rsidRPr="00AC3B9B">
        <w:rPr>
          <w:i/>
        </w:rPr>
        <w:t>k</w:t>
      </w:r>
      <w:r w:rsidR="00AC3B9B">
        <w:t xml:space="preserve">. </w:t>
      </w:r>
      <w:r w:rsidR="00B97448">
        <w:t xml:space="preserve">The deviation is caused by the default prior for low biomass of 0.01 - 0.4 </w:t>
      </w:r>
      <w:r w:rsidR="00B97448" w:rsidRPr="00B97448">
        <w:rPr>
          <w:i/>
        </w:rPr>
        <w:t>k</w:t>
      </w:r>
      <w:r w:rsidR="00B97448">
        <w:t>, which excludes the “true” biomass.</w:t>
      </w:r>
    </w:p>
    <w:p w14:paraId="5372FB54" w14:textId="62331EFF" w:rsidR="00F67273" w:rsidRDefault="004E06AC" w:rsidP="00F67273">
      <w:pPr>
        <w:spacing w:after="120" w:line="480" w:lineRule="auto"/>
      </w:pPr>
      <w:r>
        <w:t>[Tables</w:t>
      </w:r>
      <w:r w:rsidR="00046275">
        <w:t xml:space="preserve"> </w:t>
      </w:r>
      <w:r>
        <w:t>4 and 5 near here]</w:t>
      </w:r>
    </w:p>
    <w:p w14:paraId="1729F97D" w14:textId="06F1F94B" w:rsidR="00A259B5" w:rsidRPr="001640CA" w:rsidRDefault="00480497" w:rsidP="004E4CDC">
      <w:pPr>
        <w:pStyle w:val="berschrift2"/>
        <w:spacing w:line="480" w:lineRule="auto"/>
      </w:pPr>
      <w:bookmarkStart w:id="15" w:name="_Toc410816093"/>
      <w:r>
        <w:t>3.3</w:t>
      </w:r>
      <w:r w:rsidR="00131A69">
        <w:t xml:space="preserve"> </w:t>
      </w:r>
      <w:r w:rsidR="00A259B5" w:rsidRPr="001640CA">
        <w:t>Results for fully-assessed stocks</w:t>
      </w:r>
      <w:bookmarkEnd w:id="15"/>
      <w:r w:rsidR="00B05186">
        <w:t xml:space="preserve"> </w:t>
      </w:r>
      <w:r w:rsidR="00F86CC2">
        <w:t xml:space="preserve"> </w:t>
      </w:r>
    </w:p>
    <w:p w14:paraId="5C80AFD2" w14:textId="0ED6BF83" w:rsidR="00F67273" w:rsidRDefault="00B05186" w:rsidP="00F67273">
      <w:pPr>
        <w:spacing w:after="120" w:line="480" w:lineRule="auto"/>
      </w:pPr>
      <w:r>
        <w:t>The CMSY and BSM methods were applied to 1</w:t>
      </w:r>
      <w:r w:rsidR="00BC27BE">
        <w:t>28</w:t>
      </w:r>
      <w:r>
        <w:t xml:space="preserve"> real stocks for which catch and biomass data </w:t>
      </w:r>
      <w:r w:rsidR="00D93247">
        <w:t>we</w:t>
      </w:r>
      <w:r>
        <w:t>re available from recent stock assessments. Detailed analyses are available</w:t>
      </w:r>
      <w:r w:rsidR="00BC27BE">
        <w:t xml:space="preserve"> for every stock</w:t>
      </w:r>
      <w:r>
        <w:t xml:space="preserve"> in Appendix II </w:t>
      </w:r>
      <w:r w:rsidR="009F3D3C">
        <w:t xml:space="preserve">and </w:t>
      </w:r>
      <w:r w:rsidR="004E06AC">
        <w:t xml:space="preserve">summarized </w:t>
      </w:r>
      <w:r w:rsidR="009F3D3C">
        <w:t xml:space="preserve">in Tables S5 and S6 </w:t>
      </w:r>
      <w:r w:rsidR="00BC27BE">
        <w:t>of the online Supplement</w:t>
      </w:r>
      <w:r>
        <w:t>.</w:t>
      </w:r>
      <w:r w:rsidR="00A259B5">
        <w:t xml:space="preserve"> </w:t>
      </w:r>
      <w:r w:rsidR="00CF5AEE">
        <w:t>For</w:t>
      </w:r>
      <w:r>
        <w:t xml:space="preserve"> most</w:t>
      </w:r>
      <w:r w:rsidRPr="00B05186">
        <w:t xml:space="preserve"> stocks</w:t>
      </w:r>
      <w:r w:rsidR="009F3D3C">
        <w:t xml:space="preserve"> (71-79%, depending on the parameter, see Table 6),</w:t>
      </w:r>
      <w:r w:rsidRPr="00B05186">
        <w:t xml:space="preserve"> the 95% confidence limits of the CMSY estimate</w:t>
      </w:r>
      <w:r>
        <w:t>s</w:t>
      </w:r>
      <w:r w:rsidR="00CF5AEE">
        <w:t xml:space="preserve"> include</w:t>
      </w:r>
      <w:r w:rsidR="009D2239">
        <w:t>d</w:t>
      </w:r>
      <w:r w:rsidRPr="00B05186">
        <w:t xml:space="preserve"> the most probable </w:t>
      </w:r>
      <w:r>
        <w:t xml:space="preserve">BSM </w:t>
      </w:r>
      <w:r w:rsidRPr="00B05186">
        <w:t>estimate, indicating good agreement</w:t>
      </w:r>
      <w:r>
        <w:t xml:space="preserve"> between the methods</w:t>
      </w:r>
      <w:r w:rsidR="008B3B3E">
        <w:t xml:space="preserve"> (Smith 1995)</w:t>
      </w:r>
      <w:r>
        <w:t xml:space="preserve">. </w:t>
      </w:r>
      <w:r w:rsidR="009F3D3C">
        <w:t xml:space="preserve">In </w:t>
      </w:r>
      <w:r w:rsidR="004F63D7">
        <w:t>5-16</w:t>
      </w:r>
      <w:r w:rsidR="009F3D3C">
        <w:t>%</w:t>
      </w:r>
      <w:r>
        <w:t xml:space="preserve"> of the stocks </w:t>
      </w:r>
      <w:r w:rsidRPr="00B05186">
        <w:t xml:space="preserve">the confidence </w:t>
      </w:r>
      <w:r w:rsidR="00E86C2E">
        <w:t xml:space="preserve">limits </w:t>
      </w:r>
      <w:r w:rsidRPr="00B05186">
        <w:t>of both methods</w:t>
      </w:r>
      <w:r w:rsidR="004F63D7">
        <w:t xml:space="preserve"> did not</w:t>
      </w:r>
      <w:r w:rsidRPr="00B05186">
        <w:t xml:space="preserve"> overlap, indicating </w:t>
      </w:r>
      <w:r>
        <w:t xml:space="preserve">that the predictions </w:t>
      </w:r>
      <w:r w:rsidR="009F6827">
        <w:t>were</w:t>
      </w:r>
      <w:r w:rsidR="009F6827" w:rsidRPr="00B05186">
        <w:t xml:space="preserve"> </w:t>
      </w:r>
      <w:r w:rsidRPr="00B05186">
        <w:t>significantly different</w:t>
      </w:r>
      <w:r>
        <w:t xml:space="preserve"> </w:t>
      </w:r>
      <w:r w:rsidR="009F3D3C">
        <w:t>(</w:t>
      </w:r>
      <w:r w:rsidR="004F63D7">
        <w:t>Knezevic 2008</w:t>
      </w:r>
      <w:r w:rsidR="006A6096">
        <w:t>)</w:t>
      </w:r>
      <w:r w:rsidRPr="00B05186">
        <w:t>.</w:t>
      </w:r>
    </w:p>
    <w:p w14:paraId="6F17D5AF" w14:textId="1AA1AFC4" w:rsidR="004E06AC" w:rsidRDefault="004E06AC" w:rsidP="00F67273">
      <w:pPr>
        <w:spacing w:after="120" w:line="480" w:lineRule="auto"/>
      </w:pPr>
      <w:r>
        <w:t>[Table 6 near here]</w:t>
      </w:r>
    </w:p>
    <w:p w14:paraId="1344BF8D" w14:textId="5171E5DD" w:rsidR="00F67273" w:rsidRDefault="00E86C2E" w:rsidP="00902574">
      <w:pPr>
        <w:spacing w:line="480" w:lineRule="auto"/>
      </w:pPr>
      <w:r>
        <w:t xml:space="preserve">A comparison of CMSY and BSM estimates for </w:t>
      </w:r>
      <w:r w:rsidRPr="00E51568">
        <w:rPr>
          <w:i/>
        </w:rPr>
        <w:t>MSY, r, k</w:t>
      </w:r>
      <w:r>
        <w:t xml:space="preserve">, </w:t>
      </w:r>
      <w:r w:rsidR="00CF5AEE">
        <w:t xml:space="preserve">final biomass and </w:t>
      </w:r>
      <w:r>
        <w:t xml:space="preserve">exploitation rate </w:t>
      </w:r>
      <w:r w:rsidR="00CF5AEE">
        <w:t xml:space="preserve">in the final year </w:t>
      </w:r>
      <w:r w:rsidR="009F3D3C">
        <w:t>shows</w:t>
      </w:r>
      <w:r>
        <w:t xml:space="preserve"> that the median ratios </w:t>
      </w:r>
      <w:r w:rsidR="009F6827">
        <w:t xml:space="preserve">were generally </w:t>
      </w:r>
      <w:r w:rsidR="00A259B5">
        <w:t xml:space="preserve">close to </w:t>
      </w:r>
      <w:r w:rsidR="00964060">
        <w:t>1.0</w:t>
      </w:r>
      <w:r w:rsidR="00A259B5">
        <w:t>, with maximum deviati</w:t>
      </w:r>
      <w:r w:rsidR="009D7BEC">
        <w:t>ons of 0.</w:t>
      </w:r>
      <w:r w:rsidR="009F3D3C">
        <w:t>92</w:t>
      </w:r>
      <w:r w:rsidR="009D7BEC">
        <w:t xml:space="preserve"> and 1.</w:t>
      </w:r>
      <w:r w:rsidR="009F3D3C">
        <w:t>08</w:t>
      </w:r>
      <w:r>
        <w:t>.</w:t>
      </w:r>
      <w:r w:rsidR="00A259B5">
        <w:t xml:space="preserve"> The 5</w:t>
      </w:r>
      <w:r w:rsidR="00A259B5" w:rsidRPr="00737EDC">
        <w:rPr>
          <w:vertAlign w:val="superscript"/>
        </w:rPr>
        <w:t>th</w:t>
      </w:r>
      <w:r w:rsidR="00A259B5">
        <w:t xml:space="preserve"> - 95</w:t>
      </w:r>
      <w:r w:rsidR="00A259B5" w:rsidRPr="00737EDC">
        <w:rPr>
          <w:vertAlign w:val="superscript"/>
        </w:rPr>
        <w:t>th</w:t>
      </w:r>
      <w:r w:rsidR="00A259B5">
        <w:t xml:space="preserve"> percentile ranges </w:t>
      </w:r>
      <w:r w:rsidR="00B21FBF">
        <w:t xml:space="preserve">always included unity and </w:t>
      </w:r>
      <w:r w:rsidR="009F6827">
        <w:t xml:space="preserve">were </w:t>
      </w:r>
      <w:r w:rsidR="009D7BEC">
        <w:t>bracketed by the ratios 0.</w:t>
      </w:r>
      <w:r w:rsidR="009F3D3C">
        <w:t>47</w:t>
      </w:r>
      <w:r>
        <w:t xml:space="preserve"> a</w:t>
      </w:r>
      <w:r w:rsidR="005D3988">
        <w:t xml:space="preserve">nd </w:t>
      </w:r>
      <w:r w:rsidR="009F3D3C">
        <w:lastRenderedPageBreak/>
        <w:t>2.16</w:t>
      </w:r>
      <w:r w:rsidR="00A259B5">
        <w:t xml:space="preserve"> for </w:t>
      </w:r>
      <w:r w:rsidR="00A259B5" w:rsidRPr="00737EDC">
        <w:rPr>
          <w:i/>
        </w:rPr>
        <w:t>r</w:t>
      </w:r>
      <w:r w:rsidR="00A259B5">
        <w:t xml:space="preserve">, </w:t>
      </w:r>
      <w:r w:rsidR="00A259B5" w:rsidRPr="00737EDC">
        <w:rPr>
          <w:i/>
        </w:rPr>
        <w:t>k</w:t>
      </w:r>
      <w:r w:rsidR="00A259B5">
        <w:t xml:space="preserve">, and </w:t>
      </w:r>
      <w:r w:rsidR="00A259B5" w:rsidRPr="00737EDC">
        <w:rPr>
          <w:i/>
        </w:rPr>
        <w:t>MSY</w:t>
      </w:r>
      <w:r>
        <w:t xml:space="preserve">, but </w:t>
      </w:r>
      <w:r w:rsidR="009F6827">
        <w:t xml:space="preserve">were </w:t>
      </w:r>
      <w:r w:rsidR="005D3988">
        <w:t>wider (0.</w:t>
      </w:r>
      <w:r w:rsidR="009F3D3C">
        <w:t>34</w:t>
      </w:r>
      <w:r>
        <w:t xml:space="preserve"> – </w:t>
      </w:r>
      <w:r w:rsidR="009F3D3C">
        <w:t>2.91</w:t>
      </w:r>
      <w:r w:rsidR="00A259B5">
        <w:t>) for the last</w:t>
      </w:r>
      <w:r w:rsidR="00964060">
        <w:t xml:space="preserve"> </w:t>
      </w:r>
      <w:r w:rsidR="00A259B5">
        <w:t>year</w:t>
      </w:r>
      <w:r w:rsidR="00966581">
        <w:t>’s</w:t>
      </w:r>
      <w:r w:rsidR="00A259B5">
        <w:t xml:space="preserve"> </w:t>
      </w:r>
      <w:r w:rsidR="00B21FBF">
        <w:t xml:space="preserve">CMSY </w:t>
      </w:r>
      <w:r w:rsidR="00A259B5">
        <w:t>estimates of</w:t>
      </w:r>
      <w:r>
        <w:t xml:space="preserve"> biomass and exploitation rate compared to observed data.</w:t>
      </w:r>
    </w:p>
    <w:p w14:paraId="57D91476" w14:textId="77777777" w:rsidR="004E06AC" w:rsidRPr="004E06AC" w:rsidRDefault="004E06AC" w:rsidP="004E06AC">
      <w:pPr>
        <w:spacing w:line="480" w:lineRule="auto"/>
        <w:rPr>
          <w:bCs/>
        </w:rPr>
      </w:pPr>
      <w:r w:rsidRPr="004E06AC">
        <w:rPr>
          <w:bCs/>
        </w:rPr>
        <w:t>[Table 7 near here]</w:t>
      </w:r>
    </w:p>
    <w:p w14:paraId="737BE133" w14:textId="3BC91562" w:rsidR="00AA0FBA" w:rsidRPr="00AA0FBA" w:rsidRDefault="00480497" w:rsidP="004E4CDC">
      <w:pPr>
        <w:pStyle w:val="berschrift2"/>
        <w:spacing w:line="480" w:lineRule="auto"/>
      </w:pPr>
      <w:bookmarkStart w:id="16" w:name="_Toc410816094"/>
      <w:r>
        <w:t>3.4</w:t>
      </w:r>
      <w:r w:rsidR="00AA0FBA" w:rsidRPr="00AA0FBA">
        <w:t xml:space="preserve"> Results for simulated stocks with catch and CPUE</w:t>
      </w:r>
      <w:bookmarkEnd w:id="16"/>
    </w:p>
    <w:p w14:paraId="014D211A" w14:textId="647F022B" w:rsidR="00F67273" w:rsidRDefault="00E14758" w:rsidP="00F67273">
      <w:pPr>
        <w:spacing w:after="120" w:line="480" w:lineRule="auto"/>
      </w:pPr>
      <w:r>
        <w:t xml:space="preserve">The CMSY and BSM methods were applied to simulated catch and </w:t>
      </w:r>
      <w:r w:rsidR="000129E6">
        <w:t>CPUE</w:t>
      </w:r>
      <w:r>
        <w:t xml:space="preserve"> data where the true parameter values </w:t>
      </w:r>
      <w:r w:rsidR="00D93247">
        <w:t>we</w:t>
      </w:r>
      <w:r>
        <w:t xml:space="preserve">re known. </w:t>
      </w:r>
      <w:r w:rsidR="009A0BFA">
        <w:t>Tabulated results and d</w:t>
      </w:r>
      <w:r>
        <w:t xml:space="preserve">etailed analyses for every stock </w:t>
      </w:r>
      <w:r w:rsidR="00902574">
        <w:t xml:space="preserve">(Appendix III) </w:t>
      </w:r>
      <w:r>
        <w:t xml:space="preserve">are available </w:t>
      </w:r>
      <w:r w:rsidR="00902574">
        <w:t>in the online Supplement</w:t>
      </w:r>
      <w:r w:rsidR="005065FA">
        <w:t xml:space="preserve"> (Tables S7, S8 and Appendix III)</w:t>
      </w:r>
      <w:r>
        <w:t>.</w:t>
      </w:r>
      <w:r w:rsidR="000129E6">
        <w:t xml:space="preserve"> </w:t>
      </w:r>
      <w:r w:rsidR="00CF5AEE">
        <w:t>The use of CPUE rather than</w:t>
      </w:r>
      <w:r w:rsidR="008B2285">
        <w:t xml:space="preserve"> biomass</w:t>
      </w:r>
      <w:r w:rsidR="00CF5AEE">
        <w:t xml:space="preserve"> did not affect the CMSY results, </w:t>
      </w:r>
      <w:r w:rsidR="008B2285">
        <w:t>because</w:t>
      </w:r>
      <w:r w:rsidR="009F6827">
        <w:t xml:space="preserve"> neither</w:t>
      </w:r>
      <w:r w:rsidR="00CF5AEE">
        <w:t xml:space="preserve"> </w:t>
      </w:r>
      <w:r w:rsidR="008B2285">
        <w:t xml:space="preserve">biomass </w:t>
      </w:r>
      <w:r w:rsidR="009F6827">
        <w:t>n</w:t>
      </w:r>
      <w:r w:rsidR="008B2285">
        <w:t xml:space="preserve">or CPUE </w:t>
      </w:r>
      <w:r w:rsidR="00B655AF">
        <w:t>are</w:t>
      </w:r>
      <w:r w:rsidR="008B2285">
        <w:t xml:space="preserve"> used</w:t>
      </w:r>
      <w:r w:rsidR="009F6827">
        <w:t xml:space="preserve"> </w:t>
      </w:r>
      <w:r w:rsidR="008B2285">
        <w:t>by CMSY</w:t>
      </w:r>
      <w:r w:rsidR="00CF5AEE">
        <w:t xml:space="preserve">. </w:t>
      </w:r>
      <w:r w:rsidR="00FD1A38">
        <w:t>T</w:t>
      </w:r>
      <w:r w:rsidR="00CF5AEE">
        <w:t xml:space="preserve">he Bayesian implementation of the Schaefer model for catch and CPUE data </w:t>
      </w:r>
      <w:r w:rsidR="00BC76D4">
        <w:t>require</w:t>
      </w:r>
      <w:r w:rsidR="009F6827">
        <w:t>d</w:t>
      </w:r>
      <w:r w:rsidR="00CF5AEE">
        <w:t xml:space="preserve"> the additional estimation of</w:t>
      </w:r>
      <w:r w:rsidR="00BC76D4">
        <w:t xml:space="preserve"> </w:t>
      </w:r>
      <w:r w:rsidR="005065FA">
        <w:t>catchability</w:t>
      </w:r>
      <w:r w:rsidR="00CF5AEE">
        <w:t xml:space="preserve"> </w:t>
      </w:r>
      <w:r w:rsidR="00CF5AEE" w:rsidRPr="000F1DDB">
        <w:rPr>
          <w:i/>
        </w:rPr>
        <w:t>q</w:t>
      </w:r>
      <w:r w:rsidR="00CF5AEE">
        <w:t xml:space="preserve"> in order to transform CPUE into biomass. </w:t>
      </w:r>
      <w:r w:rsidR="00FC563C">
        <w:t xml:space="preserve">The </w:t>
      </w:r>
      <w:r w:rsidR="009A0BFA">
        <w:t>95% confidence limits</w:t>
      </w:r>
      <w:r w:rsidR="00FC563C">
        <w:t xml:space="preserve"> of </w:t>
      </w:r>
      <w:r w:rsidR="00FC563C" w:rsidRPr="00FC563C">
        <w:rPr>
          <w:i/>
        </w:rPr>
        <w:t>q</w:t>
      </w:r>
      <w:r w:rsidR="00BC76D4">
        <w:t xml:space="preserve"> </w:t>
      </w:r>
      <w:r w:rsidR="00233E86">
        <w:t xml:space="preserve">estimated by BSM </w:t>
      </w:r>
      <w:r w:rsidR="00BC76D4">
        <w:t>include</w:t>
      </w:r>
      <w:r w:rsidR="009F6827">
        <w:t>d</w:t>
      </w:r>
      <w:r w:rsidR="00FC563C">
        <w:t xml:space="preserve"> the true value </w:t>
      </w:r>
      <w:r w:rsidR="00D86A1E">
        <w:t xml:space="preserve">in </w:t>
      </w:r>
      <w:r w:rsidR="005065FA">
        <w:t>33</w:t>
      </w:r>
      <w:r w:rsidR="00FC563C">
        <w:t>% of the cases</w:t>
      </w:r>
      <w:r w:rsidR="005065FA">
        <w:t xml:space="preserve"> (Table </w:t>
      </w:r>
      <w:r w:rsidR="00363B37">
        <w:t>8)</w:t>
      </w:r>
      <w:r w:rsidR="00233E86">
        <w:t>, however with mostly narrow and only three substantial misses (see Table S8 in the online Supplement)</w:t>
      </w:r>
      <w:r w:rsidR="00FC563C">
        <w:t>. For the other parameters</w:t>
      </w:r>
      <w:r w:rsidR="00B05A06">
        <w:t xml:space="preserve"> (</w:t>
      </w:r>
      <w:r w:rsidR="00B05A06" w:rsidRPr="00B05A06">
        <w:rPr>
          <w:i/>
        </w:rPr>
        <w:t>r</w:t>
      </w:r>
      <w:r w:rsidR="00B05A06">
        <w:t xml:space="preserve">, </w:t>
      </w:r>
      <w:r w:rsidR="00B05A06" w:rsidRPr="00B05A06">
        <w:rPr>
          <w:i/>
        </w:rPr>
        <w:t>k</w:t>
      </w:r>
      <w:r w:rsidR="00B05A06">
        <w:t xml:space="preserve">, </w:t>
      </w:r>
      <w:r w:rsidR="00B05A06" w:rsidRPr="00B05A06">
        <w:rPr>
          <w:i/>
        </w:rPr>
        <w:t>MSY</w:t>
      </w:r>
      <w:r w:rsidR="00B05A06">
        <w:t>, last biomass)</w:t>
      </w:r>
      <w:r w:rsidR="000129E6">
        <w:t>,</w:t>
      </w:r>
      <w:r>
        <w:t xml:space="preserve"> </w:t>
      </w:r>
      <w:r w:rsidRPr="00FA0090">
        <w:t>the 95</w:t>
      </w:r>
      <w:r>
        <w:t>%</w:t>
      </w:r>
      <w:r w:rsidRPr="00FA0090">
        <w:t xml:space="preserve"> </w:t>
      </w:r>
      <w:r>
        <w:t>confidence limits</w:t>
      </w:r>
      <w:r w:rsidRPr="00FA0090">
        <w:t xml:space="preserve"> </w:t>
      </w:r>
      <w:r>
        <w:t xml:space="preserve">estimated by </w:t>
      </w:r>
      <w:r w:rsidRPr="00FA0090">
        <w:t xml:space="preserve">CMSY </w:t>
      </w:r>
      <w:r w:rsidR="00BC76D4">
        <w:t>include</w:t>
      </w:r>
      <w:r w:rsidR="009F6827">
        <w:t>d</w:t>
      </w:r>
      <w:r>
        <w:t xml:space="preserve"> the true value</w:t>
      </w:r>
      <w:r w:rsidR="001B5CBA">
        <w:t>s</w:t>
      </w:r>
      <w:r>
        <w:t xml:space="preserve"> </w:t>
      </w:r>
      <w:r w:rsidR="00233E86">
        <w:t>in</w:t>
      </w:r>
      <w:r w:rsidR="00BC267B">
        <w:t xml:space="preserve"> </w:t>
      </w:r>
      <w:r w:rsidR="00233E86">
        <w:t>67 - 96</w:t>
      </w:r>
      <w:r w:rsidR="00BC267B">
        <w:t xml:space="preserve">% </w:t>
      </w:r>
      <w:r w:rsidR="00233E86">
        <w:t xml:space="preserve">and for BSM in </w:t>
      </w:r>
      <w:r w:rsidR="005A4BC4">
        <w:t>50 – 88%</w:t>
      </w:r>
      <w:r w:rsidR="00233E86">
        <w:t xml:space="preserve"> </w:t>
      </w:r>
      <w:r w:rsidR="005A4BC4">
        <w:t xml:space="preserve">of the cases </w:t>
      </w:r>
      <w:r>
        <w:t>(</w:t>
      </w:r>
      <w:r w:rsidR="00363B37">
        <w:t>Table 8</w:t>
      </w:r>
      <w:r>
        <w:t xml:space="preserve">). </w:t>
      </w:r>
      <w:r w:rsidR="005A4BC4">
        <w:t>The lower success rate of BSM is due to its confidence limits being generally narrower than for CMSY.</w:t>
      </w:r>
    </w:p>
    <w:p w14:paraId="0721203E" w14:textId="5788D2CA" w:rsidR="0019347B" w:rsidRDefault="004E06AC" w:rsidP="004E4CDC">
      <w:pPr>
        <w:spacing w:after="120" w:line="480" w:lineRule="auto"/>
      </w:pPr>
      <w:r>
        <w:t>[Table 8 near here]</w:t>
      </w:r>
    </w:p>
    <w:p w14:paraId="1CDEAA24" w14:textId="6BADE281" w:rsidR="00F67273" w:rsidRDefault="009926A3" w:rsidP="00F67273">
      <w:pPr>
        <w:spacing w:after="120" w:line="480" w:lineRule="auto"/>
      </w:pPr>
      <w:r>
        <w:t xml:space="preserve">A comparison of </w:t>
      </w:r>
      <w:r w:rsidR="00900019">
        <w:t xml:space="preserve">CMSY estimates versus true values for </w:t>
      </w:r>
      <w:r w:rsidR="00900019" w:rsidRPr="00E51568">
        <w:rPr>
          <w:i/>
        </w:rPr>
        <w:t>MSY, r, k</w:t>
      </w:r>
      <w:r w:rsidR="00900019">
        <w:t xml:space="preserve">, </w:t>
      </w:r>
      <w:r w:rsidR="00C5113D">
        <w:t xml:space="preserve">and </w:t>
      </w:r>
      <w:r w:rsidR="00900019">
        <w:t>last biomass</w:t>
      </w:r>
      <w:r w:rsidR="00BC76D4">
        <w:t xml:space="preserve"> show</w:t>
      </w:r>
      <w:r w:rsidR="009F6827">
        <w:t>ed</w:t>
      </w:r>
      <w:r w:rsidR="00900019">
        <w:t xml:space="preserve"> median ratios </w:t>
      </w:r>
      <w:r w:rsidR="00842470">
        <w:t>close to 1.0 (</w:t>
      </w:r>
      <w:r w:rsidR="005A4BC4">
        <w:t>0.99</w:t>
      </w:r>
      <w:r w:rsidR="00842470">
        <w:t xml:space="preserve"> – 1.</w:t>
      </w:r>
      <w:r w:rsidR="005A4BC4">
        <w:t>15</w:t>
      </w:r>
      <w:r w:rsidR="00842470">
        <w:t>) with</w:t>
      </w:r>
      <w:r w:rsidR="00900019">
        <w:t xml:space="preserve"> ranges that contain</w:t>
      </w:r>
      <w:r w:rsidR="009F6827">
        <w:t>ed</w:t>
      </w:r>
      <w:r w:rsidR="00900019">
        <w:t xml:space="preserve"> 90% of the estimates </w:t>
      </w:r>
      <w:r w:rsidR="00C5113D">
        <w:t>from 0.</w:t>
      </w:r>
      <w:r w:rsidR="005A4BC4">
        <w:t>51</w:t>
      </w:r>
      <w:r w:rsidR="00842470">
        <w:t xml:space="preserve"> to </w:t>
      </w:r>
      <w:r w:rsidR="005A4BC4">
        <w:t>5.05</w:t>
      </w:r>
      <w:r w:rsidR="004210FC">
        <w:t>.</w:t>
      </w:r>
      <w:r w:rsidR="005A4BC4">
        <w:t xml:space="preserve"> </w:t>
      </w:r>
      <w:r w:rsidR="004210FC">
        <w:t>T</w:t>
      </w:r>
      <w:r w:rsidR="005A4BC4">
        <w:t>he last number refers to relative biomass in the simulated stock HL_M, where the “true” value in the final year was 0.0</w:t>
      </w:r>
      <w:r w:rsidR="004210FC">
        <w:t>0</w:t>
      </w:r>
      <w:r w:rsidR="005A4BC4">
        <w:t xml:space="preserve">2 </w:t>
      </w:r>
      <w:r w:rsidR="005A4BC4" w:rsidRPr="00AC3B9B">
        <w:rPr>
          <w:i/>
        </w:rPr>
        <w:t>k</w:t>
      </w:r>
      <w:r w:rsidR="005A4BC4">
        <w:t xml:space="preserve"> whereas the CMSY estimate was 0.</w:t>
      </w:r>
      <w:r w:rsidR="004210FC">
        <w:t>096</w:t>
      </w:r>
      <w:r w:rsidR="005A4BC4">
        <w:t xml:space="preserve"> </w:t>
      </w:r>
      <w:r w:rsidR="005A4BC4" w:rsidRPr="00AC3B9B">
        <w:rPr>
          <w:i/>
        </w:rPr>
        <w:t>k</w:t>
      </w:r>
      <w:r w:rsidR="005A4BC4">
        <w:t xml:space="preserve">. The deviation is caused by the default prior for low biomass of 0.01 - 0.4 </w:t>
      </w:r>
      <w:r w:rsidR="005A4BC4" w:rsidRPr="00B97448">
        <w:rPr>
          <w:i/>
        </w:rPr>
        <w:t>k</w:t>
      </w:r>
      <w:r w:rsidR="005A4BC4">
        <w:t>, which excludes the “true” biomass.</w:t>
      </w:r>
      <w:r w:rsidR="00842470">
        <w:t xml:space="preserve"> The BSM method </w:t>
      </w:r>
      <w:r w:rsidR="00C5113D">
        <w:t xml:space="preserve">for data-limited stocks </w:t>
      </w:r>
      <w:r w:rsidR="0065330B">
        <w:t>had</w:t>
      </w:r>
      <w:r w:rsidR="00735842">
        <w:t xml:space="preserve"> me</w:t>
      </w:r>
      <w:r w:rsidR="00C5113D">
        <w:t>dian ratios of 0.</w:t>
      </w:r>
      <w:r w:rsidR="004210FC">
        <w:t>93</w:t>
      </w:r>
      <w:r w:rsidR="00C5113D">
        <w:t xml:space="preserve"> to 1.</w:t>
      </w:r>
      <w:r w:rsidR="004210FC">
        <w:t>07</w:t>
      </w:r>
      <w:r w:rsidR="0065330B">
        <w:t xml:space="preserve"> and 90% ranges from 0.</w:t>
      </w:r>
      <w:r w:rsidR="004210FC">
        <w:t>39</w:t>
      </w:r>
      <w:r w:rsidR="00842470">
        <w:t xml:space="preserve"> to </w:t>
      </w:r>
      <w:r w:rsidR="004210FC">
        <w:t>6</w:t>
      </w:r>
      <w:r w:rsidR="0065330B">
        <w:t>.</w:t>
      </w:r>
      <w:r w:rsidR="004210FC">
        <w:t xml:space="preserve">22, where the latter value </w:t>
      </w:r>
      <w:r w:rsidR="004E06AC">
        <w:t>stems from</w:t>
      </w:r>
      <w:r w:rsidR="004210FC">
        <w:t xml:space="preserve"> the three estimates of </w:t>
      </w:r>
      <w:r w:rsidR="004210FC" w:rsidRPr="004210FC">
        <w:rPr>
          <w:i/>
        </w:rPr>
        <w:t>q</w:t>
      </w:r>
      <w:r w:rsidR="004210FC">
        <w:t xml:space="preserve"> which differed substantially from the “true” value</w:t>
      </w:r>
      <w:r w:rsidR="00363B37">
        <w:t xml:space="preserve"> (Table 9)</w:t>
      </w:r>
      <w:r w:rsidR="00842470">
        <w:t>.</w:t>
      </w:r>
    </w:p>
    <w:p w14:paraId="03D39D1B" w14:textId="5572B04D" w:rsidR="004E06AC" w:rsidRDefault="004E06AC" w:rsidP="00F67273">
      <w:pPr>
        <w:spacing w:after="120" w:line="480" w:lineRule="auto"/>
      </w:pPr>
      <w:r>
        <w:lastRenderedPageBreak/>
        <w:t>[Table 9 near here]</w:t>
      </w:r>
    </w:p>
    <w:p w14:paraId="017A1112" w14:textId="1A75F61F" w:rsidR="00AA0FBA" w:rsidRPr="00E6556E" w:rsidRDefault="00480497" w:rsidP="004E4CDC">
      <w:pPr>
        <w:pStyle w:val="berschrift2"/>
        <w:spacing w:line="480" w:lineRule="auto"/>
      </w:pPr>
      <w:bookmarkStart w:id="17" w:name="_Toc410816095"/>
      <w:r>
        <w:t>3.5</w:t>
      </w:r>
      <w:r w:rsidR="00E6556E" w:rsidRPr="00E6556E">
        <w:t xml:space="preserve"> Results for data-limited stocks</w:t>
      </w:r>
      <w:bookmarkEnd w:id="17"/>
    </w:p>
    <w:p w14:paraId="579682BA" w14:textId="1649E1E2" w:rsidR="00132BAF" w:rsidRDefault="00E6556E" w:rsidP="00F67273">
      <w:pPr>
        <w:spacing w:after="120" w:line="480" w:lineRule="auto"/>
      </w:pPr>
      <w:r>
        <w:t xml:space="preserve">Altogether </w:t>
      </w:r>
      <w:r w:rsidR="00AD254C">
        <w:t>31</w:t>
      </w:r>
      <w:r>
        <w:t xml:space="preserve"> data-limited stocks were analyzed with the CMSY method. </w:t>
      </w:r>
      <w:r w:rsidR="00AD254C">
        <w:t xml:space="preserve">Twenty-eight of these stocks had sufficiently long (&gt;= </w:t>
      </w:r>
      <w:r w:rsidR="00F20527">
        <w:t>9</w:t>
      </w:r>
      <w:r w:rsidR="00AD254C">
        <w:t xml:space="preserve"> years) time series of abundance available so that BSM could also b</w:t>
      </w:r>
      <w:r w:rsidR="00301A13">
        <w:t>e</w:t>
      </w:r>
      <w:r w:rsidR="00AD254C">
        <w:t xml:space="preserve"> applied and CMSY and BSM estimates could be compared</w:t>
      </w:r>
      <w:r w:rsidR="00735842">
        <w:t xml:space="preserve">. </w:t>
      </w:r>
      <w:r w:rsidR="00AD254C">
        <w:t xml:space="preserve">Detailed analyses for every stock </w:t>
      </w:r>
      <w:r w:rsidR="00802326">
        <w:t xml:space="preserve">as well as summary tables </w:t>
      </w:r>
      <w:r w:rsidR="003E486F">
        <w:t xml:space="preserve">are available in </w:t>
      </w:r>
      <w:r w:rsidR="00633432">
        <w:t>the online Supplement</w:t>
      </w:r>
      <w:r w:rsidR="00802326">
        <w:t xml:space="preserve"> (Appendix IV and Tables S9, S10)</w:t>
      </w:r>
      <w:r w:rsidR="003E486F">
        <w:t xml:space="preserve">. In </w:t>
      </w:r>
      <w:r w:rsidR="00EA1EBA">
        <w:t>most</w:t>
      </w:r>
      <w:r w:rsidR="003E486F" w:rsidRPr="00B05186">
        <w:t xml:space="preserve"> stocks the 95% confidence limits of the CMSY estimate</w:t>
      </w:r>
      <w:r w:rsidR="003E486F">
        <w:t xml:space="preserve">s for </w:t>
      </w:r>
      <w:r w:rsidR="003E486F" w:rsidRPr="003E486F">
        <w:rPr>
          <w:i/>
        </w:rPr>
        <w:t>r</w:t>
      </w:r>
      <w:r w:rsidR="003E486F">
        <w:t xml:space="preserve">, </w:t>
      </w:r>
      <w:r w:rsidR="003E486F" w:rsidRPr="003E486F">
        <w:rPr>
          <w:i/>
        </w:rPr>
        <w:t>k</w:t>
      </w:r>
      <w:r w:rsidR="003E486F">
        <w:t xml:space="preserve"> and </w:t>
      </w:r>
      <w:r w:rsidR="003E486F" w:rsidRPr="003E486F">
        <w:rPr>
          <w:i/>
        </w:rPr>
        <w:t>MSY</w:t>
      </w:r>
      <w:r w:rsidR="00735842">
        <w:t xml:space="preserve"> include</w:t>
      </w:r>
      <w:r w:rsidR="00C10083">
        <w:t>d</w:t>
      </w:r>
      <w:r w:rsidR="003E486F" w:rsidRPr="00B05186">
        <w:t xml:space="preserve"> the most probable </w:t>
      </w:r>
      <w:r w:rsidR="003E486F">
        <w:t xml:space="preserve">BSM </w:t>
      </w:r>
      <w:r w:rsidR="003E486F" w:rsidRPr="00B05186">
        <w:t>estimate</w:t>
      </w:r>
      <w:r w:rsidR="000B1521">
        <w:t>.</w:t>
      </w:r>
      <w:r w:rsidR="003E486F">
        <w:t xml:space="preserve"> </w:t>
      </w:r>
      <w:r w:rsidR="0079512B">
        <w:t>Depending on the parameter, the 95% confidence limits of CMSY included the BSM estimate in 68 – 96%</w:t>
      </w:r>
      <w:r w:rsidR="003E486F">
        <w:t xml:space="preserve"> of the stocks</w:t>
      </w:r>
      <w:r w:rsidR="0079512B">
        <w:t xml:space="preserve"> (Table 10), suggesting good agreement between the methods</w:t>
      </w:r>
      <w:r w:rsidR="000B1521">
        <w:t xml:space="preserve"> (Smith 1995)</w:t>
      </w:r>
      <w:r w:rsidR="0079512B">
        <w:t>.</w:t>
      </w:r>
      <w:r w:rsidR="003E486F">
        <w:t xml:space="preserve"> </w:t>
      </w:r>
      <w:r w:rsidR="0079512B">
        <w:t>T</w:t>
      </w:r>
      <w:r w:rsidR="003E486F" w:rsidRPr="00B05186">
        <w:t xml:space="preserve">he confidence </w:t>
      </w:r>
      <w:r w:rsidR="003E486F">
        <w:t xml:space="preserve">limits </w:t>
      </w:r>
      <w:r w:rsidR="00735842">
        <w:t xml:space="preserve">of both methods </w:t>
      </w:r>
      <w:r w:rsidR="00A63074">
        <w:t xml:space="preserve">did not </w:t>
      </w:r>
      <w:r w:rsidR="00735842">
        <w:t>overlap</w:t>
      </w:r>
      <w:r w:rsidR="0079512B">
        <w:t xml:space="preserve"> in </w:t>
      </w:r>
      <w:r w:rsidR="00233AEF">
        <w:t>4-14</w:t>
      </w:r>
      <w:r w:rsidR="0079512B">
        <w:t>% of the stocks, indicating that the respective estimates were significantly different (</w:t>
      </w:r>
      <w:r w:rsidR="00233AEF">
        <w:t>Knezevic 2008</w:t>
      </w:r>
      <w:r w:rsidR="0079512B">
        <w:t>)</w:t>
      </w:r>
      <w:r w:rsidR="003E486F" w:rsidRPr="00B05186">
        <w:t>.</w:t>
      </w:r>
      <w:r w:rsidR="00EA1EBA">
        <w:t xml:space="preserve"> </w:t>
      </w:r>
      <w:r w:rsidR="00C2099E">
        <w:t xml:space="preserve">A comparison of CMSY and BSM estimates for </w:t>
      </w:r>
      <w:r w:rsidR="00C2099E" w:rsidRPr="00E51568">
        <w:rPr>
          <w:i/>
        </w:rPr>
        <w:t>MSY, r, k</w:t>
      </w:r>
      <w:r w:rsidR="00C2099E">
        <w:t xml:space="preserve">, </w:t>
      </w:r>
      <w:r w:rsidR="00BF1DE9">
        <w:t>final</w:t>
      </w:r>
      <w:r w:rsidR="00C2099E">
        <w:t xml:space="preserve"> biomass and exploitation rate </w:t>
      </w:r>
      <w:r w:rsidR="00BF1DE9">
        <w:t xml:space="preserve">in the final year </w:t>
      </w:r>
      <w:r w:rsidR="00C2099E">
        <w:t>show</w:t>
      </w:r>
      <w:r w:rsidR="00C10083">
        <w:t>ed</w:t>
      </w:r>
      <w:r w:rsidR="00C2099E">
        <w:t xml:space="preserve"> that the median ratios and the ranges contain</w:t>
      </w:r>
      <w:r w:rsidR="0079512B">
        <w:t>ing</w:t>
      </w:r>
      <w:r w:rsidR="00C2099E">
        <w:t xml:space="preserve"> 90% of the estimates </w:t>
      </w:r>
      <w:r w:rsidR="00C10083">
        <w:t xml:space="preserve">were </w:t>
      </w:r>
      <w:r w:rsidR="00C2099E">
        <w:t xml:space="preserve">similar for both methods </w:t>
      </w:r>
      <w:r w:rsidR="00633432">
        <w:t>(Table 11)</w:t>
      </w:r>
      <w:r w:rsidR="00BF1DE9">
        <w:t xml:space="preserve">. </w:t>
      </w:r>
      <w:r w:rsidR="00DE49C7">
        <w:t>T</w:t>
      </w:r>
      <w:r w:rsidR="00C2099E">
        <w:t xml:space="preserve">he median ratios </w:t>
      </w:r>
      <w:r w:rsidR="00C10083">
        <w:t xml:space="preserve">were </w:t>
      </w:r>
      <w:r w:rsidR="00C2099E">
        <w:t>close to 1</w:t>
      </w:r>
      <w:r w:rsidR="00F7636C">
        <w:t>.0, with maximum deviations of 1</w:t>
      </w:r>
      <w:r w:rsidR="00C2099E">
        <w:t>.</w:t>
      </w:r>
      <w:r w:rsidR="00F7636C">
        <w:t>05</w:t>
      </w:r>
      <w:r w:rsidR="009926A3">
        <w:t xml:space="preserve"> and 1.</w:t>
      </w:r>
      <w:r w:rsidR="00F7636C">
        <w:t>37</w:t>
      </w:r>
      <w:r w:rsidR="00C2099E">
        <w:t>. The 5</w:t>
      </w:r>
      <w:r w:rsidR="00C2099E" w:rsidRPr="00737EDC">
        <w:rPr>
          <w:vertAlign w:val="superscript"/>
        </w:rPr>
        <w:t>th</w:t>
      </w:r>
      <w:r w:rsidR="00C2099E">
        <w:t xml:space="preserve"> - 95</w:t>
      </w:r>
      <w:r w:rsidR="00C2099E" w:rsidRPr="00737EDC">
        <w:rPr>
          <w:vertAlign w:val="superscript"/>
        </w:rPr>
        <w:t>th</w:t>
      </w:r>
      <w:r w:rsidR="00BF1DE9">
        <w:t xml:space="preserve"> percentile ranges</w:t>
      </w:r>
      <w:r w:rsidR="00C2099E">
        <w:t xml:space="preserve"> </w:t>
      </w:r>
      <w:r w:rsidR="00C10083">
        <w:t xml:space="preserve">were </w:t>
      </w:r>
      <w:r w:rsidR="00BF1DE9">
        <w:t>brac</w:t>
      </w:r>
      <w:r w:rsidR="00DE49C7">
        <w:t>keted by the ratios 0.</w:t>
      </w:r>
      <w:r w:rsidR="00F7636C">
        <w:t>63</w:t>
      </w:r>
      <w:r w:rsidR="009926A3">
        <w:t xml:space="preserve"> and 1.</w:t>
      </w:r>
      <w:r w:rsidR="00F7636C">
        <w:t>68</w:t>
      </w:r>
      <w:r w:rsidR="00C2099E">
        <w:t xml:space="preserve"> for </w:t>
      </w:r>
      <w:r w:rsidR="00C2099E" w:rsidRPr="00737EDC">
        <w:rPr>
          <w:i/>
        </w:rPr>
        <w:t>r</w:t>
      </w:r>
      <w:r w:rsidR="00C2099E">
        <w:t xml:space="preserve">, </w:t>
      </w:r>
      <w:r w:rsidR="00C2099E" w:rsidRPr="00737EDC">
        <w:rPr>
          <w:i/>
        </w:rPr>
        <w:t>k</w:t>
      </w:r>
      <w:r w:rsidR="00C2099E">
        <w:t xml:space="preserve">, and </w:t>
      </w:r>
      <w:r w:rsidR="00C2099E" w:rsidRPr="00737EDC">
        <w:rPr>
          <w:i/>
        </w:rPr>
        <w:t>MSY</w:t>
      </w:r>
      <w:r w:rsidR="00C2099E">
        <w:t>, b</w:t>
      </w:r>
      <w:r w:rsidR="00BF1DE9">
        <w:t xml:space="preserve">ut </w:t>
      </w:r>
      <w:r w:rsidR="00C10083">
        <w:t xml:space="preserve">were </w:t>
      </w:r>
      <w:r w:rsidR="00BF1DE9">
        <w:t>wider (0.</w:t>
      </w:r>
      <w:r w:rsidR="00F7636C">
        <w:t>51</w:t>
      </w:r>
      <w:r w:rsidR="00DE49C7">
        <w:t xml:space="preserve"> – </w:t>
      </w:r>
      <w:r w:rsidR="00F7636C">
        <w:t>1</w:t>
      </w:r>
      <w:r w:rsidR="009926A3">
        <w:t>2.</w:t>
      </w:r>
      <w:r w:rsidR="00F7636C">
        <w:t>8</w:t>
      </w:r>
      <w:r w:rsidR="00C2099E">
        <w:t xml:space="preserve">) for the </w:t>
      </w:r>
      <w:r w:rsidR="00BF1DE9">
        <w:t>final</w:t>
      </w:r>
      <w:r w:rsidR="00C2099E">
        <w:t xml:space="preserve"> year estimates of biomass.</w:t>
      </w:r>
      <w:r w:rsidR="00F7636C">
        <w:t xml:space="preserve"> The strong deviation was caused by two stocks (cod-rock, smn-sp) where biomass was severely depleted to less than 1% of unexploited stock size, while the default biomass prior used by CMSY still assumed 1-40% </w:t>
      </w:r>
      <w:r w:rsidR="00B747F9">
        <w:t xml:space="preserve">of unexploited </w:t>
      </w:r>
      <w:r w:rsidR="00F7636C">
        <w:t>biomass.</w:t>
      </w:r>
    </w:p>
    <w:p w14:paraId="61663167" w14:textId="7807A1DD" w:rsidR="00F67273" w:rsidRDefault="00132BAF" w:rsidP="00F67273">
      <w:pPr>
        <w:spacing w:after="120" w:line="480" w:lineRule="auto"/>
      </w:pPr>
      <w:r>
        <w:t>[Tables 10 and 11 near here]</w:t>
      </w:r>
      <w:r w:rsidR="00F7636C">
        <w:t xml:space="preserve">  </w:t>
      </w:r>
    </w:p>
    <w:p w14:paraId="2C85B9DF" w14:textId="498DE6C1" w:rsidR="00C839EB" w:rsidRPr="001C6FA6" w:rsidRDefault="00C839EB" w:rsidP="004E4CDC">
      <w:pPr>
        <w:pStyle w:val="berschrift1"/>
        <w:spacing w:line="480" w:lineRule="auto"/>
      </w:pPr>
      <w:bookmarkStart w:id="18" w:name="_Toc410816096"/>
      <w:r w:rsidRPr="001C6FA6">
        <w:lastRenderedPageBreak/>
        <w:t>4 Discussion</w:t>
      </w:r>
      <w:bookmarkEnd w:id="18"/>
    </w:p>
    <w:p w14:paraId="21386D0A" w14:textId="63DA67F5" w:rsidR="001C6FA6" w:rsidRPr="001C6FA6" w:rsidRDefault="001C6FA6" w:rsidP="004E4CDC">
      <w:pPr>
        <w:pStyle w:val="berschrift2"/>
        <w:spacing w:line="480" w:lineRule="auto"/>
      </w:pPr>
      <w:bookmarkStart w:id="19" w:name="_Toc410816097"/>
      <w:r>
        <w:t xml:space="preserve">4.1 </w:t>
      </w:r>
      <w:r w:rsidRPr="001C6FA6">
        <w:t xml:space="preserve">Diversity of </w:t>
      </w:r>
      <w:r w:rsidR="00EE6440">
        <w:t xml:space="preserve">examined </w:t>
      </w:r>
      <w:r w:rsidRPr="001C6FA6">
        <w:t>stocks</w:t>
      </w:r>
      <w:bookmarkEnd w:id="19"/>
    </w:p>
    <w:p w14:paraId="0CBBE7FC" w14:textId="0D72E070" w:rsidR="001C6FA6" w:rsidRPr="001C6FA6" w:rsidRDefault="001C6FA6" w:rsidP="004E4CDC">
      <w:pPr>
        <w:spacing w:after="120" w:line="480" w:lineRule="auto"/>
        <w:rPr>
          <w:b/>
        </w:rPr>
      </w:pPr>
      <w:r w:rsidRPr="001C6FA6">
        <w:t xml:space="preserve">We collected </w:t>
      </w:r>
      <w:r w:rsidR="00F54FBF">
        <w:t>1</w:t>
      </w:r>
      <w:r w:rsidR="0094625D">
        <w:t>59 time</w:t>
      </w:r>
      <w:r w:rsidRPr="001C6FA6">
        <w:t xml:space="preserve"> series of catch and </w:t>
      </w:r>
      <w:r w:rsidR="0094625D">
        <w:t>abundance</w:t>
      </w:r>
      <w:r w:rsidRPr="001C6FA6">
        <w:t xml:space="preserve"> from various </w:t>
      </w:r>
      <w:r w:rsidR="00BF1DE9">
        <w:t xml:space="preserve">sources, including stocks from the </w:t>
      </w:r>
      <w:r w:rsidR="00BF1DE9" w:rsidRPr="001C6FA6">
        <w:t xml:space="preserve">North </w:t>
      </w:r>
      <w:r w:rsidR="00441FE1">
        <w:t xml:space="preserve">and South </w:t>
      </w:r>
      <w:r w:rsidR="00BF1DE9" w:rsidRPr="001C6FA6">
        <w:t>Pacific,</w:t>
      </w:r>
      <w:r w:rsidR="00BF1DE9">
        <w:t xml:space="preserve"> North and South </w:t>
      </w:r>
      <w:r w:rsidRPr="001C6FA6">
        <w:t>Atlantic,</w:t>
      </w:r>
      <w:r w:rsidR="00BF1DE9">
        <w:t xml:space="preserve"> the Caribbean,</w:t>
      </w:r>
      <w:r w:rsidRPr="001C6FA6">
        <w:t xml:space="preserve"> the Mediterranean and the Black Sea. </w:t>
      </w:r>
      <w:r w:rsidR="00BF1DE9">
        <w:t xml:space="preserve">Four stocks </w:t>
      </w:r>
      <w:r w:rsidR="00F54FBF">
        <w:t>belonged to</w:t>
      </w:r>
      <w:r w:rsidR="00AD052C">
        <w:t xml:space="preserve"> two species of crustaceans and the remaining stocks belonged to species of marine fishes, including</w:t>
      </w:r>
      <w:r w:rsidR="006F4315">
        <w:t xml:space="preserve"> </w:t>
      </w:r>
      <w:r w:rsidR="0094625D">
        <w:t>five</w:t>
      </w:r>
      <w:r w:rsidRPr="001C6FA6">
        <w:t xml:space="preserve"> elasmobranches</w:t>
      </w:r>
      <w:r w:rsidR="006F4315">
        <w:t xml:space="preserve">. </w:t>
      </w:r>
      <w:r w:rsidRPr="001C6FA6">
        <w:t xml:space="preserve">Over two-third of </w:t>
      </w:r>
      <w:r w:rsidR="006F4315">
        <w:t xml:space="preserve">the </w:t>
      </w:r>
      <w:r w:rsidRPr="001C6FA6">
        <w:t xml:space="preserve">species </w:t>
      </w:r>
      <w:r w:rsidR="006F4315">
        <w:t>were demersal.</w:t>
      </w:r>
      <w:r w:rsidRPr="001C6FA6">
        <w:t xml:space="preserve"> </w:t>
      </w:r>
      <w:r w:rsidR="00AD052C">
        <w:t>Other</w:t>
      </w:r>
      <w:r w:rsidRPr="001C6FA6">
        <w:t xml:space="preserve"> fishes consist</w:t>
      </w:r>
      <w:r w:rsidR="006F4315">
        <w:t>ed</w:t>
      </w:r>
      <w:r w:rsidRPr="001C6FA6">
        <w:t xml:space="preserve"> of small pelagic and highly migratory species such as tunas and billfishes. Species were distribut</w:t>
      </w:r>
      <w:r w:rsidR="006F4315">
        <w:t xml:space="preserve">ed mostly in temperate </w:t>
      </w:r>
      <w:r w:rsidR="00F54FBF">
        <w:t xml:space="preserve">climate </w:t>
      </w:r>
      <w:r w:rsidR="006F4315">
        <w:t>zones, several in subtropical</w:t>
      </w:r>
      <w:r w:rsidRPr="001C6FA6">
        <w:t xml:space="preserve"> zon</w:t>
      </w:r>
      <w:r w:rsidR="006F4315">
        <w:t>es, some in polar regions</w:t>
      </w:r>
      <w:r w:rsidRPr="001C6FA6">
        <w:t xml:space="preserve">, and </w:t>
      </w:r>
      <w:r w:rsidR="00AD052C" w:rsidRPr="00441FE1">
        <w:t xml:space="preserve">only </w:t>
      </w:r>
      <w:r w:rsidR="006F4315" w:rsidRPr="00441FE1">
        <w:t>one</w:t>
      </w:r>
      <w:r w:rsidR="006F4315">
        <w:t xml:space="preserve"> </w:t>
      </w:r>
      <w:r w:rsidRPr="001C6FA6">
        <w:t xml:space="preserve">in </w:t>
      </w:r>
      <w:r w:rsidR="006F4315">
        <w:t xml:space="preserve">the </w:t>
      </w:r>
      <w:r w:rsidRPr="001C6FA6">
        <w:t>tropics</w:t>
      </w:r>
      <w:r w:rsidR="006F4315">
        <w:t>.</w:t>
      </w:r>
      <w:r w:rsidR="00AD052C">
        <w:t xml:space="preserve"> </w:t>
      </w:r>
      <w:r w:rsidR="00AD052C" w:rsidRPr="001C6FA6">
        <w:t>Dee</w:t>
      </w:r>
      <w:r w:rsidR="00AD052C">
        <w:t xml:space="preserve">p sea fishes were represented by </w:t>
      </w:r>
      <w:r w:rsidR="00441FE1">
        <w:t xml:space="preserve">eleven </w:t>
      </w:r>
      <w:r w:rsidR="00AD052C" w:rsidRPr="001C6FA6">
        <w:t xml:space="preserve">species. </w:t>
      </w:r>
      <w:r w:rsidR="00AD052C">
        <w:t>Very low to medium</w:t>
      </w:r>
      <w:r w:rsidRPr="001C6FA6">
        <w:t xml:space="preserve"> resilience categories </w:t>
      </w:r>
      <w:r w:rsidR="00AD052C">
        <w:t>were represented by</w:t>
      </w:r>
      <w:r w:rsidRPr="001C6FA6">
        <w:t xml:space="preserve"> </w:t>
      </w:r>
      <w:r w:rsidR="00173388">
        <w:t xml:space="preserve">14 or more </w:t>
      </w:r>
      <w:r w:rsidRPr="001C6FA6">
        <w:t>stocks</w:t>
      </w:r>
      <w:r w:rsidR="00AD052C">
        <w:t xml:space="preserve"> each</w:t>
      </w:r>
      <w:r w:rsidRPr="001C6FA6">
        <w:t xml:space="preserve">, </w:t>
      </w:r>
      <w:r w:rsidR="00AD052C">
        <w:t>but</w:t>
      </w:r>
      <w:r w:rsidRPr="001C6FA6">
        <w:t xml:space="preserve"> only </w:t>
      </w:r>
      <w:r w:rsidR="0065106C">
        <w:t>four</w:t>
      </w:r>
      <w:r w:rsidRPr="001C6FA6">
        <w:t xml:space="preserve"> stocks</w:t>
      </w:r>
      <w:r w:rsidR="00AD052C">
        <w:t xml:space="preserve"> fell into the high resilience category</w:t>
      </w:r>
      <w:r w:rsidRPr="001C6FA6">
        <w:t>.</w:t>
      </w:r>
      <w:r w:rsidR="006F4315">
        <w:t xml:space="preserve"> </w:t>
      </w:r>
      <w:r w:rsidRPr="001C6FA6">
        <w:t>S</w:t>
      </w:r>
      <w:r w:rsidR="006F4315">
        <w:t>everal</w:t>
      </w:r>
      <w:r w:rsidRPr="001C6FA6">
        <w:t xml:space="preserve"> species </w:t>
      </w:r>
      <w:r w:rsidR="006F4315">
        <w:t>we</w:t>
      </w:r>
      <w:r w:rsidRPr="001C6FA6">
        <w:t xml:space="preserve">re </w:t>
      </w:r>
      <w:r w:rsidR="006F4315">
        <w:t>re</w:t>
      </w:r>
      <w:r w:rsidRPr="001C6FA6">
        <w:t xml:space="preserve">presented </w:t>
      </w:r>
      <w:r w:rsidR="006F4315">
        <w:t>by</w:t>
      </w:r>
      <w:r w:rsidRPr="001C6FA6">
        <w:t xml:space="preserve"> </w:t>
      </w:r>
      <w:r w:rsidR="00AD052C">
        <w:t xml:space="preserve">more than one and up to </w:t>
      </w:r>
      <w:r w:rsidR="00AD052C" w:rsidRPr="00441FE1">
        <w:t>1</w:t>
      </w:r>
      <w:r w:rsidR="00441FE1" w:rsidRPr="00441FE1">
        <w:t>2</w:t>
      </w:r>
      <w:r w:rsidR="00AD052C">
        <w:t xml:space="preserve"> different</w:t>
      </w:r>
      <w:r w:rsidRPr="001C6FA6">
        <w:t xml:space="preserve"> stocks. </w:t>
      </w:r>
      <w:r w:rsidR="007953E0">
        <w:t>Several time series used in the analysis started as early as 19</w:t>
      </w:r>
      <w:r w:rsidR="0094625D">
        <w:t>30</w:t>
      </w:r>
      <w:r w:rsidR="007953E0">
        <w:t xml:space="preserve"> and most reached until 2012. The shortest time series used for CMSY analys</w:t>
      </w:r>
      <w:r w:rsidR="0065106C">
        <w:t>e</w:t>
      </w:r>
      <w:r w:rsidR="007953E0">
        <w:t>s w</w:t>
      </w:r>
      <w:r w:rsidR="00A46D0E">
        <w:t>as</w:t>
      </w:r>
      <w:r w:rsidR="007953E0">
        <w:t xml:space="preserve"> </w:t>
      </w:r>
      <w:r w:rsidR="007953E0" w:rsidRPr="00441FE1">
        <w:t>11</w:t>
      </w:r>
      <w:r w:rsidR="007953E0">
        <w:t xml:space="preserve"> years. </w:t>
      </w:r>
      <w:r w:rsidRPr="001C6FA6">
        <w:t xml:space="preserve">The highest catch </w:t>
      </w:r>
      <w:r w:rsidR="007953E0">
        <w:t>was reported for</w:t>
      </w:r>
      <w:r w:rsidRPr="001C6FA6">
        <w:t xml:space="preserve"> blue whiting (</w:t>
      </w:r>
      <w:r w:rsidRPr="001C6FA6">
        <w:rPr>
          <w:i/>
        </w:rPr>
        <w:t>Micromesistius poutassou</w:t>
      </w:r>
      <w:r w:rsidR="00397B96" w:rsidRPr="00885BB7">
        <w:t xml:space="preserve">, </w:t>
      </w:r>
      <w:r w:rsidR="00397B96" w:rsidRPr="00397B96">
        <w:t>Gadidae</w:t>
      </w:r>
      <w:r w:rsidRPr="001C6FA6">
        <w:t>) with 2.4 million tonnes in</w:t>
      </w:r>
      <w:r w:rsidR="006F4315">
        <w:t xml:space="preserve"> the</w:t>
      </w:r>
      <w:r w:rsidRPr="001C6FA6">
        <w:t xml:space="preserve"> Northeast Atlantic </w:t>
      </w:r>
      <w:r w:rsidR="006F4315">
        <w:t>in</w:t>
      </w:r>
      <w:r w:rsidR="00AD052C">
        <w:t xml:space="preserve"> 2004 and</w:t>
      </w:r>
      <w:r w:rsidRPr="001C6FA6">
        <w:t xml:space="preserve"> </w:t>
      </w:r>
      <w:r w:rsidR="00AD052C">
        <w:t>t</w:t>
      </w:r>
      <w:r w:rsidRPr="001C6FA6">
        <w:t xml:space="preserve">he largest stock size was </w:t>
      </w:r>
      <w:r w:rsidR="006F4315">
        <w:t>reported for</w:t>
      </w:r>
      <w:r w:rsidRPr="001C6FA6">
        <w:t xml:space="preserve"> E</w:t>
      </w:r>
      <w:r w:rsidR="006F4315">
        <w:t xml:space="preserve">astern </w:t>
      </w:r>
      <w:r w:rsidRPr="001C6FA6">
        <w:t>B</w:t>
      </w:r>
      <w:r w:rsidR="006F4315">
        <w:t xml:space="preserve">ering </w:t>
      </w:r>
      <w:r w:rsidRPr="001C6FA6">
        <w:t>S</w:t>
      </w:r>
      <w:r w:rsidR="006F4315">
        <w:t xml:space="preserve">ea </w:t>
      </w:r>
      <w:r w:rsidRPr="001C6FA6">
        <w:t xml:space="preserve">pollock </w:t>
      </w:r>
      <w:r w:rsidR="006F4315">
        <w:t>(</w:t>
      </w:r>
      <w:r w:rsidRPr="001C6FA6">
        <w:rPr>
          <w:i/>
        </w:rPr>
        <w:t>Theragra chalcogramma</w:t>
      </w:r>
      <w:r w:rsidR="00885BB7" w:rsidRPr="00885BB7">
        <w:t>, Gadidae</w:t>
      </w:r>
      <w:r w:rsidR="006F4315">
        <w:t xml:space="preserve">) </w:t>
      </w:r>
      <w:r w:rsidRPr="001C6FA6">
        <w:t>with an estimated biomass of 13.1 million tonne</w:t>
      </w:r>
      <w:r w:rsidR="00F032F0">
        <w:t xml:space="preserve">s in 1995. </w:t>
      </w:r>
      <w:r w:rsidR="00173388">
        <w:t>This</w:t>
      </w:r>
      <w:r w:rsidR="009459BF">
        <w:t xml:space="preserve"> selection of stocks was reasonably complete and representative for the Northeast Pacific and the North Atlantic, but</w:t>
      </w:r>
      <w:r w:rsidR="001120E9">
        <w:t xml:space="preserve"> </w:t>
      </w:r>
      <w:r w:rsidR="00AD052C">
        <w:t xml:space="preserve">by no means </w:t>
      </w:r>
      <w:r w:rsidR="009459BF">
        <w:t xml:space="preserve">complete or </w:t>
      </w:r>
      <w:r w:rsidR="00AD052C">
        <w:t>representative</w:t>
      </w:r>
      <w:r w:rsidR="006B495A">
        <w:t xml:space="preserve"> </w:t>
      </w:r>
      <w:r w:rsidR="009459BF">
        <w:t>for the other areas or for</w:t>
      </w:r>
      <w:r w:rsidR="006B495A">
        <w:t xml:space="preserve"> global fisheries</w:t>
      </w:r>
      <w:r w:rsidR="009459BF">
        <w:t>.</w:t>
      </w:r>
      <w:r w:rsidR="00AD052C">
        <w:t xml:space="preserve"> </w:t>
      </w:r>
      <w:r w:rsidR="0065106C">
        <w:t xml:space="preserve">However, </w:t>
      </w:r>
      <w:r w:rsidR="00132BAF">
        <w:t>the selection of stocks</w:t>
      </w:r>
      <w:r w:rsidR="00AD052C">
        <w:t xml:space="preserve"> </w:t>
      </w:r>
      <w:r w:rsidR="006B495A">
        <w:t>cover</w:t>
      </w:r>
      <w:r w:rsidR="001120E9">
        <w:t>ed</w:t>
      </w:r>
      <w:r w:rsidR="00AD052C">
        <w:t xml:space="preserve"> a wide range of </w:t>
      </w:r>
      <w:r w:rsidR="006B495A">
        <w:t>the diversity of commercial species</w:t>
      </w:r>
      <w:r w:rsidR="00AD052C">
        <w:t>,</w:t>
      </w:r>
      <w:r w:rsidR="006B495A">
        <w:t xml:space="preserve"> suggesting that the </w:t>
      </w:r>
      <w:r w:rsidR="00064D1B">
        <w:t>methods and default rules for priors used in this</w:t>
      </w:r>
      <w:r w:rsidR="006B495A">
        <w:t xml:space="preserve"> study are broadly applicable.</w:t>
      </w:r>
      <w:r w:rsidR="00AD052C">
        <w:t xml:space="preserve"> </w:t>
      </w:r>
    </w:p>
    <w:p w14:paraId="1FBF6FBD" w14:textId="3F9AA46C" w:rsidR="004F10CA" w:rsidRPr="004F10CA" w:rsidRDefault="004F10CA" w:rsidP="004E4CDC">
      <w:pPr>
        <w:pStyle w:val="berschrift2"/>
        <w:spacing w:line="480" w:lineRule="auto"/>
      </w:pPr>
      <w:bookmarkStart w:id="20" w:name="_Toc410816098"/>
      <w:r w:rsidRPr="004F10CA">
        <w:lastRenderedPageBreak/>
        <w:t xml:space="preserve">4.2 Priors for </w:t>
      </w:r>
      <w:r w:rsidRPr="007110B0">
        <w:rPr>
          <w:i/>
        </w:rPr>
        <w:t>r</w:t>
      </w:r>
      <w:r w:rsidRPr="004F10CA">
        <w:t xml:space="preserve">, </w:t>
      </w:r>
      <w:r w:rsidRPr="007110B0">
        <w:rPr>
          <w:i/>
        </w:rPr>
        <w:t>k</w:t>
      </w:r>
      <w:r w:rsidRPr="004F10CA">
        <w:t>, and biomass</w:t>
      </w:r>
      <w:bookmarkEnd w:id="20"/>
    </w:p>
    <w:p w14:paraId="0E2E5A30" w14:textId="2AA2A5EB" w:rsidR="00AB35BF" w:rsidRPr="00AB35BF" w:rsidRDefault="004F10CA" w:rsidP="004E4CDC">
      <w:pPr>
        <w:pStyle w:val="berschrift3"/>
        <w:spacing w:line="480" w:lineRule="auto"/>
      </w:pPr>
      <w:bookmarkStart w:id="21" w:name="_Toc410816099"/>
      <w:r>
        <w:t>4.2.1</w:t>
      </w:r>
      <w:r w:rsidR="00AB35BF" w:rsidRPr="00AB35BF">
        <w:t xml:space="preserve"> How useful w</w:t>
      </w:r>
      <w:r>
        <w:t>as</w:t>
      </w:r>
      <w:r w:rsidR="00AB35BF" w:rsidRPr="00AB35BF">
        <w:t xml:space="preserve"> resilience from FishBase for determining prior ranges of </w:t>
      </w:r>
      <w:r w:rsidR="00AB35BF" w:rsidRPr="00AB35BF">
        <w:rPr>
          <w:i/>
        </w:rPr>
        <w:t>r</w:t>
      </w:r>
      <w:r w:rsidR="00AB35BF" w:rsidRPr="00AB35BF">
        <w:t>?</w:t>
      </w:r>
      <w:bookmarkEnd w:id="21"/>
    </w:p>
    <w:p w14:paraId="2346A394" w14:textId="711A9262" w:rsidR="00AB35BF" w:rsidRPr="00F54FBF" w:rsidRDefault="00D57198" w:rsidP="004E4CDC">
      <w:pPr>
        <w:spacing w:after="120" w:line="480" w:lineRule="auto"/>
        <w:rPr>
          <w:bCs/>
        </w:rPr>
      </w:pPr>
      <w:r>
        <w:t>The</w:t>
      </w:r>
      <w:r w:rsidR="00AB35BF">
        <w:t xml:space="preserve"> resilience categories from FishBase</w:t>
      </w:r>
      <w:r w:rsidR="00D93247">
        <w:t xml:space="preserve"> (</w:t>
      </w:r>
      <w:r w:rsidR="00622F8D">
        <w:t xml:space="preserve">Froese </w:t>
      </w:r>
      <w:r w:rsidR="00622F8D" w:rsidRPr="00AF3322">
        <w:rPr>
          <w:i/>
        </w:rPr>
        <w:t xml:space="preserve">et </w:t>
      </w:r>
      <w:r w:rsidR="00982302">
        <w:rPr>
          <w:i/>
        </w:rPr>
        <w:t xml:space="preserve">al., </w:t>
      </w:r>
      <w:r w:rsidR="00AF3322">
        <w:t>2000;</w:t>
      </w:r>
      <w:r w:rsidR="00622F8D">
        <w:t xml:space="preserve"> </w:t>
      </w:r>
      <w:r w:rsidR="00D563C9">
        <w:t>Froese and Pauly 2015</w:t>
      </w:r>
      <w:r w:rsidR="00D93247">
        <w:t>)</w:t>
      </w:r>
      <w:r w:rsidR="00AB35BF">
        <w:t xml:space="preserve"> gave prior ranges of </w:t>
      </w:r>
      <w:r w:rsidR="00AB35BF" w:rsidRPr="00AB35BF">
        <w:rPr>
          <w:i/>
        </w:rPr>
        <w:t>r</w:t>
      </w:r>
      <w:r w:rsidR="00AB35BF">
        <w:t xml:space="preserve"> that led to </w:t>
      </w:r>
      <w:r w:rsidR="00F54FBF">
        <w:t>similar and therefore presumably reasonable</w:t>
      </w:r>
      <w:r w:rsidR="00AB35BF">
        <w:t xml:space="preserve"> CMSY </w:t>
      </w:r>
      <w:r w:rsidR="00B65492">
        <w:t xml:space="preserve">and BSM </w:t>
      </w:r>
      <w:r w:rsidR="00AB35BF">
        <w:t xml:space="preserve">fits </w:t>
      </w:r>
      <w:r w:rsidR="00B65492">
        <w:t xml:space="preserve">for </w:t>
      </w:r>
      <w:r>
        <w:t>88</w:t>
      </w:r>
      <w:r w:rsidR="00AB35BF" w:rsidRPr="00C75D7E">
        <w:t xml:space="preserve">% of the stocks. </w:t>
      </w:r>
      <w:r w:rsidR="007110B0" w:rsidRPr="00C75D7E">
        <w:t>For</w:t>
      </w:r>
      <w:r w:rsidR="00AB35BF" w:rsidRPr="00C75D7E">
        <w:t xml:space="preserve"> </w:t>
      </w:r>
      <w:r>
        <w:t>the remaining</w:t>
      </w:r>
      <w:r w:rsidR="00AB35BF" w:rsidRPr="00C75D7E">
        <w:t xml:space="preserve"> stocks</w:t>
      </w:r>
      <w:r w:rsidR="00AB35BF">
        <w:t xml:space="preserve">, reasonable fits were only obtained if </w:t>
      </w:r>
      <w:r w:rsidR="007110B0">
        <w:t>the next higher or lower</w:t>
      </w:r>
      <w:r w:rsidR="00AB35BF">
        <w:t xml:space="preserve"> resilience categor</w:t>
      </w:r>
      <w:r w:rsidR="007110B0">
        <w:t>y</w:t>
      </w:r>
      <w:r w:rsidR="00AB35BF">
        <w:t xml:space="preserve"> w</w:t>
      </w:r>
      <w:r w:rsidR="007110B0">
        <w:t>as</w:t>
      </w:r>
      <w:r w:rsidR="00AB35BF">
        <w:t xml:space="preserve"> chosen. </w:t>
      </w:r>
      <w:r w:rsidR="00064D1B">
        <w:t>The even distribution of these corrections between lower and upper resilience suggests</w:t>
      </w:r>
      <w:r w:rsidR="00AB35BF">
        <w:t xml:space="preserve"> that the</w:t>
      </w:r>
      <w:r w:rsidR="00B65492">
        <w:t>se</w:t>
      </w:r>
      <w:r w:rsidR="00AB35BF">
        <w:t xml:space="preserve"> species were intermed</w:t>
      </w:r>
      <w:r w:rsidR="000502EE">
        <w:t>iate to the available</w:t>
      </w:r>
      <w:r w:rsidR="00B65492">
        <w:t xml:space="preserve"> resilience</w:t>
      </w:r>
      <w:r w:rsidR="00AB35BF">
        <w:t xml:space="preserve"> categories. Also, </w:t>
      </w:r>
      <w:r w:rsidR="001120E9">
        <w:t xml:space="preserve">for </w:t>
      </w:r>
      <w:r w:rsidR="00AB35BF">
        <w:t>some species</w:t>
      </w:r>
      <w:r w:rsidR="001120E9">
        <w:t>,</w:t>
      </w:r>
      <w:r w:rsidR="00AB35BF">
        <w:t xml:space="preserve"> different stocks required di</w:t>
      </w:r>
      <w:r w:rsidR="00B65492">
        <w:t xml:space="preserve">fferent </w:t>
      </w:r>
      <w:r w:rsidR="00AB35BF">
        <w:t>categories. </w:t>
      </w:r>
      <w:r w:rsidR="00AB35BF">
        <w:rPr>
          <w:bCs/>
        </w:rPr>
        <w:t>For example</w:t>
      </w:r>
      <w:r w:rsidR="00AB35BF" w:rsidRPr="00AB35BF">
        <w:rPr>
          <w:bCs/>
        </w:rPr>
        <w:t>,</w:t>
      </w:r>
      <w:r w:rsidR="00AB35BF">
        <w:rPr>
          <w:bCs/>
        </w:rPr>
        <w:t xml:space="preserve"> the two examined stocks </w:t>
      </w:r>
      <w:r w:rsidR="00AB35BF" w:rsidRPr="00AB35BF">
        <w:rPr>
          <w:bCs/>
        </w:rPr>
        <w:t>of</w:t>
      </w:r>
      <w:r w:rsidR="00885BB7">
        <w:rPr>
          <w:bCs/>
        </w:rPr>
        <w:t xml:space="preserve"> surmullet (</w:t>
      </w:r>
      <w:r w:rsidR="00AB35BF" w:rsidRPr="00AB35BF">
        <w:rPr>
          <w:bCs/>
          <w:i/>
        </w:rPr>
        <w:t>Mullus surmuletus</w:t>
      </w:r>
      <w:r w:rsidR="00885BB7">
        <w:rPr>
          <w:bCs/>
        </w:rPr>
        <w:t xml:space="preserve">, Mullidae) </w:t>
      </w:r>
      <w:r w:rsidR="003E5DE6">
        <w:rPr>
          <w:bCs/>
        </w:rPr>
        <w:t>gave</w:t>
      </w:r>
      <w:r w:rsidR="00AB35BF" w:rsidRPr="00AB35BF">
        <w:rPr>
          <w:bCs/>
        </w:rPr>
        <w:t xml:space="preserve"> </w:t>
      </w:r>
      <w:r w:rsidR="00F54FBF">
        <w:rPr>
          <w:bCs/>
        </w:rPr>
        <w:t>reasonable</w:t>
      </w:r>
      <w:r w:rsidR="003E5DE6">
        <w:rPr>
          <w:bCs/>
        </w:rPr>
        <w:t xml:space="preserve"> fits for CMSY and </w:t>
      </w:r>
      <w:r w:rsidR="00804C9D">
        <w:rPr>
          <w:bCs/>
        </w:rPr>
        <w:t>BSM</w:t>
      </w:r>
      <w:r w:rsidR="00AB35BF" w:rsidRPr="00AB35BF">
        <w:rPr>
          <w:bCs/>
        </w:rPr>
        <w:t xml:space="preserve"> </w:t>
      </w:r>
      <w:r w:rsidR="00AB35BF">
        <w:rPr>
          <w:bCs/>
        </w:rPr>
        <w:t xml:space="preserve">only when </w:t>
      </w:r>
      <w:r w:rsidR="00AB35BF" w:rsidRPr="00AB35BF">
        <w:rPr>
          <w:bCs/>
        </w:rPr>
        <w:t xml:space="preserve">resilience </w:t>
      </w:r>
      <w:r w:rsidR="0051787A">
        <w:rPr>
          <w:bCs/>
        </w:rPr>
        <w:t xml:space="preserve">was set Medium for the North Sea stock </w:t>
      </w:r>
      <w:r w:rsidR="0051787A" w:rsidRPr="00AB35BF">
        <w:rPr>
          <w:bCs/>
        </w:rPr>
        <w:t>(mur-347d</w:t>
      </w:r>
      <w:r w:rsidR="0051787A">
        <w:rPr>
          <w:bCs/>
        </w:rPr>
        <w:t>) and High</w:t>
      </w:r>
      <w:r w:rsidR="00AB35BF" w:rsidRPr="00AB35BF">
        <w:rPr>
          <w:bCs/>
        </w:rPr>
        <w:t xml:space="preserve"> </w:t>
      </w:r>
      <w:r w:rsidR="0051787A">
        <w:rPr>
          <w:bCs/>
        </w:rPr>
        <w:t>for the</w:t>
      </w:r>
      <w:r w:rsidR="00AB35BF" w:rsidRPr="00AB35BF">
        <w:rPr>
          <w:bCs/>
        </w:rPr>
        <w:t xml:space="preserve"> Central Mediterranean stock</w:t>
      </w:r>
      <w:r w:rsidR="0051787A">
        <w:rPr>
          <w:bCs/>
        </w:rPr>
        <w:t xml:space="preserve"> (</w:t>
      </w:r>
      <w:r w:rsidR="0051787A" w:rsidRPr="00AB35BF">
        <w:rPr>
          <w:bCs/>
        </w:rPr>
        <w:t>mullsur_gsa1516</w:t>
      </w:r>
      <w:r w:rsidR="0051787A">
        <w:rPr>
          <w:bCs/>
        </w:rPr>
        <w:t>)</w:t>
      </w:r>
      <w:r w:rsidR="00AB35BF" w:rsidRPr="00AB35BF">
        <w:rPr>
          <w:bCs/>
        </w:rPr>
        <w:t xml:space="preserve">. Similarly, </w:t>
      </w:r>
      <w:r>
        <w:rPr>
          <w:bCs/>
        </w:rPr>
        <w:t>of</w:t>
      </w:r>
      <w:r w:rsidR="0051787A">
        <w:rPr>
          <w:bCs/>
        </w:rPr>
        <w:t xml:space="preserve"> the eight examined stocks of</w:t>
      </w:r>
      <w:r w:rsidR="0065106C">
        <w:rPr>
          <w:bCs/>
        </w:rPr>
        <w:t xml:space="preserve"> haddock</w:t>
      </w:r>
      <w:r w:rsidR="00AB35BF" w:rsidRPr="00AB35BF">
        <w:rPr>
          <w:bCs/>
        </w:rPr>
        <w:t xml:space="preserve"> </w:t>
      </w:r>
      <w:r w:rsidR="0065106C">
        <w:rPr>
          <w:bCs/>
        </w:rPr>
        <w:t>(</w:t>
      </w:r>
      <w:r w:rsidR="00AB35BF" w:rsidRPr="0051787A">
        <w:rPr>
          <w:bCs/>
          <w:i/>
        </w:rPr>
        <w:t>Mel</w:t>
      </w:r>
      <w:r w:rsidR="0051787A">
        <w:rPr>
          <w:bCs/>
          <w:i/>
        </w:rPr>
        <w:t>a</w:t>
      </w:r>
      <w:r w:rsidR="00AB35BF" w:rsidRPr="0051787A">
        <w:rPr>
          <w:bCs/>
          <w:i/>
        </w:rPr>
        <w:t>n</w:t>
      </w:r>
      <w:r w:rsidR="0051787A">
        <w:rPr>
          <w:bCs/>
          <w:i/>
        </w:rPr>
        <w:t>o</w:t>
      </w:r>
      <w:r w:rsidR="00AB35BF" w:rsidRPr="0051787A">
        <w:rPr>
          <w:bCs/>
          <w:i/>
        </w:rPr>
        <w:t>grammus aeglefinus</w:t>
      </w:r>
      <w:r w:rsidR="00885BB7" w:rsidRPr="00885BB7">
        <w:rPr>
          <w:bCs/>
        </w:rPr>
        <w:t>, Gadidae</w:t>
      </w:r>
      <w:r w:rsidR="0065106C">
        <w:rPr>
          <w:bCs/>
        </w:rPr>
        <w:t>)</w:t>
      </w:r>
      <w:r w:rsidR="0051787A">
        <w:rPr>
          <w:bCs/>
        </w:rPr>
        <w:t xml:space="preserve">, seven gave </w:t>
      </w:r>
      <w:r w:rsidR="00F54FBF">
        <w:rPr>
          <w:bCs/>
        </w:rPr>
        <w:t>reasonable</w:t>
      </w:r>
      <w:r w:rsidR="0051787A">
        <w:rPr>
          <w:bCs/>
        </w:rPr>
        <w:t xml:space="preserve"> fits with the FishBase category of Medium resilience, whereas </w:t>
      </w:r>
      <w:r w:rsidR="00AB35BF" w:rsidRPr="00AB35BF">
        <w:rPr>
          <w:bCs/>
        </w:rPr>
        <w:t xml:space="preserve">the stock from Georges Bank (Haddock_GB) only </w:t>
      </w:r>
      <w:r w:rsidR="0051787A">
        <w:rPr>
          <w:bCs/>
        </w:rPr>
        <w:t>gave a reasonable fit when resilience was set to Low</w:t>
      </w:r>
      <w:r w:rsidR="00AB35BF" w:rsidRPr="00AB35BF">
        <w:rPr>
          <w:bCs/>
        </w:rPr>
        <w:t>.</w:t>
      </w:r>
      <w:r w:rsidR="0051787A">
        <w:rPr>
          <w:bCs/>
        </w:rPr>
        <w:t xml:space="preserve"> </w:t>
      </w:r>
      <w:r w:rsidR="00D9407D">
        <w:rPr>
          <w:bCs/>
        </w:rPr>
        <w:t xml:space="preserve">More generally, if the prior </w:t>
      </w:r>
      <w:r w:rsidR="00D9407D" w:rsidRPr="00D9407D">
        <w:rPr>
          <w:bCs/>
          <w:i/>
        </w:rPr>
        <w:t>r</w:t>
      </w:r>
      <w:r w:rsidR="00D9407D">
        <w:rPr>
          <w:bCs/>
        </w:rPr>
        <w:t xml:space="preserve">-range is set too high, CMSY is unlikely to find viable </w:t>
      </w:r>
      <w:r w:rsidR="00D9407D" w:rsidRPr="00CB1D81">
        <w:rPr>
          <w:bCs/>
          <w:i/>
        </w:rPr>
        <w:t>r-k</w:t>
      </w:r>
      <w:r w:rsidR="00D9407D">
        <w:rPr>
          <w:bCs/>
        </w:rPr>
        <w:t xml:space="preserve"> pairs; if the prior </w:t>
      </w:r>
      <w:r w:rsidR="00D9407D" w:rsidRPr="00D9407D">
        <w:rPr>
          <w:bCs/>
          <w:i/>
        </w:rPr>
        <w:t>r</w:t>
      </w:r>
      <w:r w:rsidR="00D9407D">
        <w:rPr>
          <w:bCs/>
        </w:rPr>
        <w:t xml:space="preserve">-range is set too low, the </w:t>
      </w:r>
      <w:r w:rsidR="00D9407D" w:rsidRPr="00D9407D">
        <w:rPr>
          <w:bCs/>
          <w:i/>
        </w:rPr>
        <w:t>r-k</w:t>
      </w:r>
      <w:r w:rsidR="00D9407D">
        <w:rPr>
          <w:bCs/>
        </w:rPr>
        <w:t xml:space="preserve"> space is likely to be flooded with viable </w:t>
      </w:r>
      <w:r w:rsidR="00D9407D" w:rsidRPr="00D9407D">
        <w:rPr>
          <w:bCs/>
          <w:i/>
        </w:rPr>
        <w:t>r-k</w:t>
      </w:r>
      <w:r w:rsidR="00D9407D">
        <w:rPr>
          <w:bCs/>
        </w:rPr>
        <w:t xml:space="preserve"> pairs</w:t>
      </w:r>
      <w:r w:rsidR="00CB1D81">
        <w:rPr>
          <w:bCs/>
        </w:rPr>
        <w:t xml:space="preserve"> pressing against the upper bound</w:t>
      </w:r>
      <w:r w:rsidR="00043954">
        <w:rPr>
          <w:bCs/>
        </w:rPr>
        <w:t xml:space="preserve"> of</w:t>
      </w:r>
      <w:r w:rsidR="004632C4">
        <w:rPr>
          <w:bCs/>
        </w:rPr>
        <w:t xml:space="preserve"> </w:t>
      </w:r>
      <w:r w:rsidR="004632C4" w:rsidRPr="004632C4">
        <w:rPr>
          <w:bCs/>
          <w:i/>
        </w:rPr>
        <w:t>r</w:t>
      </w:r>
      <w:r w:rsidR="00CB1D81">
        <w:rPr>
          <w:bCs/>
        </w:rPr>
        <w:t>.</w:t>
      </w:r>
      <w:r w:rsidR="00D9407D">
        <w:rPr>
          <w:bCs/>
        </w:rPr>
        <w:t xml:space="preserve">  </w:t>
      </w:r>
      <w:r w:rsidR="0051787A">
        <w:rPr>
          <w:bCs/>
        </w:rPr>
        <w:t>Thus, while the resilience categories from FishBase provide</w:t>
      </w:r>
      <w:r w:rsidR="001120E9">
        <w:rPr>
          <w:bCs/>
        </w:rPr>
        <w:t>d</w:t>
      </w:r>
      <w:r w:rsidR="0051787A">
        <w:rPr>
          <w:bCs/>
        </w:rPr>
        <w:t xml:space="preserve"> a </w:t>
      </w:r>
      <w:r w:rsidR="000E47FE">
        <w:rPr>
          <w:bCs/>
        </w:rPr>
        <w:t>good</w:t>
      </w:r>
      <w:r w:rsidR="0051787A">
        <w:rPr>
          <w:bCs/>
        </w:rPr>
        <w:t xml:space="preserve"> starting point for prior ranges of </w:t>
      </w:r>
      <w:r w:rsidR="0051787A" w:rsidRPr="0051787A">
        <w:rPr>
          <w:bCs/>
          <w:i/>
        </w:rPr>
        <w:t>r</w:t>
      </w:r>
      <w:r w:rsidR="0051787A">
        <w:rPr>
          <w:bCs/>
        </w:rPr>
        <w:t xml:space="preserve">, users of the CMSY </w:t>
      </w:r>
      <w:r w:rsidR="00064D1B">
        <w:rPr>
          <w:bCs/>
        </w:rPr>
        <w:t xml:space="preserve">and BSM </w:t>
      </w:r>
      <w:r w:rsidR="0051787A">
        <w:rPr>
          <w:bCs/>
        </w:rPr>
        <w:t>method</w:t>
      </w:r>
      <w:r w:rsidR="00064D1B">
        <w:rPr>
          <w:bCs/>
        </w:rPr>
        <w:t>s</w:t>
      </w:r>
      <w:r w:rsidR="0051787A">
        <w:rPr>
          <w:bCs/>
        </w:rPr>
        <w:t xml:space="preserve"> should carefully consider all available information</w:t>
      </w:r>
      <w:r w:rsidR="00064D1B">
        <w:rPr>
          <w:bCs/>
        </w:rPr>
        <w:t xml:space="preserve"> and then select</w:t>
      </w:r>
      <w:r>
        <w:rPr>
          <w:bCs/>
        </w:rPr>
        <w:t xml:space="preserve"> the </w:t>
      </w:r>
      <w:r w:rsidR="0051787A">
        <w:rPr>
          <w:bCs/>
        </w:rPr>
        <w:t xml:space="preserve">most suitable prior range of </w:t>
      </w:r>
      <w:r w:rsidR="0051787A" w:rsidRPr="0051787A">
        <w:rPr>
          <w:bCs/>
          <w:i/>
        </w:rPr>
        <w:t>r</w:t>
      </w:r>
      <w:r w:rsidR="0051787A">
        <w:rPr>
          <w:bCs/>
        </w:rPr>
        <w:t xml:space="preserve"> for the stock in question</w:t>
      </w:r>
      <w:r>
        <w:rPr>
          <w:bCs/>
        </w:rPr>
        <w:t>, independent of the fixed ranges used for the purpose of this study</w:t>
      </w:r>
      <w:r w:rsidR="00064D1B">
        <w:rPr>
          <w:bCs/>
        </w:rPr>
        <w:t xml:space="preserve"> (Table 2)</w:t>
      </w:r>
      <w:r w:rsidR="0051787A">
        <w:rPr>
          <w:bCs/>
        </w:rPr>
        <w:t xml:space="preserve">. </w:t>
      </w:r>
    </w:p>
    <w:p w14:paraId="67FE2AD2" w14:textId="364E2A8E" w:rsidR="004F10CA" w:rsidRDefault="004F10CA" w:rsidP="004E4CDC">
      <w:pPr>
        <w:pStyle w:val="berschrift3"/>
        <w:spacing w:line="480" w:lineRule="auto"/>
      </w:pPr>
      <w:bookmarkStart w:id="22" w:name="_Toc410816100"/>
      <w:r>
        <w:t xml:space="preserve">4.2.2 Other options for obtaining prior ranges for </w:t>
      </w:r>
      <w:r w:rsidRPr="004F10CA">
        <w:rPr>
          <w:i/>
        </w:rPr>
        <w:t>r</w:t>
      </w:r>
      <w:bookmarkEnd w:id="22"/>
      <w:r>
        <w:t xml:space="preserve">  </w:t>
      </w:r>
    </w:p>
    <w:p w14:paraId="1CBDB420" w14:textId="4BDCBB53" w:rsidR="000502EE" w:rsidRDefault="000502EE" w:rsidP="004E4CDC">
      <w:pPr>
        <w:spacing w:after="120" w:line="480" w:lineRule="auto"/>
      </w:pPr>
      <w:r>
        <w:t xml:space="preserve">In the </w:t>
      </w:r>
      <w:r w:rsidR="00B65492">
        <w:t xml:space="preserve">context of the </w:t>
      </w:r>
      <w:r>
        <w:t xml:space="preserve">Schaefer model, half of the maximum intrinsic rate of population increase </w:t>
      </w:r>
      <w:r w:rsidRPr="000502EE">
        <w:rPr>
          <w:i/>
        </w:rPr>
        <w:t>r</w:t>
      </w:r>
      <w:r>
        <w:t xml:space="preserve"> equals the rate of fishing mortality </w:t>
      </w:r>
      <w:r w:rsidRPr="000502EE">
        <w:rPr>
          <w:i/>
        </w:rPr>
        <w:t>F</w:t>
      </w:r>
      <w:r w:rsidRPr="000502EE">
        <w:rPr>
          <w:i/>
          <w:vertAlign w:val="subscript"/>
        </w:rPr>
        <w:t>msy</w:t>
      </w:r>
      <w:r>
        <w:t xml:space="preserve"> that is compatible with </w:t>
      </w:r>
      <w:r w:rsidRPr="000502EE">
        <w:rPr>
          <w:i/>
        </w:rPr>
        <w:t>MSY</w:t>
      </w:r>
      <w:r w:rsidR="00C652E7">
        <w:rPr>
          <w:i/>
        </w:rPr>
        <w:t xml:space="preserve"> </w:t>
      </w:r>
      <w:r w:rsidR="00E5136D">
        <w:t>(Ricker 1975).</w:t>
      </w:r>
      <w:r>
        <w:t xml:space="preserve"> </w:t>
      </w:r>
      <w:r w:rsidRPr="000502EE">
        <w:rPr>
          <w:i/>
        </w:rPr>
        <w:t>F</w:t>
      </w:r>
      <w:r w:rsidRPr="000502EE">
        <w:rPr>
          <w:i/>
          <w:vertAlign w:val="subscript"/>
        </w:rPr>
        <w:t>msy</w:t>
      </w:r>
      <w:r>
        <w:t xml:space="preserve"> itself is closely related with the rate of natural mortality </w:t>
      </w:r>
      <w:r w:rsidRPr="000502EE">
        <w:rPr>
          <w:i/>
        </w:rPr>
        <w:t>M</w:t>
      </w:r>
      <w:r>
        <w:t xml:space="preserve"> (</w:t>
      </w:r>
      <w:r w:rsidR="003E5DE6">
        <w:t xml:space="preserve">Zhou </w:t>
      </w:r>
      <w:r w:rsidR="003E5DE6" w:rsidRPr="00AF3322">
        <w:rPr>
          <w:i/>
        </w:rPr>
        <w:t xml:space="preserve">et </w:t>
      </w:r>
      <w:r w:rsidR="00982302">
        <w:rPr>
          <w:i/>
        </w:rPr>
        <w:t xml:space="preserve">al., </w:t>
      </w:r>
      <w:r w:rsidR="003E5DE6">
        <w:t xml:space="preserve">2012; </w:t>
      </w:r>
      <w:r>
        <w:t xml:space="preserve">Froese </w:t>
      </w:r>
      <w:r w:rsidRPr="00AF3322">
        <w:rPr>
          <w:i/>
        </w:rPr>
        <w:t xml:space="preserve">et </w:t>
      </w:r>
      <w:r w:rsidR="00982302">
        <w:rPr>
          <w:i/>
        </w:rPr>
        <w:t xml:space="preserve">al., </w:t>
      </w:r>
      <w:r>
        <w:t>2014</w:t>
      </w:r>
      <w:r w:rsidR="00D57198">
        <w:t>, 2016</w:t>
      </w:r>
      <w:r>
        <w:t xml:space="preserve">). Thus, if estimates of </w:t>
      </w:r>
      <w:r w:rsidRPr="000502EE">
        <w:rPr>
          <w:i/>
        </w:rPr>
        <w:lastRenderedPageBreak/>
        <w:t>F</w:t>
      </w:r>
      <w:r w:rsidRPr="000502EE">
        <w:rPr>
          <w:i/>
          <w:vertAlign w:val="subscript"/>
        </w:rPr>
        <w:t>msy</w:t>
      </w:r>
      <w:r>
        <w:t xml:space="preserve"> or </w:t>
      </w:r>
      <w:r w:rsidRPr="000502EE">
        <w:rPr>
          <w:i/>
        </w:rPr>
        <w:t>M</w:t>
      </w:r>
      <w:r>
        <w:t xml:space="preserve"> are available for </w:t>
      </w:r>
      <w:r w:rsidR="004632C4">
        <w:t xml:space="preserve">other stocks of </w:t>
      </w:r>
      <w:r>
        <w:t xml:space="preserve">the respective species, or such estimates are available for similar species in the same area, then these estimates can be used to determine prior ranges for parameter </w:t>
      </w:r>
      <w:r w:rsidRPr="000502EE">
        <w:rPr>
          <w:i/>
        </w:rPr>
        <w:t>r</w:t>
      </w:r>
      <w:r>
        <w:t xml:space="preserve">. </w:t>
      </w:r>
      <w:r w:rsidR="00D32A66">
        <w:t xml:space="preserve">Jensen (1996) suggested an evolutionary relationship between natural mortality and the somatic growth parameter </w:t>
      </w:r>
      <w:r w:rsidR="00D32A66" w:rsidRPr="00D32A66">
        <w:rPr>
          <w:i/>
        </w:rPr>
        <w:t>K</w:t>
      </w:r>
      <w:r w:rsidR="00D32A66">
        <w:t xml:space="preserve">, such that </w:t>
      </w:r>
      <w:r w:rsidR="00D32A66" w:rsidRPr="00D32A66">
        <w:rPr>
          <w:i/>
        </w:rPr>
        <w:t>K</w:t>
      </w:r>
      <w:r w:rsidR="00D32A66">
        <w:t xml:space="preserve"> = 2/3 </w:t>
      </w:r>
      <w:r w:rsidR="00D32A66" w:rsidRPr="00D32A66">
        <w:rPr>
          <w:i/>
        </w:rPr>
        <w:t>M</w:t>
      </w:r>
      <w:r w:rsidR="00023072">
        <w:t xml:space="preserve">. Kenchington (2014) examined 29 estimators of natural mortality and concluded that </w:t>
      </w:r>
      <w:r w:rsidR="00023072" w:rsidRPr="00023072">
        <w:rPr>
          <w:i/>
        </w:rPr>
        <w:t>M</w:t>
      </w:r>
      <w:r w:rsidR="00023072">
        <w:rPr>
          <w:i/>
        </w:rPr>
        <w:t xml:space="preserve"> </w:t>
      </w:r>
      <w:r w:rsidR="00023072">
        <w:t xml:space="preserve">= 1.5 </w:t>
      </w:r>
      <w:r w:rsidR="00023072" w:rsidRPr="00023072">
        <w:rPr>
          <w:i/>
        </w:rPr>
        <w:t>K</w:t>
      </w:r>
      <w:r w:rsidR="00023072">
        <w:t xml:space="preserve"> or Pauly’s (1980) </w:t>
      </w:r>
      <w:r w:rsidR="001B3F8D">
        <w:t xml:space="preserve">empirical </w:t>
      </w:r>
      <w:r w:rsidR="00023072">
        <w:t xml:space="preserve">estimator </w:t>
      </w:r>
      <w:r w:rsidR="004632C4">
        <w:t xml:space="preserve">based on growth parameters and temperature </w:t>
      </w:r>
      <w:r w:rsidR="008666E2">
        <w:t xml:space="preserve">or </w:t>
      </w:r>
      <w:r w:rsidR="00BC515A">
        <w:t>maximum age (</w:t>
      </w:r>
      <w:r w:rsidR="00BC515A" w:rsidRPr="00BC515A">
        <w:rPr>
          <w:i/>
        </w:rPr>
        <w:t>t</w:t>
      </w:r>
      <w:r w:rsidR="00BC515A" w:rsidRPr="00BC515A">
        <w:rPr>
          <w:i/>
          <w:vertAlign w:val="subscript"/>
        </w:rPr>
        <w:t>max</w:t>
      </w:r>
      <w:r w:rsidR="00BC515A">
        <w:t xml:space="preserve">) with </w:t>
      </w:r>
      <w:r w:rsidR="008666E2" w:rsidRPr="008666E2">
        <w:rPr>
          <w:i/>
        </w:rPr>
        <w:t>M</w:t>
      </w:r>
      <w:r w:rsidR="008666E2">
        <w:t xml:space="preserve"> = 4.3</w:t>
      </w:r>
      <w:r w:rsidR="00BC515A">
        <w:t>/</w:t>
      </w:r>
      <w:r w:rsidR="00BC515A" w:rsidRPr="00BC515A">
        <w:rPr>
          <w:i/>
        </w:rPr>
        <w:t>t</w:t>
      </w:r>
      <w:r w:rsidR="00BC515A" w:rsidRPr="00BC515A">
        <w:rPr>
          <w:i/>
          <w:vertAlign w:val="subscript"/>
        </w:rPr>
        <w:t>max</w:t>
      </w:r>
      <w:r w:rsidR="008666E2">
        <w:t xml:space="preserve"> </w:t>
      </w:r>
      <w:r w:rsidR="00023072">
        <w:t>can provide useful estimates.</w:t>
      </w:r>
      <w:r w:rsidR="00794DEA">
        <w:t xml:space="preserve"> Generation time </w:t>
      </w:r>
      <w:r w:rsidR="00BC515A">
        <w:t>(</w:t>
      </w:r>
      <w:r w:rsidR="00BC515A" w:rsidRPr="00BC515A">
        <w:rPr>
          <w:i/>
        </w:rPr>
        <w:t>t</w:t>
      </w:r>
      <w:r w:rsidR="00BC515A" w:rsidRPr="00BC515A">
        <w:rPr>
          <w:i/>
          <w:vertAlign w:val="subscript"/>
        </w:rPr>
        <w:t>gen</w:t>
      </w:r>
      <w:r w:rsidR="00BC515A">
        <w:t xml:space="preserve">) </w:t>
      </w:r>
      <w:r w:rsidR="00794DEA">
        <w:t xml:space="preserve">is </w:t>
      </w:r>
      <w:r w:rsidR="009571DC">
        <w:t xml:space="preserve">also a </w:t>
      </w:r>
      <w:r w:rsidR="00794DEA">
        <w:t xml:space="preserve">strong predictor for </w:t>
      </w:r>
      <w:r w:rsidR="00794DEA" w:rsidRPr="009571DC">
        <w:rPr>
          <w:i/>
        </w:rPr>
        <w:t>r</w:t>
      </w:r>
      <w:r w:rsidR="00794DEA">
        <w:t xml:space="preserve"> </w:t>
      </w:r>
      <w:r w:rsidR="009571DC">
        <w:t>(</w:t>
      </w:r>
      <w:r w:rsidR="00622F8D">
        <w:t xml:space="preserve">Myers </w:t>
      </w:r>
      <w:r w:rsidR="00622F8D" w:rsidRPr="00AF3322">
        <w:rPr>
          <w:i/>
        </w:rPr>
        <w:t xml:space="preserve">et </w:t>
      </w:r>
      <w:r w:rsidR="00982302">
        <w:rPr>
          <w:i/>
        </w:rPr>
        <w:t xml:space="preserve">al., </w:t>
      </w:r>
      <w:r w:rsidR="00AF3322">
        <w:t>1999;</w:t>
      </w:r>
      <w:r w:rsidR="00622F8D">
        <w:t xml:space="preserve"> Froese </w:t>
      </w:r>
      <w:r w:rsidR="00622F8D" w:rsidRPr="00AF3322">
        <w:rPr>
          <w:i/>
        </w:rPr>
        <w:t xml:space="preserve">et </w:t>
      </w:r>
      <w:r w:rsidR="00982302">
        <w:rPr>
          <w:i/>
        </w:rPr>
        <w:t xml:space="preserve">al., </w:t>
      </w:r>
      <w:r w:rsidR="00064D1B">
        <w:t>2000;</w:t>
      </w:r>
      <w:r w:rsidR="00622F8D">
        <w:t xml:space="preserve"> </w:t>
      </w:r>
      <w:r w:rsidR="009571DC">
        <w:t xml:space="preserve">McAllister </w:t>
      </w:r>
      <w:r w:rsidR="009571DC" w:rsidRPr="00AF3322">
        <w:rPr>
          <w:i/>
        </w:rPr>
        <w:t xml:space="preserve">et </w:t>
      </w:r>
      <w:r w:rsidR="00982302">
        <w:rPr>
          <w:i/>
        </w:rPr>
        <w:t xml:space="preserve">al., </w:t>
      </w:r>
      <w:r w:rsidR="009571DC">
        <w:t>2001).</w:t>
      </w:r>
      <w:r w:rsidR="00023072">
        <w:t xml:space="preserve"> </w:t>
      </w:r>
      <w:r w:rsidR="00BC515A">
        <w:t>FishBase (Froese and Pauly 2015</w:t>
      </w:r>
      <w:r w:rsidR="00D32A66">
        <w:t>) has compiled</w:t>
      </w:r>
      <w:r w:rsidR="00023072">
        <w:t xml:space="preserve"> mortality estimates for several hundred species and</w:t>
      </w:r>
      <w:r w:rsidR="00D32A66">
        <w:t xml:space="preserve"> </w:t>
      </w:r>
      <w:r w:rsidR="006F1AC0">
        <w:t xml:space="preserve">maximum age and </w:t>
      </w:r>
      <w:r w:rsidR="00D32A66">
        <w:t xml:space="preserve">growth studies for several thousand species, including most commercial species. These published parameter estimates can be used to establish prior ranges for </w:t>
      </w:r>
      <w:r w:rsidR="00D32A66" w:rsidRPr="00D32A66">
        <w:rPr>
          <w:i/>
        </w:rPr>
        <w:t>r</w:t>
      </w:r>
      <w:r w:rsidR="008D7352">
        <w:t>.</w:t>
      </w:r>
      <w:r w:rsidR="009A0BFA">
        <w:t xml:space="preserve"> </w:t>
      </w:r>
      <w:r w:rsidR="00064D1B">
        <w:t>Equation 12</w:t>
      </w:r>
      <w:r w:rsidR="00544A36">
        <w:t xml:space="preserve"> summarizes</w:t>
      </w:r>
      <w:r w:rsidR="00D32A66">
        <w:t xml:space="preserve"> the</w:t>
      </w:r>
      <w:r w:rsidR="00017ABF">
        <w:t xml:space="preserve"> approximate </w:t>
      </w:r>
      <w:r w:rsidR="00D32A66">
        <w:t xml:space="preserve">relation between </w:t>
      </w:r>
      <w:r w:rsidR="00D32A66" w:rsidRPr="00544A36">
        <w:rPr>
          <w:i/>
        </w:rPr>
        <w:t>r</w:t>
      </w:r>
      <w:r w:rsidR="00D32A66">
        <w:t xml:space="preserve"> and other life history parameters that may be more easily available.</w:t>
      </w:r>
    </w:p>
    <w:p w14:paraId="34B3F070" w14:textId="138F1405" w:rsidR="00544A36" w:rsidRDefault="00D32A66" w:rsidP="004E4CDC">
      <w:pPr>
        <w:keepNext/>
        <w:spacing w:after="120" w:line="480" w:lineRule="auto"/>
        <w:rPr>
          <w:rFonts w:eastAsiaTheme="minorEastAsia"/>
        </w:rPr>
      </w:pPr>
      <m:oMath>
        <m:r>
          <w:rPr>
            <w:rFonts w:ascii="Cambria Math" w:hAnsi="Cambria Math"/>
          </w:rPr>
          <m:t xml:space="preserve">r≈2 </m:t>
        </m:r>
        <m:sSub>
          <m:sSubPr>
            <m:ctrlPr>
              <w:rPr>
                <w:rFonts w:ascii="Cambria Math" w:hAnsi="Cambria Math"/>
                <w:i/>
              </w:rPr>
            </m:ctrlPr>
          </m:sSubPr>
          <m:e>
            <m:r>
              <w:rPr>
                <w:rFonts w:ascii="Cambria Math" w:hAnsi="Cambria Math"/>
              </w:rPr>
              <m:t>F</m:t>
            </m:r>
          </m:e>
          <m:sub>
            <m:r>
              <w:rPr>
                <w:rFonts w:ascii="Cambria Math" w:hAnsi="Cambria Math"/>
              </w:rPr>
              <m:t>msy</m:t>
            </m:r>
          </m:sub>
        </m:sSub>
        <m:r>
          <w:rPr>
            <w:rFonts w:ascii="Cambria Math" w:hAnsi="Cambria Math"/>
          </w:rPr>
          <m:t>≈2 M ≈3 K≈3/</m:t>
        </m:r>
        <m:sSub>
          <m:sSubPr>
            <m:ctrlPr>
              <w:rPr>
                <w:rFonts w:ascii="Cambria Math" w:hAnsi="Cambria Math"/>
                <w:i/>
              </w:rPr>
            </m:ctrlPr>
          </m:sSubPr>
          <m:e>
            <m:r>
              <w:rPr>
                <w:rFonts w:ascii="Cambria Math" w:hAnsi="Cambria Math"/>
              </w:rPr>
              <m:t>t</m:t>
            </m:r>
          </m:e>
          <m:sub>
            <m:r>
              <w:rPr>
                <w:rFonts w:ascii="Cambria Math" w:hAnsi="Cambria Math"/>
              </w:rPr>
              <m:t>gen</m:t>
            </m:r>
          </m:sub>
        </m:sSub>
        <m:r>
          <w:rPr>
            <w:rFonts w:ascii="Cambria Math" w:hAnsi="Cambria Math"/>
          </w:rPr>
          <m:t>≈</m:t>
        </m:r>
        <m:f>
          <m:fPr>
            <m:type m:val="lin"/>
            <m:ctrlPr>
              <w:rPr>
                <w:rFonts w:ascii="Cambria Math" w:hAnsi="Cambria Math"/>
                <w:i/>
              </w:rPr>
            </m:ctrlPr>
          </m:fPr>
          <m:num>
            <m:r>
              <w:rPr>
                <w:rFonts w:ascii="Cambria Math" w:hAnsi="Cambria Math"/>
              </w:rPr>
              <m:t>9</m:t>
            </m:r>
          </m:num>
          <m:den>
            <m:sSub>
              <m:sSubPr>
                <m:ctrlPr>
                  <w:rPr>
                    <w:rFonts w:ascii="Cambria Math" w:hAnsi="Cambria Math"/>
                    <w:i/>
                  </w:rPr>
                </m:ctrlPr>
              </m:sSubPr>
              <m:e>
                <m:r>
                  <w:rPr>
                    <w:rFonts w:ascii="Cambria Math" w:hAnsi="Cambria Math"/>
                  </w:rPr>
                  <m:t>t</m:t>
                </m:r>
              </m:e>
              <m:sub>
                <m:r>
                  <w:rPr>
                    <w:rFonts w:ascii="Cambria Math" w:hAnsi="Cambria Math"/>
                  </w:rPr>
                  <m:t>max</m:t>
                </m:r>
              </m:sub>
            </m:sSub>
          </m:den>
        </m:f>
      </m:oMath>
      <w:r w:rsidR="00064D1B">
        <w:rPr>
          <w:rFonts w:eastAsiaTheme="minorEastAsia"/>
        </w:rPr>
        <w:tab/>
      </w:r>
      <w:r w:rsidR="00064D1B">
        <w:rPr>
          <w:rFonts w:eastAsiaTheme="minorEastAsia"/>
        </w:rPr>
        <w:tab/>
      </w:r>
      <w:r w:rsidR="00064D1B">
        <w:rPr>
          <w:rFonts w:eastAsiaTheme="minorEastAsia"/>
        </w:rPr>
        <w:tab/>
      </w:r>
      <w:r w:rsidR="00064D1B">
        <w:rPr>
          <w:rFonts w:eastAsiaTheme="minorEastAsia"/>
        </w:rPr>
        <w:tab/>
      </w:r>
      <w:r w:rsidR="00064D1B">
        <w:rPr>
          <w:rFonts w:eastAsiaTheme="minorEastAsia"/>
        </w:rPr>
        <w:tab/>
      </w:r>
      <w:r w:rsidR="00064D1B">
        <w:rPr>
          <w:rFonts w:eastAsiaTheme="minorEastAsia"/>
        </w:rPr>
        <w:tab/>
      </w:r>
      <w:r w:rsidR="00064D1B">
        <w:rPr>
          <w:rFonts w:eastAsiaTheme="minorEastAsia"/>
        </w:rPr>
        <w:tab/>
        <w:t>(12</w:t>
      </w:r>
      <w:r w:rsidR="009A0BFA">
        <w:rPr>
          <w:rFonts w:eastAsiaTheme="minorEastAsia"/>
        </w:rPr>
        <w:t>)</w:t>
      </w:r>
    </w:p>
    <w:p w14:paraId="2517AED4" w14:textId="3579A1E4" w:rsidR="004F10CA" w:rsidRDefault="004F10CA" w:rsidP="004E4CDC">
      <w:pPr>
        <w:pStyle w:val="berschrift3"/>
        <w:spacing w:line="480" w:lineRule="auto"/>
      </w:pPr>
      <w:bookmarkStart w:id="23" w:name="_Toc410816101"/>
      <w:r>
        <w:t xml:space="preserve">4.2.3 Using maximum catch for obtaining prior ranges for </w:t>
      </w:r>
      <w:r w:rsidRPr="004F10CA">
        <w:rPr>
          <w:i/>
        </w:rPr>
        <w:t>k</w:t>
      </w:r>
      <w:bookmarkEnd w:id="23"/>
      <w:r>
        <w:t xml:space="preserve">    </w:t>
      </w:r>
    </w:p>
    <w:p w14:paraId="189ABF47" w14:textId="69E8A323" w:rsidR="00817909" w:rsidRDefault="00817909" w:rsidP="004E4CDC">
      <w:pPr>
        <w:spacing w:after="120" w:line="480" w:lineRule="auto"/>
      </w:pPr>
      <w:r>
        <w:t xml:space="preserve">There is no </w:t>
      </w:r>
      <w:r w:rsidR="0056615D">
        <w:t>simple</w:t>
      </w:r>
      <w:r>
        <w:t xml:space="preserve"> predictor for the unexploited size of a population because</w:t>
      </w:r>
      <w:r w:rsidR="00017ABF">
        <w:t xml:space="preserve"> estimates of </w:t>
      </w:r>
      <w:r w:rsidR="0045278B">
        <w:t>abundance typical</w:t>
      </w:r>
      <w:r w:rsidR="00043954">
        <w:t>ly</w:t>
      </w:r>
      <w:r w:rsidR="0045278B">
        <w:t xml:space="preserve"> start well after fishing</w:t>
      </w:r>
      <w:r>
        <w:t xml:space="preserve"> has substantially reduced stock size. </w:t>
      </w:r>
      <w:r w:rsidR="001120E9">
        <w:t xml:space="preserve">However, </w:t>
      </w:r>
      <w:r>
        <w:t xml:space="preserve">it is highly unlikely that a fishery catches </w:t>
      </w:r>
      <w:r w:rsidR="00E5136D">
        <w:t>the whole stock</w:t>
      </w:r>
      <w:r>
        <w:t xml:space="preserve"> in a single year, and thus it is safe to assume that the maximum catch in a time series will be smaller than </w:t>
      </w:r>
      <w:r w:rsidR="00043954">
        <w:t xml:space="preserve">the </w:t>
      </w:r>
      <w:r>
        <w:t xml:space="preserve">unexploited stock size </w:t>
      </w:r>
      <w:r w:rsidRPr="00817909">
        <w:rPr>
          <w:i/>
        </w:rPr>
        <w:t>k</w:t>
      </w:r>
      <w:r w:rsidR="00017ABF">
        <w:t xml:space="preserve">. Therefore, maximum catch modulated by productivity was used as a reference point for determining prior ranges of </w:t>
      </w:r>
      <w:r w:rsidR="00017ABF" w:rsidRPr="00017ABF">
        <w:rPr>
          <w:i/>
        </w:rPr>
        <w:t>k</w:t>
      </w:r>
      <w:r w:rsidR="0056615D">
        <w:t xml:space="preserve">. It can be argued that catch data are the main input of CMSY and that catch must therefore be treated as unknown when establishing priors (e.g. Kruschke 2011). </w:t>
      </w:r>
      <w:r w:rsidR="0065106C">
        <w:t xml:space="preserve">However, </w:t>
      </w:r>
      <w:r w:rsidR="00F21958">
        <w:t xml:space="preserve">the prior knowledge </w:t>
      </w:r>
      <w:r w:rsidR="0056615D">
        <w:t xml:space="preserve">used here is not the catch itself but the knowledge </w:t>
      </w:r>
      <w:r w:rsidR="00100512">
        <w:t xml:space="preserve">that the unknown </w:t>
      </w:r>
      <w:r w:rsidR="00100512" w:rsidRPr="00100512">
        <w:rPr>
          <w:i/>
        </w:rPr>
        <w:t>k</w:t>
      </w:r>
      <w:r w:rsidR="00100512">
        <w:t xml:space="preserve"> must be larger than the maximum catch</w:t>
      </w:r>
      <w:r w:rsidR="0084315D">
        <w:t xml:space="preserve"> and that populations with high productivity can sustain larger maximum catches</w:t>
      </w:r>
      <w:r w:rsidR="0045278B">
        <w:t xml:space="preserve"> relative to </w:t>
      </w:r>
      <w:r w:rsidR="0045278B" w:rsidRPr="0045278B">
        <w:rPr>
          <w:i/>
        </w:rPr>
        <w:t>k</w:t>
      </w:r>
      <w:r w:rsidR="00100512">
        <w:t xml:space="preserve">. </w:t>
      </w:r>
      <w:r w:rsidR="00BD2212">
        <w:t xml:space="preserve">For </w:t>
      </w:r>
      <w:r w:rsidR="00100512">
        <w:t>the</w:t>
      </w:r>
      <w:r w:rsidR="00BD2212">
        <w:t xml:space="preserve"> wide range of species </w:t>
      </w:r>
      <w:r w:rsidR="00BD2212">
        <w:lastRenderedPageBreak/>
        <w:t>and stocks</w:t>
      </w:r>
      <w:r w:rsidR="00ED7BB7">
        <w:t xml:space="preserve"> </w:t>
      </w:r>
      <w:r w:rsidR="00BD2212">
        <w:t>examined</w:t>
      </w:r>
      <w:r w:rsidR="00100512">
        <w:t xml:space="preserve"> in this study, </w:t>
      </w:r>
      <w:r w:rsidR="005D31B7">
        <w:t xml:space="preserve">the prior range for </w:t>
      </w:r>
      <w:r w:rsidR="005D31B7" w:rsidRPr="005D31B7">
        <w:rPr>
          <w:i/>
        </w:rPr>
        <w:t>k</w:t>
      </w:r>
      <w:r w:rsidR="005D31B7">
        <w:t xml:space="preserve"> </w:t>
      </w:r>
      <w:r w:rsidR="00BD2212">
        <w:t>was suitable</w:t>
      </w:r>
      <w:r w:rsidR="0084315D">
        <w:t xml:space="preserve"> </w:t>
      </w:r>
      <w:r w:rsidR="00064D1B">
        <w:t xml:space="preserve">for </w:t>
      </w:r>
      <w:r w:rsidR="00BD2212">
        <w:t>CMSY and BSM analyses</w:t>
      </w:r>
      <w:r w:rsidR="0065106C">
        <w:t>,</w:t>
      </w:r>
      <w:r w:rsidR="00BD2212">
        <w:t xml:space="preserve"> and thus </w:t>
      </w:r>
      <w:r w:rsidR="0084315D">
        <w:t>seem</w:t>
      </w:r>
      <w:r w:rsidR="00BD2212">
        <w:t>s</w:t>
      </w:r>
      <w:r w:rsidR="0084315D">
        <w:t xml:space="preserve"> fit for general use.</w:t>
      </w:r>
      <w:r w:rsidR="00F21958">
        <w:t xml:space="preserve"> </w:t>
      </w:r>
    </w:p>
    <w:p w14:paraId="03A8CC7B" w14:textId="526C5D97" w:rsidR="004F10CA" w:rsidRDefault="00874594" w:rsidP="004E4CDC">
      <w:pPr>
        <w:pStyle w:val="berschrift3"/>
        <w:spacing w:line="480" w:lineRule="auto"/>
      </w:pPr>
      <w:bookmarkStart w:id="24" w:name="_Toc410816102"/>
      <w:r>
        <w:t>4.2.4 Is</w:t>
      </w:r>
      <w:r w:rsidR="00ED7BB7">
        <w:t xml:space="preserve"> </w:t>
      </w:r>
      <w:r w:rsidR="008909D6">
        <w:t>the use of</w:t>
      </w:r>
      <w:r>
        <w:t xml:space="preserve"> known stock status as prior for biomass</w:t>
      </w:r>
      <w:r w:rsidR="00ED7BB7">
        <w:t xml:space="preserve"> circular logic</w:t>
      </w:r>
      <w:r>
        <w:t>?</w:t>
      </w:r>
      <w:bookmarkEnd w:id="24"/>
    </w:p>
    <w:p w14:paraId="7040C557" w14:textId="30CF14C8" w:rsidR="00955BD9" w:rsidRDefault="00ED7BB7" w:rsidP="00DE4D38">
      <w:pPr>
        <w:spacing w:after="120" w:line="480" w:lineRule="auto"/>
      </w:pPr>
      <w:r>
        <w:t>B</w:t>
      </w:r>
      <w:r w:rsidR="0084315D">
        <w:t>road estimates of relative biomass at the beginning and the end of the time series</w:t>
      </w:r>
      <w:r>
        <w:t xml:space="preserve"> </w:t>
      </w:r>
      <w:r w:rsidR="00955BD9">
        <w:t xml:space="preserve">of catches </w:t>
      </w:r>
      <w:r>
        <w:t>are required inputs for CMSY</w:t>
      </w:r>
      <w:r w:rsidR="0084315D">
        <w:t>. For the purpose of this study</w:t>
      </w:r>
      <w:r w:rsidR="00955BD9">
        <w:t>, these prior biomass ranges were set by default rules as Low, Medium or High (Table 2). The default rules gave satisfactory results in about 2/3 of the stocks. But in 34% of the stocks the prior for final biomass had to be corrected to include</w:t>
      </w:r>
      <w:r w:rsidR="001D4A91">
        <w:t>,</w:t>
      </w:r>
      <w:r w:rsidR="00955BD9">
        <w:t xml:space="preserve"> or nearly include</w:t>
      </w:r>
      <w:r w:rsidR="001D4A91">
        <w:t>,</w:t>
      </w:r>
      <w:r w:rsidR="00955BD9">
        <w:t xml:space="preserve"> observed abundance. Thus, </w:t>
      </w:r>
      <w:r w:rsidR="00064D1B">
        <w:t>one third of the</w:t>
      </w:r>
      <w:r w:rsidR="00955BD9">
        <w:t xml:space="preserve"> analyses presented in this study refer to a case where experts had selected prior </w:t>
      </w:r>
      <w:r w:rsidR="001D4A91">
        <w:t>biomass</w:t>
      </w:r>
      <w:r w:rsidR="00955BD9">
        <w:t xml:space="preserve"> ranges that were compatible with </w:t>
      </w:r>
      <w:r w:rsidR="001D4A91">
        <w:t xml:space="preserve">the true status of the stock. While this may sound like circular logic, independent knowledge about stock status often exists and its inclusion in the analysis is </w:t>
      </w:r>
      <w:r w:rsidR="00064D1B">
        <w:t>then mandatory</w:t>
      </w:r>
      <w:r w:rsidR="001D4A91">
        <w:t xml:space="preserve"> in a Bayesian context (</w:t>
      </w:r>
      <w:r w:rsidR="004F42C4">
        <w:t xml:space="preserve">Gelman et al. 1995; </w:t>
      </w:r>
      <w:r w:rsidR="001D4A91">
        <w:t>Kruschke 2011)</w:t>
      </w:r>
      <w:r w:rsidR="00955BD9">
        <w:t xml:space="preserve"> </w:t>
      </w:r>
    </w:p>
    <w:p w14:paraId="197C3257" w14:textId="32FA6014" w:rsidR="00A538F9" w:rsidRDefault="00A538F9" w:rsidP="00A538F9">
      <w:pPr>
        <w:spacing w:after="120" w:line="480" w:lineRule="auto"/>
      </w:pPr>
      <w:r>
        <w:t>For example, it is well known that the North Sea herring stock (</w:t>
      </w:r>
      <w:r w:rsidRPr="007B0772">
        <w:rPr>
          <w:i/>
        </w:rPr>
        <w:t>Clupea harengus</w:t>
      </w:r>
      <w:r>
        <w:t>,</w:t>
      </w:r>
      <w:r w:rsidR="00B03DCC">
        <w:t xml:space="preserve"> Clupeidae,</w:t>
      </w:r>
      <w:r>
        <w:t xml:space="preserve"> her-47d3) was in reasonably good state in the 1950s, collapsed in the 1970s, and has recovered in recent years. FishBase gives the resilience of this species as </w:t>
      </w:r>
      <w:r w:rsidR="0065106C">
        <w:t>M</w:t>
      </w:r>
      <w:r>
        <w:t xml:space="preserve">edium. This very general information combined with the time series of catches suffices to produce CMSY estimates of </w:t>
      </w:r>
      <w:r w:rsidRPr="00D36A70">
        <w:rPr>
          <w:i/>
        </w:rPr>
        <w:t>r</w:t>
      </w:r>
      <w:r>
        <w:t xml:space="preserve">, </w:t>
      </w:r>
      <w:r w:rsidRPr="00D36A70">
        <w:rPr>
          <w:i/>
        </w:rPr>
        <w:t>k</w:t>
      </w:r>
      <w:r>
        <w:t xml:space="preserve">, </w:t>
      </w:r>
      <w:r w:rsidRPr="00D36A70">
        <w:rPr>
          <w:i/>
        </w:rPr>
        <w:t>MSY</w:t>
      </w:r>
      <w:r>
        <w:t xml:space="preserve">, and trajectories of biomass and exploitation that are similar to the respective estimates produced by </w:t>
      </w:r>
      <w:r w:rsidR="00064D1B">
        <w:t>BSM</w:t>
      </w:r>
      <w:r>
        <w:t xml:space="preserve"> and by regular stock assessment (</w:t>
      </w:r>
      <w:r w:rsidRPr="00064D1B">
        <w:t>Figure 2</w:t>
      </w:r>
      <w:r>
        <w:t xml:space="preserve">). </w:t>
      </w:r>
    </w:p>
    <w:p w14:paraId="40757192" w14:textId="0E266635" w:rsidR="00EA6741" w:rsidRDefault="00EA6741" w:rsidP="00A538F9">
      <w:pPr>
        <w:spacing w:after="120" w:line="480" w:lineRule="auto"/>
      </w:pPr>
      <w:r>
        <w:t>[Figure 2 near here]</w:t>
      </w:r>
    </w:p>
    <w:p w14:paraId="4CA3F83E" w14:textId="07A2D782" w:rsidR="00A538F9" w:rsidRDefault="00A538F9" w:rsidP="00A538F9">
      <w:pPr>
        <w:spacing w:after="120" w:line="480" w:lineRule="auto"/>
      </w:pPr>
      <w:r>
        <w:t>Other examples of well-known stock status histories are Georges Bank cod (</w:t>
      </w:r>
      <w:r w:rsidRPr="007B0772">
        <w:rPr>
          <w:i/>
        </w:rPr>
        <w:t>Gadus morhua</w:t>
      </w:r>
      <w:r>
        <w:t xml:space="preserve">, </w:t>
      </w:r>
      <w:r w:rsidR="00B03DCC">
        <w:t xml:space="preserve">Gadidae, </w:t>
      </w:r>
      <w:r>
        <w:t>Cod_GB), which was overfished in the 1980s, collapsed in the 1990s, and has not recovered since, or Arctic cod (</w:t>
      </w:r>
      <w:r w:rsidR="00B03DCC" w:rsidRPr="007B0772">
        <w:rPr>
          <w:i/>
        </w:rPr>
        <w:t>Gadus morhua</w:t>
      </w:r>
      <w:r w:rsidR="00B03DCC">
        <w:t xml:space="preserve">, Gadidae, </w:t>
      </w:r>
      <w:r>
        <w:t xml:space="preserve">cod-arct), which was abundant in the early 1950s, was near collapse in 1990, and recovered in recent years. </w:t>
      </w:r>
    </w:p>
    <w:p w14:paraId="5B8B751B" w14:textId="7846FAB0" w:rsidR="00C8076D" w:rsidRDefault="003816B2" w:rsidP="00DE4D38">
      <w:pPr>
        <w:spacing w:after="120" w:line="480" w:lineRule="auto"/>
      </w:pPr>
      <w:r>
        <w:lastRenderedPageBreak/>
        <w:t>Some preliminary</w:t>
      </w:r>
      <w:r w:rsidR="00C8076D">
        <w:t xml:space="preserve"> testing of the sensitivity of CMSY to </w:t>
      </w:r>
      <w:r w:rsidR="0065106C">
        <w:t xml:space="preserve">incorrectly </w:t>
      </w:r>
      <w:r w:rsidR="00C8076D">
        <w:t xml:space="preserve">set prior biomass </w:t>
      </w:r>
      <w:r w:rsidR="004F42C4">
        <w:t>ranges</w:t>
      </w:r>
      <w:r w:rsidR="008A7C89">
        <w:t xml:space="preserve"> </w:t>
      </w:r>
      <w:r>
        <w:t xml:space="preserve">was </w:t>
      </w:r>
      <w:r w:rsidR="001D391F">
        <w:t xml:space="preserve">done </w:t>
      </w:r>
      <w:r w:rsidR="004F42C4">
        <w:t>at the WKLIFE V workshop (ICES 2015)</w:t>
      </w:r>
      <w:r w:rsidR="00C8076D">
        <w:t xml:space="preserve">. As expected, especially long time series were able to recover from </w:t>
      </w:r>
      <w:r w:rsidR="0065106C">
        <w:t xml:space="preserve">incorrectly </w:t>
      </w:r>
      <w:r w:rsidR="008A7C89">
        <w:t xml:space="preserve">set initial or intermediate prior biomass ranges, but not from </w:t>
      </w:r>
      <w:r w:rsidR="0065106C">
        <w:t xml:space="preserve">incorrectly </w:t>
      </w:r>
      <w:r w:rsidR="008A7C89">
        <w:t>set final biomass ranges, because</w:t>
      </w:r>
      <w:r>
        <w:t>,</w:t>
      </w:r>
      <w:r w:rsidR="008A7C89">
        <w:t xml:space="preserve"> by design, final biomass estimates outside the prior range are discarded by the </w:t>
      </w:r>
      <w:r w:rsidR="007458E3">
        <w:t xml:space="preserve">CMSY </w:t>
      </w:r>
      <w:r w:rsidR="008A7C89">
        <w:t xml:space="preserve">algorithm. </w:t>
      </w:r>
      <w:r w:rsidR="00C8076D">
        <w:t xml:space="preserve">  </w:t>
      </w:r>
    </w:p>
    <w:p w14:paraId="5BBD3A83" w14:textId="0D1F98F9" w:rsidR="001D391F" w:rsidRDefault="00750066" w:rsidP="00DE4D38">
      <w:pPr>
        <w:spacing w:after="120" w:line="480" w:lineRule="auto"/>
      </w:pPr>
      <w:r>
        <w:t xml:space="preserve">However, </w:t>
      </w:r>
      <w:r w:rsidR="005D2398">
        <w:t>similar</w:t>
      </w:r>
      <w:r>
        <w:t xml:space="preserve"> constraints </w:t>
      </w:r>
      <w:r w:rsidR="005D2398">
        <w:t>also apply to many data-limited and data-moderate assessments based on conventional age-structured models (Ludwig and Walters</w:t>
      </w:r>
      <w:r w:rsidR="005F468C">
        <w:t xml:space="preserve"> 1989; Mangel </w:t>
      </w:r>
      <w:r w:rsidR="005F468C" w:rsidRPr="00393DFB">
        <w:rPr>
          <w:i/>
        </w:rPr>
        <w:t>et al.</w:t>
      </w:r>
      <w:r w:rsidR="005F468C">
        <w:t xml:space="preserve"> 2</w:t>
      </w:r>
      <w:r w:rsidR="005D2398">
        <w:t>0</w:t>
      </w:r>
      <w:r w:rsidR="005F468C">
        <w:t>1</w:t>
      </w:r>
      <w:r w:rsidR="005D2398">
        <w:t xml:space="preserve">3). Firstly, in the absence of complete catch time series </w:t>
      </w:r>
      <w:r w:rsidR="00F279D2">
        <w:t>that date</w:t>
      </w:r>
      <w:r w:rsidR="005D2398">
        <w:t xml:space="preserve"> back to the onset of the fishery,</w:t>
      </w:r>
      <w:r w:rsidR="00144D1C">
        <w:t xml:space="preserve"> it is typically necessary to enforce reasonable </w:t>
      </w:r>
      <w:r w:rsidR="005D2398">
        <w:t>initial</w:t>
      </w:r>
      <w:r w:rsidR="005F468C">
        <w:t xml:space="preserve"> or current</w:t>
      </w:r>
      <w:r w:rsidR="005D2398">
        <w:t xml:space="preserve"> </w:t>
      </w:r>
      <w:r w:rsidR="00144D1C">
        <w:t>biomass estimates through</w:t>
      </w:r>
      <w:r w:rsidR="005D2398">
        <w:t xml:space="preserve"> informative prior </w:t>
      </w:r>
      <w:r w:rsidR="00F279D2">
        <w:t>or</w:t>
      </w:r>
      <w:r w:rsidR="005D2398">
        <w:t xml:space="preserve"> penalties</w:t>
      </w:r>
      <w:r w:rsidR="005F468C">
        <w:t xml:space="preserve"> (e.g. Punt and Hilborn 1997)</w:t>
      </w:r>
      <w:r w:rsidR="005D2398">
        <w:t xml:space="preserve">. Secondly, key parameters such as </w:t>
      </w:r>
      <w:r w:rsidR="00144D1C">
        <w:t xml:space="preserve">the </w:t>
      </w:r>
      <w:r w:rsidR="005D2398">
        <w:t xml:space="preserve">natural mortality or the steepness of the assumed </w:t>
      </w:r>
      <w:r w:rsidR="00F279D2">
        <w:t>spawner-recruitment relationship are often fixed</w:t>
      </w:r>
      <w:r w:rsidR="00144D1C">
        <w:t xml:space="preserve"> or heavily constrained</w:t>
      </w:r>
      <w:r w:rsidR="00F279D2">
        <w:t>, due to</w:t>
      </w:r>
      <w:r w:rsidR="00144D1C">
        <w:t xml:space="preserve"> </w:t>
      </w:r>
      <w:r w:rsidR="00F279D2">
        <w:t xml:space="preserve">limited information in the available data (Lee et al. </w:t>
      </w:r>
      <w:r w:rsidR="00393DFB">
        <w:t>2011, 2012</w:t>
      </w:r>
      <w:r w:rsidR="00F279D2">
        <w:t>)</w:t>
      </w:r>
      <w:r w:rsidR="00144D1C">
        <w:t xml:space="preserve">. This means that </w:t>
      </w:r>
      <w:r w:rsidR="00A308CD">
        <w:t xml:space="preserve">other </w:t>
      </w:r>
      <w:r w:rsidR="00F279D2">
        <w:t>important reference points</w:t>
      </w:r>
      <w:r w:rsidR="00A308CD">
        <w:t xml:space="preserve"> and thus the outcome of the assessment may be</w:t>
      </w:r>
      <w:r w:rsidR="00F279D2">
        <w:t xml:space="preserve"> determined</w:t>
      </w:r>
      <w:r w:rsidR="00144D1C">
        <w:t xml:space="preserve"> a priori</w:t>
      </w:r>
      <w:r w:rsidR="0098551A">
        <w:t xml:space="preserve"> (Mangel </w:t>
      </w:r>
      <w:r w:rsidR="0098551A" w:rsidRPr="0098551A">
        <w:rPr>
          <w:i/>
        </w:rPr>
        <w:t>et al.</w:t>
      </w:r>
      <w:r w:rsidR="0098551A">
        <w:t xml:space="preserve"> 2013)</w:t>
      </w:r>
      <w:r w:rsidR="00F279D2">
        <w:t xml:space="preserve">. </w:t>
      </w:r>
      <w:r w:rsidR="00144D1C">
        <w:t>By comparison, CMSY admits broad uncertainty in resilience and productivity and may there</w:t>
      </w:r>
      <w:r w:rsidR="00F3737B">
        <w:t>fore</w:t>
      </w:r>
      <w:r w:rsidR="00144D1C">
        <w:t xml:space="preserve"> be </w:t>
      </w:r>
      <w:r w:rsidR="00F3737B">
        <w:t xml:space="preserve">more </w:t>
      </w:r>
      <w:r w:rsidR="00144D1C">
        <w:t xml:space="preserve">robust to </w:t>
      </w:r>
      <w:r w:rsidR="006A7088">
        <w:t>model misspecifications</w:t>
      </w:r>
      <w:r w:rsidR="00F3737B">
        <w:t xml:space="preserve"> (Thorson </w:t>
      </w:r>
      <w:r w:rsidR="00F3737B" w:rsidRPr="00393DFB">
        <w:rPr>
          <w:i/>
        </w:rPr>
        <w:t>et al.</w:t>
      </w:r>
      <w:r w:rsidR="00F3737B">
        <w:t xml:space="preserve"> 2014).</w:t>
      </w:r>
      <w:r w:rsidR="00144D1C">
        <w:t xml:space="preserve"> In summary, the inclusion of independent knowledge about stock status</w:t>
      </w:r>
      <w:r w:rsidR="00236014">
        <w:t xml:space="preserve"> is neither unique to CMSY nor </w:t>
      </w:r>
      <w:r w:rsidR="00144D1C">
        <w:t>circular logic but mandatory in a Bayesian-type analysi</w:t>
      </w:r>
      <w:r w:rsidR="00F01C98">
        <w:t>s</w:t>
      </w:r>
      <w:r w:rsidR="00144D1C">
        <w:t>. CMSY is most sensitive to incorrect setting of final prior biomass, but experts and stakeholders for a given stock are likely to have reasonably correct knowledge about current stock status.</w:t>
      </w:r>
    </w:p>
    <w:p w14:paraId="2DD292B2" w14:textId="5E769E0C" w:rsidR="00874594" w:rsidRDefault="001D391F" w:rsidP="00771A00">
      <w:pPr>
        <w:pStyle w:val="berschrift3"/>
        <w:spacing w:line="480" w:lineRule="auto"/>
      </w:pPr>
      <w:r>
        <w:t>4.2.5 Data requirements of CMSY compared to other methods</w:t>
      </w:r>
    </w:p>
    <w:p w14:paraId="02529527" w14:textId="4CF64CB7" w:rsidR="00C211C3" w:rsidRDefault="00F54FBF" w:rsidP="00771A00">
      <w:pPr>
        <w:spacing w:after="120" w:line="480" w:lineRule="auto"/>
      </w:pPr>
      <w:r w:rsidRPr="00F54FBF">
        <w:t xml:space="preserve">In comparison with other </w:t>
      </w:r>
      <w:r>
        <w:t xml:space="preserve">methods proposed for data-limited stock assessment, the requirements of CMSY (catch, qualitative resilience and </w:t>
      </w:r>
      <w:r w:rsidR="001A7DE5">
        <w:t xml:space="preserve">qualitative </w:t>
      </w:r>
      <w:r>
        <w:t>stock status) appear modest. For example,</w:t>
      </w:r>
      <w:r w:rsidR="00911F89">
        <w:t xml:space="preserve"> </w:t>
      </w:r>
      <w:r w:rsidR="001A7DE5">
        <w:t xml:space="preserve">the DCAC method (MacCall 2009), which estimates a sustainable catch-level below </w:t>
      </w:r>
      <w:r w:rsidR="001A7DE5" w:rsidRPr="001A7DE5">
        <w:rPr>
          <w:i/>
        </w:rPr>
        <w:t>MSY</w:t>
      </w:r>
      <w:r w:rsidR="001A7DE5">
        <w:t xml:space="preserve">, requires catch, relative depletion, </w:t>
      </w:r>
      <w:r w:rsidR="001A7DE5" w:rsidRPr="001A7DE5">
        <w:rPr>
          <w:i/>
        </w:rPr>
        <w:t>M</w:t>
      </w:r>
      <w:r w:rsidR="001A7DE5">
        <w:t xml:space="preserve"> and </w:t>
      </w:r>
      <w:r w:rsidR="001A7DE5" w:rsidRPr="001A7DE5">
        <w:rPr>
          <w:i/>
        </w:rPr>
        <w:t>F</w:t>
      </w:r>
      <w:r w:rsidR="001A7DE5" w:rsidRPr="001A7DE5">
        <w:rPr>
          <w:i/>
          <w:vertAlign w:val="subscript"/>
        </w:rPr>
        <w:t>msy</w:t>
      </w:r>
      <w:r w:rsidR="001A7DE5" w:rsidRPr="001A7DE5">
        <w:t>/</w:t>
      </w:r>
      <w:r w:rsidR="001A7DE5" w:rsidRPr="001A7DE5">
        <w:rPr>
          <w:i/>
        </w:rPr>
        <w:t>M</w:t>
      </w:r>
      <w:r w:rsidR="001A7DE5">
        <w:t xml:space="preserve"> as inputs. The DB-SRA method</w:t>
      </w:r>
      <w:r w:rsidR="005037B1">
        <w:t xml:space="preserve"> (Dick and MacCall 2011)</w:t>
      </w:r>
      <w:r w:rsidR="001A7DE5">
        <w:t xml:space="preserve">, which estimates </w:t>
      </w:r>
      <w:r w:rsidR="001A7DE5">
        <w:lastRenderedPageBreak/>
        <w:t xml:space="preserve">biomass, </w:t>
      </w:r>
      <w:r w:rsidR="001A7DE5" w:rsidRPr="001A7DE5">
        <w:rPr>
          <w:i/>
        </w:rPr>
        <w:t>MSY</w:t>
      </w:r>
      <w:r w:rsidR="001A7DE5">
        <w:t xml:space="preserve">, </w:t>
      </w:r>
      <w:r w:rsidR="001A7DE5">
        <w:rPr>
          <w:i/>
        </w:rPr>
        <w:t>B</w:t>
      </w:r>
      <w:r w:rsidR="001A7DE5" w:rsidRPr="001A7DE5">
        <w:rPr>
          <w:i/>
          <w:vertAlign w:val="subscript"/>
        </w:rPr>
        <w:t>msy</w:t>
      </w:r>
      <w:r w:rsidR="001A7DE5">
        <w:t xml:space="preserve"> and exploitation rate, requires catch, relative depletion, </w:t>
      </w:r>
      <w:r w:rsidR="001A7DE5" w:rsidRPr="001A7DE5">
        <w:rPr>
          <w:i/>
        </w:rPr>
        <w:t>M</w:t>
      </w:r>
      <w:r w:rsidR="001A7DE5">
        <w:t xml:space="preserve">, </w:t>
      </w:r>
      <w:r w:rsidR="001A7DE5" w:rsidRPr="001A7DE5">
        <w:rPr>
          <w:i/>
        </w:rPr>
        <w:t>F</w:t>
      </w:r>
      <w:r w:rsidR="001A7DE5" w:rsidRPr="001A7DE5">
        <w:rPr>
          <w:i/>
          <w:vertAlign w:val="subscript"/>
        </w:rPr>
        <w:t>msy</w:t>
      </w:r>
      <w:r w:rsidR="001A7DE5" w:rsidRPr="001A7DE5">
        <w:t>/</w:t>
      </w:r>
      <w:r w:rsidR="001A7DE5" w:rsidRPr="001A7DE5">
        <w:rPr>
          <w:i/>
        </w:rPr>
        <w:t>M</w:t>
      </w:r>
      <w:r w:rsidR="001A7DE5">
        <w:t xml:space="preserve">, </w:t>
      </w:r>
      <w:r w:rsidR="001A7DE5">
        <w:rPr>
          <w:i/>
        </w:rPr>
        <w:t>B</w:t>
      </w:r>
      <w:r w:rsidR="001A7DE5" w:rsidRPr="001A7DE5">
        <w:rPr>
          <w:i/>
          <w:vertAlign w:val="subscript"/>
        </w:rPr>
        <w:t>msy</w:t>
      </w:r>
      <w:r w:rsidR="001A7DE5">
        <w:t>/</w:t>
      </w:r>
      <w:r w:rsidR="001A7DE5">
        <w:rPr>
          <w:i/>
        </w:rPr>
        <w:t>B</w:t>
      </w:r>
      <w:r w:rsidR="001A7DE5">
        <w:rPr>
          <w:i/>
          <w:vertAlign w:val="subscript"/>
        </w:rPr>
        <w:t>0</w:t>
      </w:r>
      <w:r w:rsidR="001A7DE5">
        <w:t xml:space="preserve"> and age at maturity as inputs. </w:t>
      </w:r>
      <w:r w:rsidR="00855C0D">
        <w:t>The COMSIR method (Vasc</w:t>
      </w:r>
      <w:r w:rsidR="00A27B35">
        <w:t xml:space="preserve">oncellos and Cochrane </w:t>
      </w:r>
      <w:r w:rsidR="00855C0D">
        <w:t xml:space="preserve">2005), which estimates stock status, production and exploitation rates, requires catch, priors for </w:t>
      </w:r>
      <w:r w:rsidR="00855C0D" w:rsidRPr="00855C0D">
        <w:rPr>
          <w:i/>
        </w:rPr>
        <w:t>r</w:t>
      </w:r>
      <w:r w:rsidR="00855C0D">
        <w:t xml:space="preserve"> and </w:t>
      </w:r>
      <w:r w:rsidR="00855C0D" w:rsidRPr="00855C0D">
        <w:rPr>
          <w:i/>
        </w:rPr>
        <w:t>k</w:t>
      </w:r>
      <w:r w:rsidR="00855C0D">
        <w:t>, relative bioeconomic equilibrium, and increase of harvest rate over time as inputs.</w:t>
      </w:r>
      <w:r w:rsidR="001A7DE5">
        <w:t xml:space="preserve"> </w:t>
      </w:r>
      <w:r w:rsidR="00371538">
        <w:t xml:space="preserve">The SSCOM method (Thorson </w:t>
      </w:r>
      <w:r w:rsidR="00371538" w:rsidRPr="00AF3322">
        <w:rPr>
          <w:i/>
        </w:rPr>
        <w:t xml:space="preserve">et </w:t>
      </w:r>
      <w:r w:rsidR="00982302">
        <w:rPr>
          <w:i/>
        </w:rPr>
        <w:t xml:space="preserve">al., </w:t>
      </w:r>
      <w:r w:rsidR="00371538">
        <w:t xml:space="preserve">2013), which predicts stock status and productivity, requires catch, priors for unexploited biomass, initial effort, and parameters of an effort-dynamics model. </w:t>
      </w:r>
      <w:r w:rsidR="00A27B35">
        <w:t>R</w:t>
      </w:r>
      <w:r w:rsidR="00CE3778">
        <w:t>eview</w:t>
      </w:r>
      <w:r w:rsidR="00A27B35">
        <w:t>s</w:t>
      </w:r>
      <w:r w:rsidR="00CE3778">
        <w:t xml:space="preserve"> of</w:t>
      </w:r>
      <w:r w:rsidR="00855C0D">
        <w:t xml:space="preserve"> these and other data-limited methods concluded that the Catch</w:t>
      </w:r>
      <w:r w:rsidR="00CE3778">
        <w:t xml:space="preserve">-MSY method (Martell and Froese 2013), of which CMSY is an advanced implementation, performed best with respect to proportional error </w:t>
      </w:r>
      <w:r w:rsidR="00371538">
        <w:t xml:space="preserve">in predictions </w:t>
      </w:r>
      <w:r w:rsidR="00CE3778">
        <w:t>(ICES 2014</w:t>
      </w:r>
      <w:r w:rsidR="00AF3322">
        <w:t>;</w:t>
      </w:r>
      <w:r w:rsidR="00D55D5D">
        <w:t xml:space="preserve"> Rosenberg </w:t>
      </w:r>
      <w:r w:rsidR="00D55D5D" w:rsidRPr="00AF3322">
        <w:rPr>
          <w:i/>
        </w:rPr>
        <w:t xml:space="preserve">et </w:t>
      </w:r>
      <w:r w:rsidR="00982302">
        <w:rPr>
          <w:i/>
        </w:rPr>
        <w:t xml:space="preserve">al. </w:t>
      </w:r>
      <w:r w:rsidR="00D55D5D">
        <w:t>2014</w:t>
      </w:r>
      <w:r w:rsidR="00CE3778">
        <w:t xml:space="preserve">). </w:t>
      </w:r>
      <w:r w:rsidR="00855C0D">
        <w:t xml:space="preserve">  </w:t>
      </w:r>
    </w:p>
    <w:p w14:paraId="3530AE85" w14:textId="0A05C770" w:rsidR="009A772E" w:rsidRPr="00874594" w:rsidRDefault="003751FC" w:rsidP="004E4CDC">
      <w:pPr>
        <w:pStyle w:val="berschrift2"/>
        <w:spacing w:line="480" w:lineRule="auto"/>
      </w:pPr>
      <w:bookmarkStart w:id="25" w:name="_Toc410816103"/>
      <w:r>
        <w:t>4.3</w:t>
      </w:r>
      <w:r w:rsidR="00874594" w:rsidRPr="00874594">
        <w:t xml:space="preserve"> Interpretation of the Schaefer equilibrium curve</w:t>
      </w:r>
      <w:bookmarkEnd w:id="25"/>
      <w:r w:rsidR="009A772E" w:rsidRPr="00874594">
        <w:t xml:space="preserve"> </w:t>
      </w:r>
    </w:p>
    <w:p w14:paraId="27A3E462" w14:textId="596E73C0" w:rsidR="002B0407" w:rsidRDefault="009A772E" w:rsidP="004E4CDC">
      <w:pPr>
        <w:spacing w:after="120" w:line="480" w:lineRule="auto"/>
      </w:pPr>
      <w:r w:rsidRPr="00FA0090">
        <w:t xml:space="preserve">CMSY and </w:t>
      </w:r>
      <w:r w:rsidR="00804C9D">
        <w:t>BSM</w:t>
      </w:r>
      <w:r w:rsidRPr="00FA0090">
        <w:t xml:space="preserve"> as implemented here do not fit a parabola to yield and biomass data,</w:t>
      </w:r>
      <w:r w:rsidR="00C149B6">
        <w:t xml:space="preserve"> </w:t>
      </w:r>
      <w:r w:rsidR="00A12E54">
        <w:t>which requires the assumption of</w:t>
      </w:r>
      <w:r w:rsidR="00C149B6">
        <w:t xml:space="preserve"> equilibrium conditions,</w:t>
      </w:r>
      <w:r w:rsidRPr="00FA0090">
        <w:t xml:space="preserve"> but rather search for the </w:t>
      </w:r>
      <w:r w:rsidRPr="00FA0090">
        <w:rPr>
          <w:i/>
        </w:rPr>
        <w:t>r-k</w:t>
      </w:r>
      <w:r w:rsidRPr="00FA0090">
        <w:t xml:space="preserve"> pair that best fit</w:t>
      </w:r>
      <w:r w:rsidR="003816B2">
        <w:t>s</w:t>
      </w:r>
      <w:r w:rsidRPr="00FA0090">
        <w:t xml:space="preserve"> the </w:t>
      </w:r>
      <w:r w:rsidR="00B6441D">
        <w:t xml:space="preserve">time series of available data and </w:t>
      </w:r>
      <w:r w:rsidRPr="00FA0090">
        <w:t xml:space="preserve">prior information. </w:t>
      </w:r>
      <w:r w:rsidR="0045455A">
        <w:t>Plotting c</w:t>
      </w:r>
      <w:r w:rsidRPr="00FA0090">
        <w:t xml:space="preserve">atch and biomass </w:t>
      </w:r>
      <w:r w:rsidR="0045455A">
        <w:t xml:space="preserve">data </w:t>
      </w:r>
      <w:r w:rsidRPr="00FA0090">
        <w:t xml:space="preserve">against </w:t>
      </w:r>
      <w:r w:rsidR="00437BC3">
        <w:t xml:space="preserve">an </w:t>
      </w:r>
      <w:r w:rsidRPr="00FA0090">
        <w:t xml:space="preserve">equilibrium surplus production </w:t>
      </w:r>
      <w:r w:rsidR="00437BC3">
        <w:t xml:space="preserve">curve </w:t>
      </w:r>
      <w:r w:rsidRPr="00FA0090">
        <w:t xml:space="preserve">often looks </w:t>
      </w:r>
      <w:r w:rsidR="007363DD" w:rsidRPr="00FA0090">
        <w:t>unconvincing</w:t>
      </w:r>
      <w:r w:rsidR="00437BC3">
        <w:t xml:space="preserve"> and may lead to </w:t>
      </w:r>
      <w:r w:rsidR="00A144B3">
        <w:t xml:space="preserve">erroneous </w:t>
      </w:r>
      <w:r w:rsidR="00437BC3">
        <w:t xml:space="preserve">estimates of </w:t>
      </w:r>
      <w:r w:rsidR="00437BC3" w:rsidRPr="006346C2">
        <w:rPr>
          <w:i/>
        </w:rPr>
        <w:t>MSY</w:t>
      </w:r>
      <w:r w:rsidR="00437BC3">
        <w:t xml:space="preserve"> and </w:t>
      </w:r>
      <w:r w:rsidR="00437BC3" w:rsidRPr="00112B10">
        <w:rPr>
          <w:i/>
        </w:rPr>
        <w:t>B</w:t>
      </w:r>
      <w:r w:rsidR="00437BC3" w:rsidRPr="00112B10">
        <w:rPr>
          <w:i/>
          <w:vertAlign w:val="subscript"/>
        </w:rPr>
        <w:t>msy</w:t>
      </w:r>
      <w:r w:rsidR="00437BC3">
        <w:t xml:space="preserve"> if the stock was </w:t>
      </w:r>
      <w:r w:rsidR="00454E23">
        <w:t xml:space="preserve">not </w:t>
      </w:r>
      <w:r w:rsidR="00437BC3">
        <w:t>in a state of equilibrium</w:t>
      </w:r>
      <w:r w:rsidR="00426A01">
        <w:t xml:space="preserve"> (Punt 2003)</w:t>
      </w:r>
      <w:r w:rsidR="00437BC3">
        <w:t xml:space="preserve">. This is depicted in </w:t>
      </w:r>
      <w:r w:rsidR="006F1D8B">
        <w:t>Figure 3</w:t>
      </w:r>
      <w:r w:rsidR="00B03DCC">
        <w:t>a</w:t>
      </w:r>
      <w:r w:rsidR="00437BC3">
        <w:t>, which shows CMSY and B</w:t>
      </w:r>
      <w:r w:rsidR="00112B10">
        <w:t>S</w:t>
      </w:r>
      <w:r w:rsidR="00437BC3">
        <w:t xml:space="preserve">M estimates as well as </w:t>
      </w:r>
      <w:r w:rsidR="00771A00">
        <w:t>“</w:t>
      </w:r>
      <w:r w:rsidR="00437BC3">
        <w:t>true</w:t>
      </w:r>
      <w:r w:rsidR="00771A00">
        <w:t>”</w:t>
      </w:r>
      <w:r w:rsidR="00437BC3">
        <w:t xml:space="preserve"> data points for a simulated stock </w:t>
      </w:r>
      <w:r w:rsidR="00B96A9A">
        <w:t xml:space="preserve">of </w:t>
      </w:r>
      <w:r w:rsidR="00112B10">
        <w:t xml:space="preserve">low resilience </w:t>
      </w:r>
      <w:r w:rsidR="00437BC3">
        <w:t>with increasing biomass</w:t>
      </w:r>
      <w:r w:rsidR="0045455A">
        <w:t xml:space="preserve">. </w:t>
      </w:r>
      <w:r w:rsidR="00E35762">
        <w:t xml:space="preserve">All points fall below the </w:t>
      </w:r>
      <w:r w:rsidR="00437BC3">
        <w:t xml:space="preserve">equilibrium curve, because </w:t>
      </w:r>
      <w:r w:rsidR="00112B10">
        <w:t xml:space="preserve">catches were consistently </w:t>
      </w:r>
      <w:r w:rsidR="00771A00">
        <w:t>less</w:t>
      </w:r>
      <w:r w:rsidR="00112B10">
        <w:t xml:space="preserve"> than </w:t>
      </w:r>
      <w:r w:rsidR="00E91539">
        <w:t>surplus production</w:t>
      </w:r>
      <w:r w:rsidR="006346C2">
        <w:t xml:space="preserve"> throughout the time series, which</w:t>
      </w:r>
      <w:r w:rsidR="00112B10">
        <w:t xml:space="preserve"> allowed the </w:t>
      </w:r>
      <w:r w:rsidR="00437BC3">
        <w:t xml:space="preserve">stock </w:t>
      </w:r>
      <w:r w:rsidR="00112B10">
        <w:t xml:space="preserve">to </w:t>
      </w:r>
      <w:r w:rsidR="00437BC3">
        <w:t>increas</w:t>
      </w:r>
      <w:r w:rsidR="00E35762">
        <w:t>e</w:t>
      </w:r>
      <w:r w:rsidR="00437BC3">
        <w:t xml:space="preserve">. </w:t>
      </w:r>
      <w:r w:rsidR="00E35762">
        <w:t xml:space="preserve">Also, the non-overlap of the CMSY estimates with the </w:t>
      </w:r>
      <w:r w:rsidR="00771A00">
        <w:t>“</w:t>
      </w:r>
      <w:r w:rsidR="00E35762">
        <w:t>true</w:t>
      </w:r>
      <w:r w:rsidR="00771A00">
        <w:t>”</w:t>
      </w:r>
      <w:r w:rsidR="00E35762">
        <w:t xml:space="preserve"> points </w:t>
      </w:r>
      <w:r w:rsidR="00471A4B">
        <w:t xml:space="preserve">and the BSM estimates </w:t>
      </w:r>
      <w:r w:rsidR="00E35762">
        <w:t>suggests</w:t>
      </w:r>
      <w:r w:rsidR="00437BC3">
        <w:t xml:space="preserve"> </w:t>
      </w:r>
      <w:r w:rsidR="00E35762">
        <w:t xml:space="preserve">that the CMSY fit for this stock </w:t>
      </w:r>
      <w:r w:rsidR="00B96A9A">
        <w:t>is</w:t>
      </w:r>
      <w:r w:rsidR="00E35762">
        <w:t xml:space="preserve"> not particularly good. </w:t>
      </w:r>
      <w:r w:rsidR="006A7088">
        <w:t>By</w:t>
      </w:r>
      <w:r w:rsidR="00E35762">
        <w:t xml:space="preserve"> contrast, </w:t>
      </w:r>
      <w:r w:rsidR="006F1D8B">
        <w:t>Figure 3</w:t>
      </w:r>
      <w:r w:rsidR="00B03DCC">
        <w:t>b</w:t>
      </w:r>
      <w:r w:rsidR="00E35762">
        <w:t xml:space="preserve"> shows a simulated stock with </w:t>
      </w:r>
      <w:r w:rsidR="00112B10">
        <w:t xml:space="preserve">high resilience and </w:t>
      </w:r>
      <w:r w:rsidR="00607835">
        <w:t xml:space="preserve">a </w:t>
      </w:r>
      <w:r w:rsidR="00B96A9A">
        <w:t>declining</w:t>
      </w:r>
      <w:r w:rsidR="00E35762">
        <w:t xml:space="preserve"> biomass </w:t>
      </w:r>
      <w:r w:rsidR="00F54FBF">
        <w:t>pattern</w:t>
      </w:r>
      <w:r w:rsidR="00E35762">
        <w:t xml:space="preserve">, including </w:t>
      </w:r>
      <w:r w:rsidR="00112B10">
        <w:t xml:space="preserve">phases of </w:t>
      </w:r>
      <w:r w:rsidR="00E35762">
        <w:t>increas</w:t>
      </w:r>
      <w:r w:rsidR="00112B10">
        <w:t>e</w:t>
      </w:r>
      <w:r w:rsidR="00E35762">
        <w:t>, decreas</w:t>
      </w:r>
      <w:r w:rsidR="00112B10">
        <w:t>e</w:t>
      </w:r>
      <w:r w:rsidR="00E35762">
        <w:t>, and equilibrium, as indicated by the position of points below, above, and near the equilibrium curve, respectively. The overlap of points sugg</w:t>
      </w:r>
      <w:r w:rsidR="00112B10">
        <w:t xml:space="preserve">ests </w:t>
      </w:r>
      <w:r w:rsidR="00E35762">
        <w:t xml:space="preserve">good agreement between </w:t>
      </w:r>
      <w:r w:rsidR="002B0407">
        <w:t xml:space="preserve">CMSY and BSM estimates and </w:t>
      </w:r>
      <w:r w:rsidR="00771A00">
        <w:t>“</w:t>
      </w:r>
      <w:r w:rsidR="002B0407">
        <w:t>true</w:t>
      </w:r>
      <w:r w:rsidR="00771A00">
        <w:t>”</w:t>
      </w:r>
      <w:r w:rsidR="002B0407">
        <w:t xml:space="preserve"> parameter</w:t>
      </w:r>
      <w:r w:rsidR="00E35762">
        <w:t xml:space="preserve"> </w:t>
      </w:r>
      <w:r w:rsidR="002B0407">
        <w:t>values.</w:t>
      </w:r>
      <w:r w:rsidR="00E35762">
        <w:t xml:space="preserve"> </w:t>
      </w:r>
    </w:p>
    <w:p w14:paraId="19C4957E" w14:textId="2C96F96D" w:rsidR="00EA6741" w:rsidRDefault="00EA6741" w:rsidP="00DE4D38">
      <w:pPr>
        <w:spacing w:after="120" w:line="480" w:lineRule="auto"/>
      </w:pPr>
      <w:r>
        <w:lastRenderedPageBreak/>
        <w:t>[Figure 3 near here]</w:t>
      </w:r>
    </w:p>
    <w:p w14:paraId="65CDA910" w14:textId="38C88208" w:rsidR="003751FC" w:rsidRDefault="009D3364" w:rsidP="00DE4D38">
      <w:pPr>
        <w:spacing w:after="120" w:line="480" w:lineRule="auto"/>
      </w:pPr>
      <w:r>
        <w:t>Production models with e</w:t>
      </w:r>
      <w:r w:rsidR="002B0407">
        <w:t xml:space="preserve">quilibrium curves </w:t>
      </w:r>
      <w:r>
        <w:t>of</w:t>
      </w:r>
      <w:r w:rsidR="002B0407">
        <w:t xml:space="preserve"> different shapes have been proposed, but they all share the same anchor points</w:t>
      </w:r>
      <w:r w:rsidR="009A772E" w:rsidRPr="00FA0090">
        <w:t xml:space="preserve">, because zero biomass produces zero </w:t>
      </w:r>
      <w:r>
        <w:t>yield</w:t>
      </w:r>
      <w:r w:rsidR="004F4388">
        <w:t xml:space="preserve"> at the one end</w:t>
      </w:r>
      <w:r w:rsidR="009A772E" w:rsidRPr="00FA0090">
        <w:t xml:space="preserve">, and zero </w:t>
      </w:r>
      <w:r>
        <w:t>yield</w:t>
      </w:r>
      <w:r w:rsidR="009A772E" w:rsidRPr="00FA0090">
        <w:t xml:space="preserve"> results in unexploited biomass</w:t>
      </w:r>
      <w:r w:rsidR="004F4388">
        <w:t xml:space="preserve"> at the other end</w:t>
      </w:r>
      <w:r w:rsidR="009A772E" w:rsidRPr="00FA0090">
        <w:t xml:space="preserve">. </w:t>
      </w:r>
      <w:r w:rsidR="002B0407">
        <w:t>A</w:t>
      </w:r>
      <w:r w:rsidR="009A772E" w:rsidRPr="00FA0090">
        <w:t>ll</w:t>
      </w:r>
      <w:r w:rsidR="002B0407">
        <w:t xml:space="preserve"> </w:t>
      </w:r>
      <w:r>
        <w:t>models</w:t>
      </w:r>
      <w:r w:rsidR="009A772E" w:rsidRPr="00FA0090">
        <w:t xml:space="preserve"> have a</w:t>
      </w:r>
      <w:r w:rsidR="009B202B">
        <w:t xml:space="preserve">n intermediate </w:t>
      </w:r>
      <w:r w:rsidR="009A772E" w:rsidRPr="00FA0090">
        <w:t>maximum at similar absolute catch and biomass values,</w:t>
      </w:r>
      <w:r w:rsidR="002B0407">
        <w:t xml:space="preserve"> as forced by the </w:t>
      </w:r>
      <w:r w:rsidR="009A772E" w:rsidRPr="00FA0090">
        <w:t>data</w:t>
      </w:r>
      <w:r>
        <w:t xml:space="preserve"> (</w:t>
      </w:r>
      <w:r w:rsidR="00B2298B">
        <w:t>Sparre and Venema 1998</w:t>
      </w:r>
      <w:r w:rsidR="00AF3322">
        <w:t>;</w:t>
      </w:r>
      <w:r w:rsidR="00B2298B">
        <w:t xml:space="preserve"> </w:t>
      </w:r>
      <w:r>
        <w:t xml:space="preserve">Froese </w:t>
      </w:r>
      <w:r w:rsidRPr="00AF3322">
        <w:rPr>
          <w:i/>
        </w:rPr>
        <w:t xml:space="preserve">et </w:t>
      </w:r>
      <w:r w:rsidR="00982302">
        <w:rPr>
          <w:i/>
        </w:rPr>
        <w:t xml:space="preserve">al., </w:t>
      </w:r>
      <w:r>
        <w:t>2011</w:t>
      </w:r>
      <w:r w:rsidR="000F1990">
        <w:t xml:space="preserve">, Thorson </w:t>
      </w:r>
      <w:r w:rsidR="000F1990" w:rsidRPr="00AF3322">
        <w:rPr>
          <w:i/>
        </w:rPr>
        <w:t xml:space="preserve">et </w:t>
      </w:r>
      <w:r w:rsidR="00982302">
        <w:rPr>
          <w:i/>
        </w:rPr>
        <w:t xml:space="preserve">al., </w:t>
      </w:r>
      <w:r w:rsidR="000F1990">
        <w:t>2012</w:t>
      </w:r>
      <w:r>
        <w:t>)</w:t>
      </w:r>
      <w:r w:rsidR="009A772E" w:rsidRPr="00FA0090">
        <w:t xml:space="preserve">. </w:t>
      </w:r>
      <w:r w:rsidR="002B0407">
        <w:t>Only the</w:t>
      </w:r>
      <w:r w:rsidR="009A772E" w:rsidRPr="00FA0090">
        <w:t xml:space="preserve"> </w:t>
      </w:r>
      <w:r w:rsidR="004F4388">
        <w:t xml:space="preserve">estimation of unexploited biomass and therefore the </w:t>
      </w:r>
      <w:r w:rsidR="009A772E" w:rsidRPr="00FA0090">
        <w:t xml:space="preserve">relative position of the biomass that can produce </w:t>
      </w:r>
      <w:r w:rsidR="009A772E" w:rsidRPr="00FA0090">
        <w:rPr>
          <w:i/>
        </w:rPr>
        <w:t>MSY</w:t>
      </w:r>
      <w:r w:rsidR="009A772E" w:rsidRPr="00FA0090">
        <w:t xml:space="preserve"> changes with the choice of the production model, from 0.37 </w:t>
      </w:r>
      <w:r w:rsidR="006346C2">
        <w:rPr>
          <w:i/>
        </w:rPr>
        <w:t>B</w:t>
      </w:r>
      <w:r w:rsidR="009A772E" w:rsidRPr="00FA0090">
        <w:rPr>
          <w:i/>
        </w:rPr>
        <w:t>/k</w:t>
      </w:r>
      <w:r w:rsidR="009A772E" w:rsidRPr="00FA0090">
        <w:t xml:space="preserve"> with the Fox </w:t>
      </w:r>
      <w:r w:rsidR="00B6441D">
        <w:t xml:space="preserve">(1970) </w:t>
      </w:r>
      <w:r w:rsidR="009A772E" w:rsidRPr="00FA0090">
        <w:t xml:space="preserve">model to 0.5 </w:t>
      </w:r>
      <w:r w:rsidR="006346C2">
        <w:rPr>
          <w:i/>
        </w:rPr>
        <w:t>B</w:t>
      </w:r>
      <w:r w:rsidR="009A772E" w:rsidRPr="00FA0090">
        <w:rPr>
          <w:i/>
        </w:rPr>
        <w:t>/k</w:t>
      </w:r>
      <w:r w:rsidR="009A772E" w:rsidRPr="00FA0090">
        <w:t xml:space="preserve"> with the Schaefer</w:t>
      </w:r>
      <w:r w:rsidR="00B6441D">
        <w:t xml:space="preserve"> (1954)</w:t>
      </w:r>
      <w:r w:rsidR="009A772E" w:rsidRPr="00FA0090">
        <w:t xml:space="preserve"> model, and somewhere in between with the Pella-Tomlinson </w:t>
      </w:r>
      <w:r w:rsidR="00B6441D">
        <w:t xml:space="preserve">(1969) </w:t>
      </w:r>
      <w:r w:rsidR="009A772E" w:rsidRPr="00FA0090">
        <w:t>model, depending on the shape-parameter of that model. The parabola</w:t>
      </w:r>
      <w:r w:rsidR="00B96A9A">
        <w:t>s</w:t>
      </w:r>
      <w:r w:rsidR="009A772E" w:rsidRPr="00FA0090">
        <w:t xml:space="preserve"> </w:t>
      </w:r>
      <w:r w:rsidR="002B0407">
        <w:t xml:space="preserve">shown in </w:t>
      </w:r>
      <w:r w:rsidR="006F1D8B">
        <w:t>Figure 3</w:t>
      </w:r>
      <w:r w:rsidR="002B0407">
        <w:t xml:space="preserve"> </w:t>
      </w:r>
      <w:r w:rsidR="00B96A9A">
        <w:t>are</w:t>
      </w:r>
      <w:r w:rsidR="009A772E" w:rsidRPr="00FA0090">
        <w:t xml:space="preserve"> </w:t>
      </w:r>
      <w:r w:rsidR="00112B10">
        <w:t xml:space="preserve">from </w:t>
      </w:r>
      <w:r w:rsidR="00B96A9A">
        <w:t>a</w:t>
      </w:r>
      <w:r w:rsidR="00112B10">
        <w:t xml:space="preserve"> Schaefer model</w:t>
      </w:r>
      <w:r w:rsidR="00BC28E6">
        <w:t xml:space="preserve">, representing </w:t>
      </w:r>
      <w:r w:rsidR="00E91539">
        <w:t xml:space="preserve">surplus production derived from </w:t>
      </w:r>
      <w:r w:rsidR="00BC28E6">
        <w:t xml:space="preserve">the first derivative of </w:t>
      </w:r>
      <w:r w:rsidR="00112B10">
        <w:t xml:space="preserve">the </w:t>
      </w:r>
      <w:r w:rsidR="009A772E" w:rsidRPr="00FA0090">
        <w:t xml:space="preserve">logistic </w:t>
      </w:r>
      <w:r w:rsidR="002B0407">
        <w:t xml:space="preserve">model of </w:t>
      </w:r>
      <w:r w:rsidR="009A772E" w:rsidRPr="00FA0090">
        <w:t xml:space="preserve">population growth. </w:t>
      </w:r>
      <w:r w:rsidR="00BC28E6">
        <w:t>The Schaefer model</w:t>
      </w:r>
      <w:r w:rsidR="009A772E" w:rsidRPr="00FA0090">
        <w:t xml:space="preserve"> has </w:t>
      </w:r>
      <w:r w:rsidR="00A144B3">
        <w:t>fewer</w:t>
      </w:r>
      <w:r w:rsidR="00A144B3" w:rsidRPr="00FA0090">
        <w:t xml:space="preserve"> </w:t>
      </w:r>
      <w:r w:rsidR="009A772E" w:rsidRPr="00FA0090">
        <w:t>assumptions and is more conservative than the other models (</w:t>
      </w:r>
      <w:r w:rsidR="004F4388">
        <w:t>it</w:t>
      </w:r>
      <w:r w:rsidR="00A144B3">
        <w:t xml:space="preserve"> </w:t>
      </w:r>
      <w:r w:rsidR="009A772E" w:rsidRPr="00FA0090">
        <w:t xml:space="preserve">predicts lower </w:t>
      </w:r>
      <w:r w:rsidR="00A12E54">
        <w:t xml:space="preserve">equilibrium </w:t>
      </w:r>
      <w:r w:rsidR="009A772E" w:rsidRPr="00FA0090">
        <w:t xml:space="preserve">catch </w:t>
      </w:r>
      <w:r w:rsidR="00D075E5">
        <w:t>at</w:t>
      </w:r>
      <w:r w:rsidR="009A772E" w:rsidRPr="00FA0090">
        <w:t xml:space="preserve"> low biomass</w:t>
      </w:r>
      <w:r w:rsidR="004F4388">
        <w:t xml:space="preserve">, see Figure A1 in the Supporting Information of Froese </w:t>
      </w:r>
      <w:r w:rsidR="004F4388" w:rsidRPr="00771A00">
        <w:rPr>
          <w:i/>
        </w:rPr>
        <w:t>et al.</w:t>
      </w:r>
      <w:r w:rsidR="00771A00">
        <w:t>,</w:t>
      </w:r>
      <w:r w:rsidR="004F4388">
        <w:t xml:space="preserve"> 2011</w:t>
      </w:r>
      <w:r w:rsidR="009A772E" w:rsidRPr="00FA0090">
        <w:t xml:space="preserve">), </w:t>
      </w:r>
      <w:r>
        <w:t>and</w:t>
      </w:r>
      <w:r w:rsidR="00B6441D">
        <w:t xml:space="preserve"> was </w:t>
      </w:r>
      <w:r>
        <w:t xml:space="preserve">therefore </w:t>
      </w:r>
      <w:r w:rsidR="009A772E" w:rsidRPr="00FA0090">
        <w:t xml:space="preserve">chosen for </w:t>
      </w:r>
      <w:r w:rsidR="00B6441D">
        <w:t xml:space="preserve">the implementation of </w:t>
      </w:r>
      <w:r w:rsidR="009A772E" w:rsidRPr="00FA0090">
        <w:t>CMSY</w:t>
      </w:r>
      <w:r w:rsidR="002B0407">
        <w:t xml:space="preserve"> </w:t>
      </w:r>
      <w:r w:rsidR="00B6441D">
        <w:t>in this study</w:t>
      </w:r>
      <w:r w:rsidR="009A772E" w:rsidRPr="00FA0090">
        <w:t>.</w:t>
      </w:r>
      <w:r w:rsidR="00B6441D">
        <w:t xml:space="preserve"> </w:t>
      </w:r>
      <w:r w:rsidR="00B96A9A">
        <w:t xml:space="preserve">The indentation of the parabolas </w:t>
      </w:r>
      <w:r w:rsidR="00771A00">
        <w:t xml:space="preserve">shown in Figure 3 </w:t>
      </w:r>
      <w:r w:rsidR="00B96A9A">
        <w:t xml:space="preserve">at stock sizes below 0.25 </w:t>
      </w:r>
      <w:r w:rsidR="00B96A9A" w:rsidRPr="00B96A9A">
        <w:rPr>
          <w:i/>
        </w:rPr>
        <w:t>k</w:t>
      </w:r>
      <w:r w:rsidR="00B96A9A">
        <w:t xml:space="preserve"> results from the inclusion of a stock-recruitment model which assumes reduced recruitment at low stock sizes</w:t>
      </w:r>
      <w:r w:rsidR="00771A00">
        <w:t xml:space="preserve"> (see next section)</w:t>
      </w:r>
      <w:r w:rsidR="00B96A9A">
        <w:t>.</w:t>
      </w:r>
      <w:r w:rsidR="0045455A">
        <w:t xml:space="preserve"> </w:t>
      </w:r>
    </w:p>
    <w:p w14:paraId="1DDBACAC" w14:textId="5FD2F9C6" w:rsidR="009A772E" w:rsidRDefault="002B0407" w:rsidP="004E4CDC">
      <w:pPr>
        <w:spacing w:after="120" w:line="480" w:lineRule="auto"/>
      </w:pPr>
      <w:r>
        <w:t>E</w:t>
      </w:r>
      <w:r w:rsidR="009A772E" w:rsidRPr="00FA0090">
        <w:t xml:space="preserve">quilibrium </w:t>
      </w:r>
      <w:r>
        <w:t xml:space="preserve">conditions </w:t>
      </w:r>
      <w:r w:rsidR="006252A7">
        <w:t xml:space="preserve">may </w:t>
      </w:r>
      <w:r>
        <w:t>arise when the same</w:t>
      </w:r>
      <w:r w:rsidR="009A772E" w:rsidRPr="00FA0090">
        <w:t xml:space="preserve"> catch is t</w:t>
      </w:r>
      <w:r w:rsidR="009A772E">
        <w:t xml:space="preserve">aken </w:t>
      </w:r>
      <w:r w:rsidR="003057F0">
        <w:t>over an extended</w:t>
      </w:r>
      <w:r w:rsidR="009A772E">
        <w:t xml:space="preserve"> period</w:t>
      </w:r>
      <w:r w:rsidR="003057F0">
        <w:t xml:space="preserve"> of time</w:t>
      </w:r>
      <w:r w:rsidR="009A772E">
        <w:t xml:space="preserve"> </w:t>
      </w:r>
      <w:r>
        <w:t>of</w:t>
      </w:r>
      <w:r w:rsidR="009A772E" w:rsidRPr="00FA0090">
        <w:t xml:space="preserve"> </w:t>
      </w:r>
      <w:r w:rsidR="009A772E">
        <w:t xml:space="preserve">at least one </w:t>
      </w:r>
      <w:r w:rsidR="003057F0">
        <w:t>generation (</w:t>
      </w:r>
      <w:r w:rsidR="00332B99">
        <w:t>Kawasaki 1980; Caddy 198</w:t>
      </w:r>
      <w:r w:rsidR="00D91678">
        <w:t>4</w:t>
      </w:r>
      <w:r w:rsidR="003057F0">
        <w:t>)</w:t>
      </w:r>
      <w:r w:rsidR="009A772E" w:rsidRPr="00FA0090">
        <w:t xml:space="preserve">. </w:t>
      </w:r>
      <w:r>
        <w:t>Thus, persistent d</w:t>
      </w:r>
      <w:r w:rsidR="009A772E" w:rsidRPr="00FA0090">
        <w:t xml:space="preserve">eviations in the annual points from the equilibrium curve </w:t>
      </w:r>
      <w:r w:rsidR="00B6441D">
        <w:t xml:space="preserve">are </w:t>
      </w:r>
      <w:r w:rsidR="00A87699">
        <w:t xml:space="preserve">more </w:t>
      </w:r>
      <w:r w:rsidR="00B6441D">
        <w:t>likely to</w:t>
      </w:r>
      <w:r w:rsidR="009A772E" w:rsidRPr="00FA0090">
        <w:t xml:space="preserve"> be </w:t>
      </w:r>
      <w:r w:rsidR="00A87699">
        <w:t>found</w:t>
      </w:r>
      <w:r w:rsidR="009A772E" w:rsidRPr="00FA0090">
        <w:t xml:space="preserve"> in species with </w:t>
      </w:r>
      <w:r w:rsidR="00112B10" w:rsidRPr="00FA0090">
        <w:t>low resilience</w:t>
      </w:r>
      <w:r w:rsidR="00112B10">
        <w:t xml:space="preserve"> and </w:t>
      </w:r>
      <w:r w:rsidR="009A772E" w:rsidRPr="00FA0090">
        <w:t>long generation time</w:t>
      </w:r>
      <w:r w:rsidR="00A87699">
        <w:t xml:space="preserve">, such as in the simulated species with low resilience in </w:t>
      </w:r>
      <w:r w:rsidR="005D7F92">
        <w:t>Figure 3</w:t>
      </w:r>
      <w:r w:rsidR="00A55D34">
        <w:t>a</w:t>
      </w:r>
      <w:r w:rsidR="009A772E" w:rsidRPr="00FA0090">
        <w:t>.</w:t>
      </w:r>
      <w:r w:rsidR="00A87699">
        <w:t xml:space="preserve"> In contrast, a wide and more evenly distributed scattering of points can be expected in species with high resilience and short generation times, such as simulate</w:t>
      </w:r>
      <w:r w:rsidR="002E0AB1">
        <w:t>d</w:t>
      </w:r>
      <w:r w:rsidR="00A55D34">
        <w:t xml:space="preserve"> in Figure 3b</w:t>
      </w:r>
      <w:r w:rsidR="00A87699">
        <w:t xml:space="preserve">. </w:t>
      </w:r>
      <w:r w:rsidR="00A12E54">
        <w:t xml:space="preserve">In summary, while the equilibrium curve is not suitable for parameter estimation in most situations, it is still useful for understanding the status of the stock and </w:t>
      </w:r>
      <w:r w:rsidR="00D075E5">
        <w:t>for comparing CMSY and BSM estimates</w:t>
      </w:r>
      <w:r w:rsidR="00A12E54">
        <w:t>.</w:t>
      </w:r>
    </w:p>
    <w:p w14:paraId="3A620650" w14:textId="52760588" w:rsidR="00D075E5" w:rsidRDefault="00D075E5" w:rsidP="00827026">
      <w:pPr>
        <w:pStyle w:val="berschrift2"/>
        <w:spacing w:line="480" w:lineRule="auto"/>
      </w:pPr>
      <w:r>
        <w:lastRenderedPageBreak/>
        <w:t xml:space="preserve">4.4 </w:t>
      </w:r>
      <w:r w:rsidR="00AD4D27">
        <w:t>Pragmatic c</w:t>
      </w:r>
      <w:r>
        <w:t>ombin</w:t>
      </w:r>
      <w:r w:rsidR="00AD4D27">
        <w:t>ation of</w:t>
      </w:r>
      <w:r>
        <w:t xml:space="preserve"> surplus production with recruitment</w:t>
      </w:r>
    </w:p>
    <w:p w14:paraId="12B403C7" w14:textId="0AA3EAF6" w:rsidR="005073AC" w:rsidRDefault="0097676B" w:rsidP="005073AC">
      <w:pPr>
        <w:spacing w:after="120" w:line="480" w:lineRule="auto"/>
      </w:pPr>
      <w:r>
        <w:t>Production models have been criticized for not taking into account the widely observed reduction in recruitment at low population size</w:t>
      </w:r>
      <w:r w:rsidR="00B562AA">
        <w:t>s</w:t>
      </w:r>
      <w:r w:rsidR="00CD6F62">
        <w:t>.</w:t>
      </w:r>
      <w:r w:rsidR="00B62FEE">
        <w:t xml:space="preserve"> </w:t>
      </w:r>
      <w:r w:rsidR="00CD6F62">
        <w:t>Instead, these</w:t>
      </w:r>
      <w:r w:rsidR="00B62FEE">
        <w:t xml:space="preserve"> models assume an increase in the biomass growth rate </w:t>
      </w:r>
      <w:r w:rsidR="00B62FEE" w:rsidRPr="00CD6F62">
        <w:rPr>
          <w:i/>
        </w:rPr>
        <w:t>d</w:t>
      </w:r>
      <w:r w:rsidR="00CD6F62" w:rsidRPr="00CD6F62">
        <w:rPr>
          <w:i/>
        </w:rPr>
        <w:t>B</w:t>
      </w:r>
      <w:r w:rsidR="00B62FEE" w:rsidRPr="00CD6F62">
        <w:rPr>
          <w:i/>
        </w:rPr>
        <w:t>/dt</w:t>
      </w:r>
      <w:r w:rsidR="00B62FEE">
        <w:t xml:space="preserve"> as biomass approaches zero</w:t>
      </w:r>
      <w:r w:rsidR="003705C1">
        <w:t xml:space="preserve"> (Schnute and Richards 2002)</w:t>
      </w:r>
      <w:r w:rsidR="00B62FEE">
        <w:t>.</w:t>
      </w:r>
      <w:r>
        <w:t xml:space="preserve"> </w:t>
      </w:r>
      <w:r w:rsidR="00CD6F62">
        <w:t xml:space="preserve">In </w:t>
      </w:r>
      <w:r w:rsidR="003705C1">
        <w:t xml:space="preserve">earlier versions of </w:t>
      </w:r>
      <w:r w:rsidR="00CD6F62">
        <w:t>CMSY, this increase in productivity with decrease</w:t>
      </w:r>
      <w:r w:rsidR="007215C6">
        <w:t>s</w:t>
      </w:r>
      <w:r w:rsidR="00CD6F62">
        <w:t xml:space="preserve"> in biomass led to an overestimation of final biomass in depleted stocks (see respective warnings in ICES 2015, Annex 3).</w:t>
      </w:r>
      <w:r>
        <w:t xml:space="preserve"> </w:t>
      </w:r>
      <w:r w:rsidR="00CD6F62">
        <w:t xml:space="preserve">Schnute and Richards (2002) </w:t>
      </w:r>
      <w:r w:rsidR="003705C1">
        <w:t xml:space="preserve">propose to solve the general problem by </w:t>
      </w:r>
      <w:r w:rsidR="00CD6F62">
        <w:t>combin</w:t>
      </w:r>
      <w:r w:rsidR="003705C1">
        <w:t>ing</w:t>
      </w:r>
      <w:r w:rsidR="00CD6F62">
        <w:t xml:space="preserve"> </w:t>
      </w:r>
      <w:r w:rsidR="003705C1">
        <w:t>the</w:t>
      </w:r>
      <w:r w:rsidR="00CD6F62">
        <w:t xml:space="preserve"> production model with a recruitment </w:t>
      </w:r>
      <w:r w:rsidR="003705C1">
        <w:t>function</w:t>
      </w:r>
      <w:r w:rsidR="00CD6F62">
        <w:t>, but their solution consist</w:t>
      </w:r>
      <w:r w:rsidR="003705C1">
        <w:t>s</w:t>
      </w:r>
      <w:r w:rsidR="00CD6F62">
        <w:t xml:space="preserve"> of eight interconnected equations</w:t>
      </w:r>
      <w:r w:rsidR="0007308D">
        <w:t xml:space="preserve"> with more than eight additional parameters to be estimated. Here we cho</w:t>
      </w:r>
      <w:r w:rsidR="00347452">
        <w:t>o</w:t>
      </w:r>
      <w:r w:rsidR="0007308D">
        <w:t xml:space="preserve">se a much simpler approach, assuming a generic stock recruitment function with constant recruitment above 0.25 </w:t>
      </w:r>
      <w:r w:rsidR="0007308D" w:rsidRPr="0007308D">
        <w:rPr>
          <w:i/>
        </w:rPr>
        <w:t>k</w:t>
      </w:r>
      <w:r w:rsidR="0007308D">
        <w:t xml:space="preserve"> and linear decline of recruitment below that threshold, </w:t>
      </w:r>
      <w:r w:rsidR="003705C1">
        <w:t>toward</w:t>
      </w:r>
      <w:r w:rsidR="0007308D">
        <w:t xml:space="preserve"> zero recruitment at zero biomass. </w:t>
      </w:r>
      <w:r w:rsidR="00AD4D27">
        <w:t xml:space="preserve">Such </w:t>
      </w:r>
      <w:r w:rsidR="00043954">
        <w:t xml:space="preserve">a </w:t>
      </w:r>
      <w:r w:rsidR="00AD4D27">
        <w:t>hockey-stick model of recruitment has been proposed by Barrowman and Myers (2000)</w:t>
      </w:r>
      <w:r w:rsidR="00A46D0E">
        <w:t>,</w:t>
      </w:r>
      <w:r w:rsidR="00AD4D27">
        <w:t xml:space="preserve"> and </w:t>
      </w:r>
      <w:r w:rsidR="0079320B">
        <w:t xml:space="preserve">a </w:t>
      </w:r>
      <w:r w:rsidR="003705C1">
        <w:t>threshold</w:t>
      </w:r>
      <w:r w:rsidR="00554041">
        <w:t xml:space="preserve"> </w:t>
      </w:r>
      <w:r w:rsidR="00AD4D27">
        <w:t xml:space="preserve">around half of </w:t>
      </w:r>
      <w:r w:rsidR="00AD4D27" w:rsidRPr="00EC2667">
        <w:rPr>
          <w:i/>
        </w:rPr>
        <w:t>B</w:t>
      </w:r>
      <w:r w:rsidR="00AD4D27" w:rsidRPr="00EC2667">
        <w:rPr>
          <w:i/>
          <w:vertAlign w:val="subscript"/>
        </w:rPr>
        <w:t>msy</w:t>
      </w:r>
      <w:r w:rsidR="00AD4D27">
        <w:t xml:space="preserve"> </w:t>
      </w:r>
      <w:r w:rsidR="00AD4D27" w:rsidRPr="0079320B">
        <w:t>has</w:t>
      </w:r>
      <w:r w:rsidR="00EA6741">
        <w:t xml:space="preserve"> been</w:t>
      </w:r>
      <w:r w:rsidR="0079320B">
        <w:t xml:space="preserve"> </w:t>
      </w:r>
      <w:r w:rsidR="002C5174">
        <w:t>widely ad</w:t>
      </w:r>
      <w:r w:rsidR="0079320B">
        <w:t>o</w:t>
      </w:r>
      <w:r w:rsidR="00735C0E">
        <w:t xml:space="preserve">pted </w:t>
      </w:r>
      <w:r w:rsidR="00554041">
        <w:t xml:space="preserve">as </w:t>
      </w:r>
      <w:r w:rsidR="00043954">
        <w:t xml:space="preserve">a </w:t>
      </w:r>
      <w:r w:rsidR="00554041">
        <w:t xml:space="preserve">limit reference point for recruitment overfishing </w:t>
      </w:r>
      <w:r w:rsidR="00AD4D27">
        <w:t xml:space="preserve"> (</w:t>
      </w:r>
      <w:r w:rsidR="00CD0D16">
        <w:t xml:space="preserve">Beddington and Cooke 1983; </w:t>
      </w:r>
      <w:r w:rsidR="00EA6741">
        <w:t xml:space="preserve">Myers </w:t>
      </w:r>
      <w:r w:rsidR="00EA6741" w:rsidRPr="00F20527">
        <w:rPr>
          <w:i/>
        </w:rPr>
        <w:t>et al.</w:t>
      </w:r>
      <w:r w:rsidR="00EA6741">
        <w:t xml:space="preserve"> 1994; Punt </w:t>
      </w:r>
      <w:r w:rsidR="00EA6741" w:rsidRPr="00F20527">
        <w:rPr>
          <w:i/>
        </w:rPr>
        <w:t>et al.</w:t>
      </w:r>
      <w:r w:rsidR="00EA6741">
        <w:t xml:space="preserve"> 2013; </w:t>
      </w:r>
      <w:r w:rsidR="002C5174">
        <w:t xml:space="preserve">Carruthers </w:t>
      </w:r>
      <w:r w:rsidR="002C5174" w:rsidRPr="00F20527">
        <w:rPr>
          <w:i/>
        </w:rPr>
        <w:t>et al.</w:t>
      </w:r>
      <w:r w:rsidR="002C5174">
        <w:t xml:space="preserve"> 2014</w:t>
      </w:r>
      <w:r w:rsidR="00F20527">
        <w:t xml:space="preserve">; Froese </w:t>
      </w:r>
      <w:r w:rsidR="00F20527" w:rsidRPr="00F20527">
        <w:rPr>
          <w:i/>
        </w:rPr>
        <w:t>et al.</w:t>
      </w:r>
      <w:r w:rsidR="00F20527">
        <w:t xml:space="preserve"> 2014</w:t>
      </w:r>
      <w:r w:rsidR="00735C0E">
        <w:t>)</w:t>
      </w:r>
      <w:r w:rsidR="00EA6741">
        <w:t xml:space="preserve">. </w:t>
      </w:r>
      <w:r w:rsidR="00A46D0E">
        <w:t>A</w:t>
      </w:r>
      <w:r w:rsidR="007215C6">
        <w:t xml:space="preserve"> </w:t>
      </w:r>
      <w:r w:rsidR="00AD4D27">
        <w:t>hockey-stick</w:t>
      </w:r>
      <w:r w:rsidR="007215C6">
        <w:t xml:space="preserve"> function</w:t>
      </w:r>
      <w:r w:rsidR="00AD4D27">
        <w:t xml:space="preserve"> is combined </w:t>
      </w:r>
      <w:r w:rsidR="00347452">
        <w:t xml:space="preserve">here </w:t>
      </w:r>
      <w:r w:rsidR="00AD4D27">
        <w:t xml:space="preserve">with the production model by </w:t>
      </w:r>
      <w:r w:rsidR="00EC2667">
        <w:t xml:space="preserve">introducing a multiplier which decreases linearly </w:t>
      </w:r>
      <w:r w:rsidR="00201DE7">
        <w:t xml:space="preserve">from 1 to zero </w:t>
      </w:r>
      <w:r w:rsidR="00347452">
        <w:t>at</w:t>
      </w:r>
      <w:r w:rsidR="00AD4D27">
        <w:t xml:space="preserve"> biomass below 0.25 </w:t>
      </w:r>
      <w:r w:rsidR="00AD4D27" w:rsidRPr="00AD4D27">
        <w:rPr>
          <w:i/>
        </w:rPr>
        <w:t>k</w:t>
      </w:r>
      <w:r w:rsidR="005B3210">
        <w:t>.</w:t>
      </w:r>
      <w:r w:rsidR="00AD4D27">
        <w:t xml:space="preserve"> </w:t>
      </w:r>
      <w:r w:rsidR="005B3210">
        <w:t xml:space="preserve">This multiplier is assumed to </w:t>
      </w:r>
      <w:r w:rsidR="00347452">
        <w:t>reduce</w:t>
      </w:r>
      <w:r w:rsidR="005B3210">
        <w:t xml:space="preserve"> the unknown component that recruitment provides to surplus production</w:t>
      </w:r>
      <w:r w:rsidR="00EC2667">
        <w:t xml:space="preserve"> (Equation 2)</w:t>
      </w:r>
      <w:r w:rsidR="00AD4D27">
        <w:t>.</w:t>
      </w:r>
      <w:r w:rsidR="00201DE7">
        <w:t xml:space="preserve"> </w:t>
      </w:r>
      <w:r w:rsidR="00347452">
        <w:t xml:space="preserve">This new “surplus production and recruitment” model </w:t>
      </w:r>
      <w:r w:rsidR="00827026">
        <w:t xml:space="preserve">is used in CMSY and BSM and </w:t>
      </w:r>
      <w:r w:rsidR="00347452">
        <w:t xml:space="preserve">gives more realistic estimates of </w:t>
      </w:r>
      <w:r w:rsidR="00347452" w:rsidRPr="00347452">
        <w:rPr>
          <w:i/>
        </w:rPr>
        <w:t>r</w:t>
      </w:r>
      <w:r w:rsidR="00347452">
        <w:t xml:space="preserve"> and </w:t>
      </w:r>
      <w:r w:rsidR="00347452" w:rsidRPr="00347452">
        <w:rPr>
          <w:i/>
        </w:rPr>
        <w:t>k</w:t>
      </w:r>
      <w:r w:rsidR="00347452">
        <w:t xml:space="preserve"> in stocks with extended periods of severely depleted biomass</w:t>
      </w:r>
      <w:r w:rsidR="00EA6741">
        <w:t>.</w:t>
      </w:r>
      <w:r w:rsidR="00771A00">
        <w:t xml:space="preserve"> </w:t>
      </w:r>
      <w:r w:rsidR="00EA6741">
        <w:t>I</w:t>
      </w:r>
      <w:r w:rsidR="00771A00">
        <w:t xml:space="preserve">t </w:t>
      </w:r>
      <w:r w:rsidR="00EA6741">
        <w:t xml:space="preserve">also </w:t>
      </w:r>
      <w:r w:rsidR="00771A00">
        <w:t>removes</w:t>
      </w:r>
      <w:r w:rsidR="00347452">
        <w:t xml:space="preserve"> the bias in CMSY estimates of final biomass </w:t>
      </w:r>
      <w:r w:rsidR="00771A00">
        <w:t xml:space="preserve">in severely depleted stocks </w:t>
      </w:r>
      <w:r w:rsidR="00347452">
        <w:t>(</w:t>
      </w:r>
      <w:r w:rsidR="00771A00">
        <w:t xml:space="preserve">see YTFlo_MA and her-3a22 in </w:t>
      </w:r>
      <w:r w:rsidR="00347452" w:rsidRPr="00771A00">
        <w:t xml:space="preserve">Figure </w:t>
      </w:r>
      <w:r w:rsidR="00771A00">
        <w:t>4</w:t>
      </w:r>
      <w:r w:rsidR="00EA6741">
        <w:t>, with reasonable predictions of final biomass despite severe depletion</w:t>
      </w:r>
      <w:r w:rsidR="00347452">
        <w:t>).</w:t>
      </w:r>
      <w:r w:rsidR="005073AC">
        <w:t xml:space="preserve"> Note that the reduction in recruitment at very low stock sizes (</w:t>
      </w:r>
      <w:r w:rsidR="005073AC" w:rsidRPr="005073AC">
        <w:rPr>
          <w:i/>
        </w:rPr>
        <w:t>B/k</w:t>
      </w:r>
      <w:r w:rsidR="005073AC">
        <w:t xml:space="preserve"> &lt; 0.25) also means that </w:t>
      </w:r>
      <w:r w:rsidR="005073AC" w:rsidRPr="005073AC">
        <w:rPr>
          <w:i/>
        </w:rPr>
        <w:t>F</w:t>
      </w:r>
      <w:r w:rsidR="005073AC" w:rsidRPr="005073AC">
        <w:rPr>
          <w:i/>
          <w:vertAlign w:val="subscript"/>
        </w:rPr>
        <w:t>msy</w:t>
      </w:r>
      <w:r w:rsidR="005073AC">
        <w:t xml:space="preserve"> = ½ </w:t>
      </w:r>
      <w:r w:rsidR="005073AC" w:rsidRPr="005073AC">
        <w:rPr>
          <w:i/>
        </w:rPr>
        <w:t>r</w:t>
      </w:r>
      <w:r w:rsidR="005073AC">
        <w:t xml:space="preserve"> is not applicable anymore and instead </w:t>
      </w:r>
      <w:r w:rsidR="005073AC" w:rsidRPr="005073AC">
        <w:rPr>
          <w:i/>
        </w:rPr>
        <w:t>F</w:t>
      </w:r>
      <w:r w:rsidR="005073AC" w:rsidRPr="005073AC">
        <w:rPr>
          <w:i/>
          <w:vertAlign w:val="subscript"/>
        </w:rPr>
        <w:t>msy</w:t>
      </w:r>
      <w:r w:rsidR="005073AC">
        <w:rPr>
          <w:i/>
          <w:vertAlign w:val="subscript"/>
        </w:rPr>
        <w:t xml:space="preserve"> </w:t>
      </w:r>
      <w:r w:rsidR="005073AC" w:rsidRPr="005073AC">
        <w:rPr>
          <w:i/>
          <w:vertAlign w:val="subscript"/>
        </w:rPr>
        <w:t>B/k</w:t>
      </w:r>
      <w:r w:rsidR="005073AC">
        <w:t xml:space="preserve"> = ½ </w:t>
      </w:r>
      <w:r w:rsidR="005073AC" w:rsidRPr="005073AC">
        <w:rPr>
          <w:i/>
        </w:rPr>
        <w:t>r</w:t>
      </w:r>
      <w:r w:rsidR="005073AC">
        <w:t xml:space="preserve"> 4 </w:t>
      </w:r>
      <w:r w:rsidR="005073AC" w:rsidRPr="005073AC">
        <w:rPr>
          <w:i/>
        </w:rPr>
        <w:t>B/k</w:t>
      </w:r>
      <w:r w:rsidR="005073AC">
        <w:t xml:space="preserve"> should be used for management advise.</w:t>
      </w:r>
    </w:p>
    <w:p w14:paraId="7A18CFD1" w14:textId="1868AC9F" w:rsidR="00EA6741" w:rsidRDefault="00EA6741" w:rsidP="004E4CDC">
      <w:pPr>
        <w:spacing w:after="120" w:line="480" w:lineRule="auto"/>
      </w:pPr>
      <w:r>
        <w:t>[Figure 4 near here]</w:t>
      </w:r>
    </w:p>
    <w:p w14:paraId="0F7BFE81" w14:textId="725202C7" w:rsidR="00A02DA4" w:rsidRDefault="003D4535" w:rsidP="004E4CDC">
      <w:pPr>
        <w:pStyle w:val="berschrift2"/>
        <w:spacing w:line="480" w:lineRule="auto"/>
      </w:pPr>
      <w:bookmarkStart w:id="26" w:name="_Toc410816104"/>
      <w:r>
        <w:lastRenderedPageBreak/>
        <w:t>4.</w:t>
      </w:r>
      <w:r w:rsidR="00D075E5">
        <w:t>5</w:t>
      </w:r>
      <w:r w:rsidR="00A02DA4">
        <w:t xml:space="preserve"> Performance of the Bayesian Schaefer model</w:t>
      </w:r>
      <w:bookmarkEnd w:id="26"/>
    </w:p>
    <w:p w14:paraId="3B375D8F" w14:textId="17238F09" w:rsidR="00304769" w:rsidRDefault="00426A01" w:rsidP="004E4CDC">
      <w:pPr>
        <w:spacing w:after="120" w:line="480" w:lineRule="auto"/>
      </w:pPr>
      <w:r>
        <w:t>Dynamic p</w:t>
      </w:r>
      <w:r w:rsidR="00A02DA4" w:rsidRPr="00A02DA4">
        <w:t>roduction models</w:t>
      </w:r>
      <w:r w:rsidR="006519DE">
        <w:t>,</w:t>
      </w:r>
      <w:r w:rsidR="00A02DA4" w:rsidRPr="00A02DA4">
        <w:t xml:space="preserve"> such as the </w:t>
      </w:r>
      <w:r>
        <w:t xml:space="preserve">implementation of the </w:t>
      </w:r>
      <w:r w:rsidR="00A02DA4" w:rsidRPr="00A02DA4">
        <w:t xml:space="preserve">Schaefer model used in this study, </w:t>
      </w:r>
      <w:r w:rsidR="00A02DA4">
        <w:t>require time series of catch and abundance as input</w:t>
      </w:r>
      <w:r w:rsidR="00A46D0E">
        <w:t>s</w:t>
      </w:r>
      <w:r w:rsidR="00A02DA4">
        <w:t xml:space="preserve"> and thus do not count as data-limited methods.</w:t>
      </w:r>
      <w:r w:rsidR="00A02DA4" w:rsidRPr="00A02DA4">
        <w:t xml:space="preserve"> </w:t>
      </w:r>
      <w:r w:rsidR="00D66F3B">
        <w:t xml:space="preserve">However, since CMSY is a simplified Bayesian implementation of a </w:t>
      </w:r>
      <w:r w:rsidR="00026F1F">
        <w:t xml:space="preserve">data-limited </w:t>
      </w:r>
      <w:r w:rsidR="00D66F3B">
        <w:t xml:space="preserve">production model, it seems appropriate to compare CMSY results with the results of a </w:t>
      </w:r>
      <w:r w:rsidR="00026F1F">
        <w:t xml:space="preserve">full </w:t>
      </w:r>
      <w:r w:rsidR="00D66F3B">
        <w:t xml:space="preserve">Bayesian implementation of a </w:t>
      </w:r>
      <w:r w:rsidR="00554041">
        <w:t xml:space="preserve">surplus </w:t>
      </w:r>
      <w:r w:rsidR="00D66F3B">
        <w:t xml:space="preserve">production </w:t>
      </w:r>
      <w:r w:rsidR="00554041">
        <w:t xml:space="preserve">estimation </w:t>
      </w:r>
      <w:r w:rsidR="00D66F3B">
        <w:t xml:space="preserve">model, rather than with results obtained from various stock assessment methods with different assumptions and often </w:t>
      </w:r>
      <w:r w:rsidR="00026F1F">
        <w:t>unavailable</w:t>
      </w:r>
      <w:r w:rsidR="00D66F3B">
        <w:t xml:space="preserve"> levels of uncertainty. </w:t>
      </w:r>
      <w:r w:rsidR="00FF2980">
        <w:t xml:space="preserve">The Bayesian Schaefer model </w:t>
      </w:r>
      <w:r w:rsidR="00435D6D">
        <w:t>applied</w:t>
      </w:r>
      <w:r w:rsidR="00FF2980">
        <w:t xml:space="preserve"> </w:t>
      </w:r>
      <w:r w:rsidR="006346C2">
        <w:t>in</w:t>
      </w:r>
      <w:r w:rsidR="00FF2980">
        <w:t xml:space="preserve"> this study </w:t>
      </w:r>
      <w:r w:rsidR="007F6AEA">
        <w:t xml:space="preserve">(BSM) </w:t>
      </w:r>
      <w:r w:rsidR="00FF2980">
        <w:t>is similar to previous implementations (e.g.</w:t>
      </w:r>
      <w:r w:rsidR="00435D6D">
        <w:t xml:space="preserve"> Meyer and Millar 1999</w:t>
      </w:r>
      <w:r w:rsidR="00AF3322">
        <w:t>;</w:t>
      </w:r>
      <w:r w:rsidR="00435D6D">
        <w:t xml:space="preserve"> </w:t>
      </w:r>
      <w:r w:rsidR="00FF2980">
        <w:t xml:space="preserve">MacAllister </w:t>
      </w:r>
      <w:r w:rsidR="00FF2980" w:rsidRPr="00AF3322">
        <w:rPr>
          <w:i/>
        </w:rPr>
        <w:t xml:space="preserve">et </w:t>
      </w:r>
      <w:r w:rsidR="00982302">
        <w:rPr>
          <w:i/>
        </w:rPr>
        <w:t xml:space="preserve">al. </w:t>
      </w:r>
      <w:r w:rsidR="00AF3322">
        <w:t>2001; Vasconcellos and Cochrane 2005;</w:t>
      </w:r>
      <w:r w:rsidR="00FF2980">
        <w:t xml:space="preserve"> Thorson </w:t>
      </w:r>
      <w:r w:rsidR="00FF2980" w:rsidRPr="00AF3322">
        <w:rPr>
          <w:i/>
        </w:rPr>
        <w:t xml:space="preserve">et </w:t>
      </w:r>
      <w:r w:rsidR="00982302">
        <w:rPr>
          <w:i/>
        </w:rPr>
        <w:t xml:space="preserve">al. </w:t>
      </w:r>
      <w:r w:rsidR="00FF2980">
        <w:t xml:space="preserve">2013), </w:t>
      </w:r>
      <w:r w:rsidR="009B6352">
        <w:rPr>
          <w:rFonts w:cs="Calibri"/>
        </w:rPr>
        <w:t xml:space="preserve">but differs </w:t>
      </w:r>
      <w:r w:rsidR="00D77ABC">
        <w:rPr>
          <w:rFonts w:cs="Calibri"/>
        </w:rPr>
        <w:t xml:space="preserve">in </w:t>
      </w:r>
      <w:r w:rsidR="009B6352">
        <w:rPr>
          <w:rFonts w:cs="Calibri"/>
        </w:rPr>
        <w:t xml:space="preserve">its emphasis on informative priors for </w:t>
      </w:r>
      <w:r w:rsidR="009B6352">
        <w:rPr>
          <w:rFonts w:cs="Calibri"/>
          <w:i/>
          <w:iCs/>
        </w:rPr>
        <w:t>k</w:t>
      </w:r>
      <w:r w:rsidR="009B6352">
        <w:rPr>
          <w:rFonts w:cs="Calibri"/>
        </w:rPr>
        <w:t xml:space="preserve">, based on maximum catch modulated by productivity, for </w:t>
      </w:r>
      <w:r w:rsidR="009B6352">
        <w:rPr>
          <w:rFonts w:cs="Calibri"/>
          <w:i/>
          <w:iCs/>
        </w:rPr>
        <w:t>q</w:t>
      </w:r>
      <w:r w:rsidR="009B6352">
        <w:rPr>
          <w:rFonts w:cs="Calibri"/>
        </w:rPr>
        <w:t xml:space="preserve">, based on </w:t>
      </w:r>
      <w:r w:rsidR="005430D1">
        <w:rPr>
          <w:rFonts w:cs="Calibri"/>
        </w:rPr>
        <w:t>equilibrium catch</w:t>
      </w:r>
      <w:r w:rsidR="009B6352">
        <w:rPr>
          <w:rFonts w:cs="Calibri"/>
          <w:i/>
        </w:rPr>
        <w:t>,</w:t>
      </w:r>
      <w:r w:rsidR="00CB2656">
        <w:rPr>
          <w:rFonts w:cs="Calibri"/>
        </w:rPr>
        <w:t xml:space="preserve"> </w:t>
      </w:r>
      <w:r w:rsidR="009B6352">
        <w:rPr>
          <w:rFonts w:cs="Calibri"/>
        </w:rPr>
        <w:t xml:space="preserve">for </w:t>
      </w:r>
      <w:r w:rsidR="009B6352" w:rsidRPr="009B6352">
        <w:rPr>
          <w:rFonts w:cs="Calibri"/>
          <w:i/>
        </w:rPr>
        <w:t>r</w:t>
      </w:r>
      <w:r w:rsidR="009B6352">
        <w:rPr>
          <w:rFonts w:cs="Calibri"/>
        </w:rPr>
        <w:t xml:space="preserve">, based on more complex modelling of the distribution of </w:t>
      </w:r>
      <w:r w:rsidR="009B6352" w:rsidRPr="002D34B1">
        <w:rPr>
          <w:rFonts w:cs="Calibri"/>
          <w:i/>
        </w:rPr>
        <w:t>r</w:t>
      </w:r>
      <w:r w:rsidR="00771A00">
        <w:rPr>
          <w:rFonts w:cs="Calibri"/>
        </w:rPr>
        <w:t xml:space="preserve">, and for </w:t>
      </w:r>
      <w:r w:rsidR="00CB2656">
        <w:rPr>
          <w:rFonts w:cs="Calibri"/>
        </w:rPr>
        <w:t>relative biomass range</w:t>
      </w:r>
      <w:r w:rsidR="00771A00">
        <w:rPr>
          <w:rFonts w:cs="Calibri"/>
        </w:rPr>
        <w:t>s</w:t>
      </w:r>
      <w:r w:rsidR="00CB2656">
        <w:rPr>
          <w:rFonts w:cs="Calibri"/>
        </w:rPr>
        <w:t xml:space="preserve">, based on </w:t>
      </w:r>
      <w:r w:rsidR="00304769">
        <w:rPr>
          <w:rFonts w:cs="Calibri"/>
        </w:rPr>
        <w:t xml:space="preserve">default rules </w:t>
      </w:r>
      <w:r w:rsidR="00771A00">
        <w:rPr>
          <w:rFonts w:cs="Calibri"/>
        </w:rPr>
        <w:t>or</w:t>
      </w:r>
      <w:r w:rsidR="00304769">
        <w:rPr>
          <w:rFonts w:cs="Calibri"/>
        </w:rPr>
        <w:t xml:space="preserve"> </w:t>
      </w:r>
      <w:r w:rsidR="00CB2656">
        <w:rPr>
          <w:rFonts w:cs="Calibri"/>
        </w:rPr>
        <w:t>expert opinion.</w:t>
      </w:r>
      <w:r w:rsidR="00D66F3B">
        <w:t xml:space="preserve"> </w:t>
      </w:r>
      <w:r w:rsidR="00435D6D">
        <w:t xml:space="preserve">A state-space model implementation was chosen because explicit modelling of process error and observation error has been shown to result in more realistic posterior distributions of parameters (Ono </w:t>
      </w:r>
      <w:r w:rsidR="00435D6D" w:rsidRPr="00AF3322">
        <w:rPr>
          <w:i/>
        </w:rPr>
        <w:t xml:space="preserve">et </w:t>
      </w:r>
      <w:r w:rsidR="00982302">
        <w:rPr>
          <w:i/>
        </w:rPr>
        <w:t xml:space="preserve">al. </w:t>
      </w:r>
      <w:r w:rsidR="00435D6D">
        <w:t xml:space="preserve">2012). </w:t>
      </w:r>
      <w:r w:rsidR="00FF2980">
        <w:t xml:space="preserve">The resulting predictions </w:t>
      </w:r>
      <w:r w:rsidR="00026F1F">
        <w:t xml:space="preserve">for </w:t>
      </w:r>
      <w:r w:rsidR="00026F1F" w:rsidRPr="00026F1F">
        <w:rPr>
          <w:i/>
        </w:rPr>
        <w:t>r</w:t>
      </w:r>
      <w:r w:rsidR="00026F1F">
        <w:t xml:space="preserve">, </w:t>
      </w:r>
      <w:r w:rsidR="00026F1F" w:rsidRPr="00026F1F">
        <w:rPr>
          <w:i/>
        </w:rPr>
        <w:t>k</w:t>
      </w:r>
      <w:r w:rsidR="00026F1F">
        <w:t xml:space="preserve"> and </w:t>
      </w:r>
      <w:r w:rsidR="00026F1F" w:rsidRPr="00026F1F">
        <w:rPr>
          <w:i/>
        </w:rPr>
        <w:t>MSY</w:t>
      </w:r>
      <w:r w:rsidR="00026F1F">
        <w:t xml:space="preserve"> </w:t>
      </w:r>
      <w:r w:rsidR="00D77ABC">
        <w:t xml:space="preserve">were </w:t>
      </w:r>
      <w:r w:rsidR="00026F1F">
        <w:t xml:space="preserve">close to the </w:t>
      </w:r>
      <w:r w:rsidR="00304769">
        <w:t>“</w:t>
      </w:r>
      <w:r w:rsidR="00026F1F">
        <w:t>true</w:t>
      </w:r>
      <w:r w:rsidR="00304769">
        <w:t>”</w:t>
      </w:r>
      <w:r w:rsidR="00026F1F">
        <w:t xml:space="preserve"> values of the simulat</w:t>
      </w:r>
      <w:r w:rsidR="00371538">
        <w:t>ed data sets</w:t>
      </w:r>
      <w:r w:rsidR="00484BBD">
        <w:t xml:space="preserve"> and </w:t>
      </w:r>
      <w:r w:rsidR="00484BBD" w:rsidRPr="00484BBD">
        <w:rPr>
          <w:i/>
        </w:rPr>
        <w:t>r</w:t>
      </w:r>
      <w:r w:rsidR="00484BBD">
        <w:t xml:space="preserve">/2 was </w:t>
      </w:r>
      <w:r w:rsidR="00304769">
        <w:t xml:space="preserve">reasonably </w:t>
      </w:r>
      <w:r w:rsidR="00484BBD">
        <w:t xml:space="preserve">close to working group estimates of </w:t>
      </w:r>
      <w:r w:rsidR="00484BBD" w:rsidRPr="00484BBD">
        <w:rPr>
          <w:i/>
        </w:rPr>
        <w:t>F</w:t>
      </w:r>
      <w:r w:rsidR="00484BBD" w:rsidRPr="00484BBD">
        <w:rPr>
          <w:i/>
          <w:vertAlign w:val="subscript"/>
        </w:rPr>
        <w:t>msy</w:t>
      </w:r>
      <w:r w:rsidR="00484BBD">
        <w:t xml:space="preserve"> </w:t>
      </w:r>
      <w:r w:rsidR="00304769">
        <w:t>in 82% of the stocks</w:t>
      </w:r>
      <w:r w:rsidR="00771A00">
        <w:t xml:space="preserve"> with available data</w:t>
      </w:r>
      <w:r w:rsidR="00304769">
        <w:t xml:space="preserve"> </w:t>
      </w:r>
      <w:r w:rsidR="00484BBD">
        <w:t xml:space="preserve">(see online Supplement). </w:t>
      </w:r>
      <w:r w:rsidR="00950193">
        <w:t xml:space="preserve"> </w:t>
      </w:r>
    </w:p>
    <w:p w14:paraId="22DF614C" w14:textId="1AC3229E" w:rsidR="00A02DA4" w:rsidRPr="00A02DA4" w:rsidRDefault="00371538" w:rsidP="004E4CDC">
      <w:pPr>
        <w:spacing w:after="120" w:line="480" w:lineRule="auto"/>
      </w:pPr>
      <w:r>
        <w:t xml:space="preserve">In summary, </w:t>
      </w:r>
      <w:r w:rsidR="007F6AEA">
        <w:t>BSM</w:t>
      </w:r>
      <w:r w:rsidR="00304769">
        <w:t xml:space="preserve"> performed </w:t>
      </w:r>
      <w:r w:rsidR="004008A5">
        <w:t xml:space="preserve">well when compared with </w:t>
      </w:r>
      <w:r w:rsidR="00304769">
        <w:t>“</w:t>
      </w:r>
      <w:r w:rsidR="004008A5">
        <w:t>true</w:t>
      </w:r>
      <w:r w:rsidR="00304769">
        <w:t>”</w:t>
      </w:r>
      <w:r w:rsidR="004008A5">
        <w:t xml:space="preserve"> values of simulated stocks. It</w:t>
      </w:r>
      <w:r w:rsidR="00E604FB">
        <w:t xml:space="preserve"> </w:t>
      </w:r>
      <w:r w:rsidR="004008A5">
        <w:t xml:space="preserve">could be fitted to all </w:t>
      </w:r>
      <w:r w:rsidR="006346C2">
        <w:t xml:space="preserve">real </w:t>
      </w:r>
      <w:r w:rsidR="004008A5">
        <w:t xml:space="preserve">stocks with at least </w:t>
      </w:r>
      <w:r w:rsidR="00F20527">
        <w:t>9</w:t>
      </w:r>
      <w:r w:rsidR="004008A5">
        <w:t xml:space="preserve"> years of abundance data</w:t>
      </w:r>
      <w:r w:rsidR="00AD10AF">
        <w:t xml:space="preserve"> and produced </w:t>
      </w:r>
      <w:r w:rsidR="004008A5">
        <w:t>parameter estimates</w:t>
      </w:r>
      <w:r w:rsidR="00AD10AF">
        <w:t xml:space="preserve"> that were</w:t>
      </w:r>
      <w:r w:rsidR="004008A5">
        <w:t xml:space="preserve"> comparable with available working group estimates.</w:t>
      </w:r>
      <w:r w:rsidR="00E604FB">
        <w:t xml:space="preserve"> </w:t>
      </w:r>
      <w:r w:rsidR="004008A5">
        <w:t xml:space="preserve">Thus, the </w:t>
      </w:r>
      <w:r w:rsidR="007F6AEA">
        <w:t xml:space="preserve">BSM </w:t>
      </w:r>
      <w:r w:rsidR="004008A5">
        <w:t xml:space="preserve">parameter estimates were chosen as </w:t>
      </w:r>
      <w:r w:rsidR="007F6AEA">
        <w:t>benchmarks for the evaluation of CMSY when applied to real stocks where true parameter values are unknown.</w:t>
      </w:r>
      <w:r w:rsidR="00E604FB">
        <w:t xml:space="preserve"> </w:t>
      </w:r>
      <w:r w:rsidR="009B202B">
        <w:t>Of course</w:t>
      </w:r>
      <w:r w:rsidR="00304769">
        <w:t>, like any production model, BSM</w:t>
      </w:r>
      <w:r w:rsidR="009B202B">
        <w:t xml:space="preserve"> </w:t>
      </w:r>
      <w:r w:rsidR="00851F0C">
        <w:t xml:space="preserve">will provide unrealistic results if one or more of its </w:t>
      </w:r>
      <w:r w:rsidR="00A676F8">
        <w:t xml:space="preserve">key </w:t>
      </w:r>
      <w:r w:rsidR="00851F0C">
        <w:t xml:space="preserve">assumptions are violated, </w:t>
      </w:r>
      <w:r w:rsidR="00CB1D81">
        <w:t>caused e.g.</w:t>
      </w:r>
      <w:r w:rsidR="007215C6">
        <w:t>,</w:t>
      </w:r>
      <w:r w:rsidR="00CB1D81">
        <w:t xml:space="preserve"> by environmental regime shifts</w:t>
      </w:r>
      <w:r w:rsidR="00851F0C">
        <w:t xml:space="preserve">, dramatic changes in the productivity </w:t>
      </w:r>
      <w:r w:rsidR="007E4091">
        <w:t xml:space="preserve">or size structure </w:t>
      </w:r>
      <w:r w:rsidR="00851F0C">
        <w:t xml:space="preserve">of the stock, </w:t>
      </w:r>
      <w:r w:rsidR="00CB1D81">
        <w:t>or</w:t>
      </w:r>
      <w:r w:rsidR="00A676F8">
        <w:t xml:space="preserve"> major changes in</w:t>
      </w:r>
      <w:r w:rsidR="00851F0C">
        <w:t xml:space="preserve"> catchability.</w:t>
      </w:r>
      <w:r w:rsidR="00E604FB">
        <w:t xml:space="preserve"> </w:t>
      </w:r>
      <w:r w:rsidR="00360D0A">
        <w:t xml:space="preserve">Also, in stocks that are lightly exploited such as the simulations ending in high biomass, the </w:t>
      </w:r>
      <w:r w:rsidR="00CF203F">
        <w:t xml:space="preserve">interplay between catch and </w:t>
      </w:r>
      <w:r w:rsidR="00CF203F">
        <w:lastRenderedPageBreak/>
        <w:t xml:space="preserve">biomass contains less information about productivity and estimates of </w:t>
      </w:r>
      <w:r w:rsidR="00CF203F" w:rsidRPr="00CF203F">
        <w:rPr>
          <w:i/>
        </w:rPr>
        <w:t>r</w:t>
      </w:r>
      <w:r w:rsidR="00CF203F">
        <w:t xml:space="preserve"> will be less reliable (see Table 4).</w:t>
      </w:r>
      <w:r w:rsidR="00360D0A">
        <w:t xml:space="preserve"> </w:t>
      </w:r>
      <w:r w:rsidR="005051B6">
        <w:t xml:space="preserve"> </w:t>
      </w:r>
      <w:r w:rsidR="00026F1F">
        <w:t xml:space="preserve">  </w:t>
      </w:r>
      <w:r w:rsidR="00D66F3B">
        <w:t xml:space="preserve"> </w:t>
      </w:r>
    </w:p>
    <w:p w14:paraId="2EAE5808" w14:textId="4D8C2163" w:rsidR="00AC0245" w:rsidRDefault="00D075E5" w:rsidP="004E4CDC">
      <w:pPr>
        <w:pStyle w:val="berschrift2"/>
        <w:spacing w:line="480" w:lineRule="auto"/>
      </w:pPr>
      <w:bookmarkStart w:id="27" w:name="_Toc410816105"/>
      <w:r>
        <w:t>4.6</w:t>
      </w:r>
      <w:r w:rsidR="00AC0245">
        <w:t xml:space="preserve"> Understanding the CMSY triangle</w:t>
      </w:r>
      <w:bookmarkEnd w:id="27"/>
    </w:p>
    <w:p w14:paraId="71740438" w14:textId="1B978084" w:rsidR="00AC0245" w:rsidRPr="00AC0245" w:rsidRDefault="00AC0245" w:rsidP="004E4CDC">
      <w:pPr>
        <w:spacing w:after="120" w:line="480" w:lineRule="auto"/>
      </w:pPr>
      <w:r>
        <w:t>The typical triang</w:t>
      </w:r>
      <w:r w:rsidR="001D083F">
        <w:t>u</w:t>
      </w:r>
      <w:r>
        <w:t>l</w:t>
      </w:r>
      <w:r w:rsidR="001D083F">
        <w:t>ar</w:t>
      </w:r>
      <w:r>
        <w:t xml:space="preserve"> </w:t>
      </w:r>
      <w:r w:rsidR="001D083F">
        <w:t xml:space="preserve">shape </w:t>
      </w:r>
      <w:r>
        <w:t xml:space="preserve">of viable </w:t>
      </w:r>
      <w:r w:rsidRPr="00A029CD">
        <w:rPr>
          <w:i/>
        </w:rPr>
        <w:t>r-k</w:t>
      </w:r>
      <w:r>
        <w:t xml:space="preserve"> p</w:t>
      </w:r>
      <w:r w:rsidR="001D083F">
        <w:t>oints in log-space</w:t>
      </w:r>
      <w:r>
        <w:t xml:space="preserve"> (Figure 1) has a biological basis. </w:t>
      </w:r>
      <w:r w:rsidR="00043954">
        <w:t>The</w:t>
      </w:r>
      <w:r>
        <w:t xml:space="preserve"> given time series of catches </w:t>
      </w:r>
      <w:r w:rsidR="001B0E19">
        <w:t xml:space="preserve">may have been produced </w:t>
      </w:r>
      <w:r>
        <w:t>either</w:t>
      </w:r>
      <w:r w:rsidR="009B202B">
        <w:t xml:space="preserve"> </w:t>
      </w:r>
      <w:r>
        <w:t xml:space="preserve">by a large population with low to medium </w:t>
      </w:r>
      <w:r w:rsidR="00A029CD">
        <w:t>productivity</w:t>
      </w:r>
      <w:r>
        <w:t xml:space="preserve"> or by a small population with high productivity. This relation is reflected by the </w:t>
      </w:r>
      <w:r w:rsidR="00D160F8">
        <w:t xml:space="preserve">well-defined </w:t>
      </w:r>
      <w:r>
        <w:t xml:space="preserve">lower bound of the </w:t>
      </w:r>
      <w:r w:rsidRPr="00A029CD">
        <w:rPr>
          <w:i/>
        </w:rPr>
        <w:t>r-k</w:t>
      </w:r>
      <w:r>
        <w:t xml:space="preserve"> triangle, which represents for a given </w:t>
      </w:r>
      <w:r w:rsidRPr="00AC0245">
        <w:rPr>
          <w:i/>
        </w:rPr>
        <w:t>r</w:t>
      </w:r>
      <w:r>
        <w:t xml:space="preserve"> the lowest </w:t>
      </w:r>
      <w:r w:rsidRPr="00AC0245">
        <w:rPr>
          <w:i/>
        </w:rPr>
        <w:t>k</w:t>
      </w:r>
      <w:r>
        <w:t xml:space="preserve"> that </w:t>
      </w:r>
      <w:r w:rsidR="00A029CD">
        <w:t>i</w:t>
      </w:r>
      <w:r>
        <w:t xml:space="preserve">s compatible with the catches and </w:t>
      </w:r>
      <w:r w:rsidR="00A029CD">
        <w:t xml:space="preserve">the </w:t>
      </w:r>
      <w:r>
        <w:t xml:space="preserve">biomass priors. The slope of this lower border is typically a bit </w:t>
      </w:r>
      <w:r w:rsidR="00D160F8">
        <w:t>flatter</w:t>
      </w:r>
      <w:r>
        <w:t xml:space="preserve"> than</w:t>
      </w:r>
      <w:r w:rsidR="00A029CD">
        <w:t xml:space="preserve"> the slope (-1) of the line of </w:t>
      </w:r>
      <w:r w:rsidR="00A029CD" w:rsidRPr="00A029CD">
        <w:rPr>
          <w:i/>
        </w:rPr>
        <w:t>r-k</w:t>
      </w:r>
      <w:r w:rsidR="00A029CD">
        <w:t xml:space="preserve"> pairs resulting in the same</w:t>
      </w:r>
      <w:r w:rsidR="001B0E19">
        <w:t xml:space="preserve"> value of</w:t>
      </w:r>
      <w:r w:rsidR="00A029CD">
        <w:t xml:space="preserve"> </w:t>
      </w:r>
      <w:r w:rsidR="00A029CD" w:rsidRPr="00A029CD">
        <w:rPr>
          <w:i/>
        </w:rPr>
        <w:t>MSY</w:t>
      </w:r>
      <w:r w:rsidR="00A029CD">
        <w:t xml:space="preserve"> (Equ</w:t>
      </w:r>
      <w:r w:rsidR="00810174">
        <w:t>ation 5</w:t>
      </w:r>
      <w:r w:rsidR="00A029CD">
        <w:t>). The upper bo</w:t>
      </w:r>
      <w:r w:rsidR="001D083F">
        <w:t>rder</w:t>
      </w:r>
      <w:r w:rsidR="00A029CD">
        <w:t xml:space="preserve"> of the </w:t>
      </w:r>
      <w:r w:rsidR="00A029CD" w:rsidRPr="00A029CD">
        <w:rPr>
          <w:i/>
        </w:rPr>
        <w:t>r-k</w:t>
      </w:r>
      <w:r w:rsidR="00A029CD">
        <w:t xml:space="preserve"> triangle is typically more diffuse, marking the highest </w:t>
      </w:r>
      <w:r w:rsidR="00A029CD" w:rsidRPr="00A029CD">
        <w:rPr>
          <w:i/>
        </w:rPr>
        <w:t>k</w:t>
      </w:r>
      <w:r w:rsidR="00A029CD">
        <w:t xml:space="preserve"> values which, </w:t>
      </w:r>
      <w:r w:rsidR="000D0DF5">
        <w:t xml:space="preserve">if combined with </w:t>
      </w:r>
      <w:r w:rsidR="00D5567C">
        <w:t>the corresponding</w:t>
      </w:r>
      <w:r w:rsidR="00A029CD">
        <w:t xml:space="preserve"> </w:t>
      </w:r>
      <w:r w:rsidR="00A029CD" w:rsidRPr="00A029CD">
        <w:rPr>
          <w:i/>
        </w:rPr>
        <w:t>r</w:t>
      </w:r>
      <w:r w:rsidR="00A029CD">
        <w:t xml:space="preserve">, will not </w:t>
      </w:r>
      <w:r w:rsidR="000D0DF5">
        <w:t xml:space="preserve">result in a predicted biomass </w:t>
      </w:r>
      <w:r w:rsidR="00F20527">
        <w:t>exceeding</w:t>
      </w:r>
      <w:r w:rsidR="00A84C90">
        <w:t xml:space="preserve"> </w:t>
      </w:r>
      <w:r w:rsidR="000D0DF5">
        <w:t>the upper prior biomass</w:t>
      </w:r>
      <w:r w:rsidR="00A029CD">
        <w:t xml:space="preserve"> </w:t>
      </w:r>
      <w:r w:rsidR="000D0DF5">
        <w:t>ranges. B</w:t>
      </w:r>
      <w:r w:rsidR="00D160F8">
        <w:t>ecause a</w:t>
      </w:r>
      <w:r w:rsidR="000D0DF5">
        <w:t xml:space="preserve"> </w:t>
      </w:r>
      <w:r w:rsidR="00D160F8">
        <w:t>large</w:t>
      </w:r>
      <w:r w:rsidR="000D0DF5">
        <w:t xml:space="preserve"> population </w:t>
      </w:r>
      <w:r w:rsidR="00D160F8">
        <w:t>can support a</w:t>
      </w:r>
      <w:r w:rsidR="000D0DF5">
        <w:t xml:space="preserve"> </w:t>
      </w:r>
      <w:r w:rsidR="00D160F8">
        <w:t xml:space="preserve">wide range of </w:t>
      </w:r>
      <w:r w:rsidR="008B2FBA">
        <w:t>modest</w:t>
      </w:r>
      <w:r w:rsidR="00D160F8">
        <w:t xml:space="preserve"> </w:t>
      </w:r>
      <w:r w:rsidR="000D0DF5">
        <w:t>catch</w:t>
      </w:r>
      <w:r w:rsidR="00D160F8">
        <w:t xml:space="preserve"> patterns even with low or medium productivity, more viable </w:t>
      </w:r>
      <w:r w:rsidR="00D160F8" w:rsidRPr="00D160F8">
        <w:rPr>
          <w:i/>
        </w:rPr>
        <w:t>r-k</w:t>
      </w:r>
      <w:r w:rsidR="00D160F8">
        <w:t xml:space="preserve"> pairs are found in the</w:t>
      </w:r>
      <w:r w:rsidR="007055B5">
        <w:t xml:space="preserve"> upper left</w:t>
      </w:r>
      <w:r w:rsidR="00D160F8">
        <w:t xml:space="preserve"> </w:t>
      </w:r>
      <w:r w:rsidR="00D160F8" w:rsidRPr="00D160F8">
        <w:rPr>
          <w:i/>
        </w:rPr>
        <w:t>low-r-high-k</w:t>
      </w:r>
      <w:r w:rsidR="00D160F8">
        <w:t xml:space="preserve"> corner of the log </w:t>
      </w:r>
      <w:r w:rsidR="00D160F8" w:rsidRPr="00D160F8">
        <w:rPr>
          <w:i/>
        </w:rPr>
        <w:t>r-k</w:t>
      </w:r>
      <w:r w:rsidR="00D160F8">
        <w:t xml:space="preserve"> space. In contrast, while </w:t>
      </w:r>
      <w:r w:rsidR="008B2FBA">
        <w:t>a small population may be able to support high catches if it has high productivity, such catches will t</w:t>
      </w:r>
      <w:r w:rsidR="00CD216A">
        <w:t xml:space="preserve">ake a </w:t>
      </w:r>
      <w:r w:rsidR="008B2FBA">
        <w:t xml:space="preserve">large proportion of the population resulting in strong </w:t>
      </w:r>
      <w:r w:rsidR="007055B5">
        <w:t xml:space="preserve">inter-annual </w:t>
      </w:r>
      <w:r w:rsidR="008B2FBA">
        <w:t xml:space="preserve">fluctuations which are </w:t>
      </w:r>
      <w:r w:rsidR="00CD216A">
        <w:t>prone</w:t>
      </w:r>
      <w:r w:rsidR="008B2FBA">
        <w:t xml:space="preserve"> </w:t>
      </w:r>
      <w:r w:rsidR="00CD216A">
        <w:t>to falling outside the theoretical and prior biomass ranges.</w:t>
      </w:r>
      <w:r w:rsidR="008B2FBA">
        <w:t xml:space="preserve"> </w:t>
      </w:r>
      <w:r w:rsidR="00CD216A">
        <w:t xml:space="preserve">As a result, few or no viable </w:t>
      </w:r>
      <w:r w:rsidR="00CD216A" w:rsidRPr="00CD216A">
        <w:rPr>
          <w:i/>
        </w:rPr>
        <w:t>r-k</w:t>
      </w:r>
      <w:r w:rsidR="00CD216A">
        <w:t xml:space="preserve"> pairs are found in the</w:t>
      </w:r>
      <w:r w:rsidR="007055B5">
        <w:t xml:space="preserve"> lower right</w:t>
      </w:r>
      <w:r w:rsidR="00CD216A">
        <w:t xml:space="preserve"> </w:t>
      </w:r>
      <w:r w:rsidR="00CD216A" w:rsidRPr="00CD216A">
        <w:rPr>
          <w:i/>
        </w:rPr>
        <w:t>high-r-low-k</w:t>
      </w:r>
      <w:r w:rsidR="00CD216A">
        <w:t xml:space="preserve"> corner of the log </w:t>
      </w:r>
      <w:r w:rsidR="00CD216A" w:rsidRPr="00CD216A">
        <w:rPr>
          <w:i/>
        </w:rPr>
        <w:t>r-k</w:t>
      </w:r>
      <w:r w:rsidR="00CD216A">
        <w:t xml:space="preserve"> space.</w:t>
      </w:r>
      <w:r w:rsidR="0081450F">
        <w:t xml:space="preserve"> </w:t>
      </w:r>
      <w:r w:rsidR="001D083F">
        <w:t xml:space="preserve">As a general rule, CMSY will find more viable </w:t>
      </w:r>
      <w:r w:rsidR="001D083F" w:rsidRPr="003A4FFE">
        <w:rPr>
          <w:i/>
        </w:rPr>
        <w:t>r-k</w:t>
      </w:r>
      <w:r w:rsidR="001D083F">
        <w:t xml:space="preserve"> pairs in stocks where catches take a small fraction of available biomass, and vice versa.</w:t>
      </w:r>
      <w:r w:rsidR="00CD216A">
        <w:t xml:space="preserve"> </w:t>
      </w:r>
      <w:r w:rsidR="00D83078" w:rsidRPr="00D83078">
        <w:t xml:space="preserve">In </w:t>
      </w:r>
      <w:r w:rsidR="00D83078">
        <w:t>summary</w:t>
      </w:r>
      <w:r w:rsidR="00D83078" w:rsidRPr="00D83078">
        <w:t xml:space="preserve">, the </w:t>
      </w:r>
      <w:r w:rsidR="00D83078">
        <w:t>CMSY-triangle</w:t>
      </w:r>
      <w:r w:rsidR="00D83078" w:rsidRPr="00D83078">
        <w:t xml:space="preserve"> is </w:t>
      </w:r>
      <w:r w:rsidR="00D83078">
        <w:t>the result</w:t>
      </w:r>
      <w:r w:rsidR="00D83078" w:rsidRPr="00D83078">
        <w:t xml:space="preserve"> of </w:t>
      </w:r>
      <w:r w:rsidR="00D83078">
        <w:t>the Monte Carlo</w:t>
      </w:r>
      <w:r w:rsidR="00D83078" w:rsidRPr="00D83078">
        <w:t xml:space="preserve"> filtering process</w:t>
      </w:r>
      <w:r w:rsidR="00D83078">
        <w:t xml:space="preserve"> within a fixed r-k space and with hard prior bounds for biomass. </w:t>
      </w:r>
      <w:r w:rsidR="00815C58">
        <w:t>T</w:t>
      </w:r>
      <w:r w:rsidR="00D83078" w:rsidRPr="00D83078">
        <w:t>he tip of the triangle typically tra</w:t>
      </w:r>
      <w:r w:rsidR="00D83078">
        <w:t>ns</w:t>
      </w:r>
      <w:r w:rsidR="00D83078" w:rsidRPr="00D83078">
        <w:t>vers</w:t>
      </w:r>
      <w:r w:rsidR="00D83078">
        <w:t>es</w:t>
      </w:r>
      <w:r w:rsidR="00D83078" w:rsidRPr="00D83078">
        <w:t xml:space="preserve"> the </w:t>
      </w:r>
      <w:r w:rsidR="00D83078">
        <w:t xml:space="preserve">expected </w:t>
      </w:r>
      <w:r w:rsidR="00D83078" w:rsidRPr="00D83078">
        <w:t xml:space="preserve">ellipsoid cloud of viable </w:t>
      </w:r>
      <w:r w:rsidR="00D83078" w:rsidRPr="00815C58">
        <w:rPr>
          <w:i/>
        </w:rPr>
        <w:t>r</w:t>
      </w:r>
      <w:r w:rsidR="00D83078" w:rsidRPr="00D83078">
        <w:t>-</w:t>
      </w:r>
      <w:r w:rsidR="00D83078" w:rsidRPr="00815C58">
        <w:rPr>
          <w:i/>
        </w:rPr>
        <w:t>k</w:t>
      </w:r>
      <w:r w:rsidR="00D83078" w:rsidRPr="00D83078">
        <w:t xml:space="preserve"> pairs found by BSM from catch </w:t>
      </w:r>
      <w:r w:rsidR="00D83078">
        <w:t>and</w:t>
      </w:r>
      <w:r w:rsidR="00D83078" w:rsidRPr="00D83078">
        <w:t xml:space="preserve"> abundance data. The beauty of CMSY is that it finds this area without knowledge of abundance, albeit with a non-representative distribution. Overcoming the problems created by this </w:t>
      </w:r>
      <w:r w:rsidR="00D83078">
        <w:t>triangular rather than ellipsoid</w:t>
      </w:r>
      <w:r w:rsidR="00D83078" w:rsidRPr="00D83078">
        <w:t xml:space="preserve"> distribution is the main</w:t>
      </w:r>
      <w:r w:rsidR="0090070E">
        <w:t xml:space="preserve"> achievement of CMSY compared with</w:t>
      </w:r>
      <w:r w:rsidR="00D83078">
        <w:t xml:space="preserve"> the</w:t>
      </w:r>
      <w:r w:rsidR="00D83078" w:rsidRPr="00D83078">
        <w:t xml:space="preserve"> Catch-MSY</w:t>
      </w:r>
      <w:r w:rsidR="00D83078">
        <w:t xml:space="preserve"> method of Martell and Froese (2013)</w:t>
      </w:r>
      <w:r w:rsidR="00D83078" w:rsidRPr="00D83078">
        <w:t xml:space="preserve">. </w:t>
      </w:r>
      <w:r w:rsidR="008B2FBA">
        <w:t xml:space="preserve"> </w:t>
      </w:r>
      <w:r w:rsidR="000D0DF5">
        <w:t xml:space="preserve"> </w:t>
      </w:r>
      <w:r>
        <w:t xml:space="preserve">    </w:t>
      </w:r>
    </w:p>
    <w:p w14:paraId="6EA4708E" w14:textId="522A6AB4" w:rsidR="009A772E" w:rsidRPr="009A772E" w:rsidRDefault="003D4535" w:rsidP="004E4CDC">
      <w:pPr>
        <w:pStyle w:val="berschrift2"/>
        <w:spacing w:line="480" w:lineRule="auto"/>
      </w:pPr>
      <w:bookmarkStart w:id="28" w:name="_Toc410816106"/>
      <w:r>
        <w:lastRenderedPageBreak/>
        <w:t>4.</w:t>
      </w:r>
      <w:r w:rsidR="00D075E5">
        <w:t>7</w:t>
      </w:r>
      <w:r w:rsidR="00874594" w:rsidRPr="00874594">
        <w:t xml:space="preserve"> Performance of CMSY</w:t>
      </w:r>
      <w:bookmarkEnd w:id="28"/>
    </w:p>
    <w:p w14:paraId="1C82DCD3" w14:textId="660F9E02" w:rsidR="00040445" w:rsidRDefault="001D6DA1" w:rsidP="00DE4D38">
      <w:pPr>
        <w:spacing w:after="120" w:line="480" w:lineRule="auto"/>
      </w:pPr>
      <w:r>
        <w:t>Given the limited amount of input data consisting of catch, q</w:t>
      </w:r>
      <w:r w:rsidR="00810174">
        <w:t>ualitative resilience</w:t>
      </w:r>
      <w:r>
        <w:t xml:space="preserve"> and qualitative stock status, the predictions of CMSY </w:t>
      </w:r>
      <w:r w:rsidR="00810174">
        <w:t>a</w:t>
      </w:r>
      <w:r w:rsidR="00D77ABC">
        <w:t xml:space="preserve">re </w:t>
      </w:r>
      <w:r>
        <w:t xml:space="preserve">surprisingly accurate </w:t>
      </w:r>
      <w:r w:rsidR="0008795C">
        <w:t xml:space="preserve">when </w:t>
      </w:r>
      <w:r w:rsidR="00376C9C">
        <w:t>validated</w:t>
      </w:r>
      <w:r w:rsidR="0008795C">
        <w:t xml:space="preserve"> with </w:t>
      </w:r>
      <w:r w:rsidR="007055B5">
        <w:t>“</w:t>
      </w:r>
      <w:r w:rsidR="0008795C">
        <w:t>true</w:t>
      </w:r>
      <w:r w:rsidR="007055B5">
        <w:t>”</w:t>
      </w:r>
      <w:r w:rsidR="0008795C">
        <w:t xml:space="preserve"> values of simulated stocks or </w:t>
      </w:r>
      <w:r w:rsidR="00376C9C">
        <w:t>evaluated against</w:t>
      </w:r>
      <w:r w:rsidR="007055B5">
        <w:t xml:space="preserve"> </w:t>
      </w:r>
      <w:r w:rsidR="0008795C">
        <w:t xml:space="preserve">BSM estimates for real stocks. While not every fluctuation of simulated or observed stock abundance </w:t>
      </w:r>
      <w:r w:rsidR="00810174">
        <w:t>i</w:t>
      </w:r>
      <w:r w:rsidR="001637F9">
        <w:t xml:space="preserve">s </w:t>
      </w:r>
      <w:r w:rsidR="00F9492F">
        <w:t>traced</w:t>
      </w:r>
      <w:r w:rsidR="0008795C">
        <w:t>, the overall pattern</w:t>
      </w:r>
      <w:r w:rsidR="008839F2">
        <w:t>s</w:t>
      </w:r>
      <w:r w:rsidR="0008795C">
        <w:t xml:space="preserve"> of stock development </w:t>
      </w:r>
      <w:r w:rsidR="008839F2">
        <w:t xml:space="preserve">and exploitation </w:t>
      </w:r>
      <w:r w:rsidR="00810174">
        <w:t>a</w:t>
      </w:r>
      <w:r w:rsidR="00D77ABC">
        <w:t xml:space="preserve">re </w:t>
      </w:r>
      <w:r w:rsidR="001D083F">
        <w:t>usua</w:t>
      </w:r>
      <w:r w:rsidR="0008795C">
        <w:t xml:space="preserve">lly </w:t>
      </w:r>
      <w:r w:rsidR="00F9492F">
        <w:t xml:space="preserve">reproduced, as shown in </w:t>
      </w:r>
      <w:r w:rsidR="00A1743D">
        <w:t>Figure 4</w:t>
      </w:r>
      <w:r w:rsidR="00F9492F">
        <w:t xml:space="preserve"> for North Atlantic swordfish (</w:t>
      </w:r>
      <w:r w:rsidR="00F9492F" w:rsidRPr="00F9492F">
        <w:rPr>
          <w:i/>
        </w:rPr>
        <w:t>Xiphias gladius</w:t>
      </w:r>
      <w:r w:rsidR="00972D1A">
        <w:t>,</w:t>
      </w:r>
      <w:r w:rsidR="00A55D34">
        <w:t xml:space="preserve"> Xiphiidae,</w:t>
      </w:r>
      <w:r w:rsidR="00972D1A">
        <w:t xml:space="preserve"> Swordfish_NA)</w:t>
      </w:r>
      <w:r w:rsidR="00F9492F">
        <w:t xml:space="preserve"> and Arctic cod (</w:t>
      </w:r>
      <w:r w:rsidR="00972D1A">
        <w:t>cod-arct)</w:t>
      </w:r>
      <w:r w:rsidR="0008795C">
        <w:t xml:space="preserve">. </w:t>
      </w:r>
      <w:r w:rsidR="007055B5">
        <w:t>A preliminary analysis suggest</w:t>
      </w:r>
      <w:r w:rsidR="00376C9C">
        <w:t>s</w:t>
      </w:r>
      <w:r w:rsidR="007055B5">
        <w:t xml:space="preserve"> that CMSY will underestimate </w:t>
      </w:r>
      <w:r w:rsidR="007055B5" w:rsidRPr="007055B5">
        <w:rPr>
          <w:i/>
        </w:rPr>
        <w:t>MSY</w:t>
      </w:r>
      <w:r w:rsidR="007055B5">
        <w:t xml:space="preserve"> and </w:t>
      </w:r>
      <w:r w:rsidR="007055B5" w:rsidRPr="007055B5">
        <w:rPr>
          <w:i/>
        </w:rPr>
        <w:t>k</w:t>
      </w:r>
      <w:r w:rsidR="007055B5">
        <w:t xml:space="preserve"> if </w:t>
      </w:r>
      <w:r w:rsidR="00376C9C">
        <w:t xml:space="preserve">landings instead of catch data are used and </w:t>
      </w:r>
      <w:r w:rsidR="00CA264F">
        <w:t xml:space="preserve">discards are substantial. However, </w:t>
      </w:r>
      <w:r w:rsidR="00376C9C">
        <w:t>even with landings data</w:t>
      </w:r>
      <w:r w:rsidR="005A3053">
        <w:t>,</w:t>
      </w:r>
      <w:r w:rsidR="00376C9C">
        <w:t xml:space="preserve"> </w:t>
      </w:r>
      <w:r w:rsidR="00CA264F">
        <w:t>the estimate</w:t>
      </w:r>
      <w:r w:rsidR="00376C9C">
        <w:t>s</w:t>
      </w:r>
      <w:r w:rsidR="00CA264F">
        <w:t xml:space="preserve"> of </w:t>
      </w:r>
      <w:r w:rsidR="00CA264F" w:rsidRPr="00CA264F">
        <w:rPr>
          <w:i/>
        </w:rPr>
        <w:t>r</w:t>
      </w:r>
      <w:r w:rsidR="00CA264F">
        <w:t xml:space="preserve"> and relative biomass </w:t>
      </w:r>
      <w:r w:rsidR="00CA264F" w:rsidRPr="00CA264F">
        <w:rPr>
          <w:i/>
        </w:rPr>
        <w:t>B/k</w:t>
      </w:r>
      <w:r w:rsidR="00CA264F">
        <w:t xml:space="preserve"> seem to </w:t>
      </w:r>
      <w:r w:rsidR="00376C9C">
        <w:t>correctly reflect the productivity and the status of the stock (ICES 2014)</w:t>
      </w:r>
      <w:r w:rsidR="00CA264F">
        <w:t>.</w:t>
      </w:r>
    </w:p>
    <w:p w14:paraId="5F1C5B07" w14:textId="4A79C5F2" w:rsidR="00874594" w:rsidRDefault="007055B5" w:rsidP="004E4CDC">
      <w:pPr>
        <w:pStyle w:val="berschrift2"/>
        <w:spacing w:line="480" w:lineRule="auto"/>
      </w:pPr>
      <w:bookmarkStart w:id="29" w:name="_Toc410816108"/>
      <w:r>
        <w:t>4.8</w:t>
      </w:r>
      <w:r w:rsidR="003D4535">
        <w:t xml:space="preserve"> Using CMSY for management of data-limited stocks</w:t>
      </w:r>
      <w:bookmarkEnd w:id="29"/>
    </w:p>
    <w:p w14:paraId="5DDD0065" w14:textId="3F57C9DE" w:rsidR="003D4535" w:rsidRDefault="00B24587" w:rsidP="004E4CDC">
      <w:pPr>
        <w:spacing w:after="120" w:line="480" w:lineRule="auto"/>
      </w:pPr>
      <w:r w:rsidRPr="00843533">
        <w:t xml:space="preserve">The predictions </w:t>
      </w:r>
      <w:r>
        <w:t>of</w:t>
      </w:r>
      <w:r w:rsidRPr="00843533">
        <w:t xml:space="preserve"> CMSY can be presented in</w:t>
      </w:r>
      <w:r>
        <w:t xml:space="preserve"> a format useful for stock assessment and management of data-limited stocks (see Appendix IV in the online Supplement). In the example of Baltic brill (</w:t>
      </w:r>
      <w:r w:rsidRPr="002C13BD">
        <w:rPr>
          <w:i/>
        </w:rPr>
        <w:t>Scophthalmus rhombus</w:t>
      </w:r>
      <w:r>
        <w:t xml:space="preserve">, </w:t>
      </w:r>
      <w:r w:rsidR="00571057">
        <w:t xml:space="preserve">Scophthalmidae, </w:t>
      </w:r>
      <w:r>
        <w:t xml:space="preserve">bll-2232) (Figure 5), catches exceeded </w:t>
      </w:r>
      <w:r w:rsidRPr="002C13BD">
        <w:rPr>
          <w:i/>
        </w:rPr>
        <w:t>MSY</w:t>
      </w:r>
      <w:r>
        <w:t xml:space="preserve"> in 1995 and from 2008 to 2010, but exploitation was below the </w:t>
      </w:r>
      <w:r w:rsidRPr="009376A7">
        <w:rPr>
          <w:i/>
        </w:rPr>
        <w:t>MSY</w:t>
      </w:r>
      <w:r>
        <w:t xml:space="preserve">-level in recent years. Highly variable CPUE data are available from 2001 onward. Both CMSY and BSM predict biomass between half </w:t>
      </w:r>
      <w:r w:rsidRPr="00387856">
        <w:rPr>
          <w:i/>
        </w:rPr>
        <w:t>B</w:t>
      </w:r>
      <w:r w:rsidRPr="00387856">
        <w:rPr>
          <w:i/>
          <w:vertAlign w:val="subscript"/>
        </w:rPr>
        <w:t>msy</w:t>
      </w:r>
      <w:r>
        <w:t xml:space="preserve"> and </w:t>
      </w:r>
      <w:r w:rsidRPr="00387856">
        <w:rPr>
          <w:i/>
        </w:rPr>
        <w:t>B</w:t>
      </w:r>
      <w:r w:rsidRPr="00387856">
        <w:rPr>
          <w:i/>
          <w:vertAlign w:val="subscript"/>
        </w:rPr>
        <w:t>msy</w:t>
      </w:r>
      <w:r>
        <w:t xml:space="preserve"> in recent years. This information is summarized in a stock status graph, showing the development of the stock from the high-exploitation-low-biomass danger zone in the lower right quadrant of the graph towards the recovery zone in the upper half of the lower-left quadrant. If the goal is stock-recovery with better future yields, the management advice from this analysis is straightforward: maintain catches at their current low level until both CMSY and BSM predict biomass above </w:t>
      </w:r>
      <w:r w:rsidRPr="00387856">
        <w:rPr>
          <w:i/>
        </w:rPr>
        <w:t>B</w:t>
      </w:r>
      <w:r w:rsidRPr="00387856">
        <w:rPr>
          <w:i/>
          <w:vertAlign w:val="subscript"/>
        </w:rPr>
        <w:t>msy</w:t>
      </w:r>
      <w:r>
        <w:t xml:space="preserve"> for 2-3 years in a row. Then increase catches to the lower confidence limit of </w:t>
      </w:r>
      <w:r w:rsidRPr="00387856">
        <w:rPr>
          <w:i/>
        </w:rPr>
        <w:t>MSY</w:t>
      </w:r>
      <w:r>
        <w:t xml:space="preserve">. </w:t>
      </w:r>
      <w:r w:rsidR="00A96513">
        <w:t xml:space="preserve">  </w:t>
      </w:r>
      <w:r w:rsidR="007808A3">
        <w:t xml:space="preserve">    </w:t>
      </w:r>
      <w:r w:rsidR="002C13BD">
        <w:t xml:space="preserve"> </w:t>
      </w:r>
      <w:r w:rsidR="00843533">
        <w:t xml:space="preserve">  </w:t>
      </w:r>
      <w:r w:rsidR="00843533" w:rsidRPr="00843533">
        <w:t xml:space="preserve"> </w:t>
      </w:r>
    </w:p>
    <w:p w14:paraId="0034B3E6" w14:textId="12E77BB5" w:rsidR="00EA6741" w:rsidRPr="00843533" w:rsidRDefault="00EA6741" w:rsidP="004E4CDC">
      <w:pPr>
        <w:spacing w:after="120" w:line="480" w:lineRule="auto"/>
      </w:pPr>
      <w:r>
        <w:t>[Figure 5 near here]</w:t>
      </w:r>
    </w:p>
    <w:p w14:paraId="2E4E0664" w14:textId="41E0DE3F" w:rsidR="00DF58E5" w:rsidRDefault="00B24587" w:rsidP="00DE4D38">
      <w:pPr>
        <w:spacing w:after="120" w:line="480" w:lineRule="auto"/>
      </w:pPr>
      <w:r>
        <w:lastRenderedPageBreak/>
        <w:t>Management advice is less clear for the data-limited stock of blond ray in ICES Division IXa (</w:t>
      </w:r>
      <w:r>
        <w:rPr>
          <w:i/>
        </w:rPr>
        <w:t>Raja brachyura</w:t>
      </w:r>
      <w:r>
        <w:t xml:space="preserve">, </w:t>
      </w:r>
      <w:r w:rsidR="00571057">
        <w:t xml:space="preserve">Rajidae, </w:t>
      </w:r>
      <w:r>
        <w:t>rjh-pore) (</w:t>
      </w:r>
      <w:r w:rsidRPr="00501B5D">
        <w:t>Figure 6</w:t>
      </w:r>
      <w:r>
        <w:t xml:space="preserve">), where CPUE data are only available from 2008 - 2014, too few for BSM analysis. CMSY predicts that catches were near </w:t>
      </w:r>
      <w:r w:rsidRPr="00B24587">
        <w:rPr>
          <w:i/>
        </w:rPr>
        <w:t>MSY</w:t>
      </w:r>
      <w:r>
        <w:t xml:space="preserve"> until 2005 and dropped to below half of </w:t>
      </w:r>
      <w:r w:rsidRPr="00B24587">
        <w:rPr>
          <w:i/>
        </w:rPr>
        <w:t>MSY</w:t>
      </w:r>
      <w:r>
        <w:t xml:space="preserve"> thereafter. Biomass recovers toward </w:t>
      </w:r>
      <w:r w:rsidRPr="00B24587">
        <w:rPr>
          <w:i/>
        </w:rPr>
        <w:t>B</w:t>
      </w:r>
      <w:r w:rsidRPr="00B24587">
        <w:rPr>
          <w:i/>
          <w:vertAlign w:val="subscript"/>
        </w:rPr>
        <w:t>msy</w:t>
      </w:r>
      <w:r>
        <w:t xml:space="preserve"> in 2014, however, there is a wide margin of uncertainty around that prediction. CPUE data show little change in biomass from 2008 to 2013 but confirm a drop in exploitation rate. Precautionary management may restrict catches at current levels until additional CPUE data </w:t>
      </w:r>
      <w:r w:rsidR="00B12680">
        <w:t xml:space="preserve">allow for a BSM analysis and confirm a recovery to </w:t>
      </w:r>
      <w:r w:rsidR="00B12680" w:rsidRPr="00B24587">
        <w:rPr>
          <w:i/>
        </w:rPr>
        <w:t>B</w:t>
      </w:r>
      <w:r w:rsidR="00B12680" w:rsidRPr="00B24587">
        <w:rPr>
          <w:i/>
          <w:vertAlign w:val="subscript"/>
        </w:rPr>
        <w:t>msy</w:t>
      </w:r>
      <w:r>
        <w:t>.</w:t>
      </w:r>
      <w:r w:rsidR="00B12680">
        <w:t xml:space="preserve"> At that point, the lower 95% confidence limit of </w:t>
      </w:r>
      <w:r w:rsidR="00B12680" w:rsidRPr="00B12680">
        <w:rPr>
          <w:i/>
        </w:rPr>
        <w:t>MSY</w:t>
      </w:r>
      <w:r w:rsidR="00B12680">
        <w:t xml:space="preserve"> can serve as guidance for allowed catches.</w:t>
      </w:r>
      <w:r>
        <w:t xml:space="preserve"> </w:t>
      </w:r>
      <w:r w:rsidR="002D68D9">
        <w:t xml:space="preserve"> </w:t>
      </w:r>
      <w:r w:rsidR="00B46248">
        <w:t xml:space="preserve"> </w:t>
      </w:r>
      <w:r w:rsidR="008D086F">
        <w:t xml:space="preserve"> </w:t>
      </w:r>
      <w:r w:rsidR="00B10D54">
        <w:t xml:space="preserve"> </w:t>
      </w:r>
    </w:p>
    <w:p w14:paraId="0EC77E80" w14:textId="77777777" w:rsidR="00B12680" w:rsidRDefault="00B12680" w:rsidP="00B12680">
      <w:pPr>
        <w:spacing w:after="120" w:line="480" w:lineRule="auto"/>
      </w:pPr>
      <w:r>
        <w:t>[Figure 6 near here]</w:t>
      </w:r>
    </w:p>
    <w:p w14:paraId="025801A0" w14:textId="5FC7E1C0" w:rsidR="00E84BB3" w:rsidRDefault="007E2BFF" w:rsidP="004E4CDC">
      <w:pPr>
        <w:spacing w:after="120" w:line="480" w:lineRule="auto"/>
      </w:pPr>
      <w:r w:rsidRPr="007E2BFF">
        <w:t xml:space="preserve">If no CPUE data are available, </w:t>
      </w:r>
      <w:r>
        <w:t>other indicators can be used to confirm the predictions of CMSY analysis</w:t>
      </w:r>
      <w:r w:rsidR="00704D41">
        <w:t xml:space="preserve"> before they are used </w:t>
      </w:r>
      <w:r w:rsidR="00AD10AF">
        <w:t>to inform</w:t>
      </w:r>
      <w:r w:rsidR="00704D41">
        <w:t xml:space="preserve"> management</w:t>
      </w:r>
      <w:r>
        <w:t>. For example, mean length in the catch relative to length at first maturity and relative to length at maximum cohort biomass can be used to derive independent evidence of stock status (</w:t>
      </w:r>
      <w:r w:rsidR="00E52DCB">
        <w:t>ICES 2014</w:t>
      </w:r>
      <w:r w:rsidR="00982302">
        <w:t>;</w:t>
      </w:r>
      <w:r w:rsidR="00E52DCB">
        <w:t xml:space="preserve"> </w:t>
      </w:r>
      <w:r w:rsidR="00982302" w:rsidRPr="00982302">
        <w:t xml:space="preserve">Jardim </w:t>
      </w:r>
      <w:r w:rsidR="00982302" w:rsidRPr="00982302">
        <w:rPr>
          <w:i/>
        </w:rPr>
        <w:t>et al</w:t>
      </w:r>
      <w:r w:rsidR="00982302">
        <w:t>. 2014</w:t>
      </w:r>
      <w:r w:rsidR="00C70DED">
        <w:t xml:space="preserve">; Froese </w:t>
      </w:r>
      <w:r w:rsidR="00C70DED" w:rsidRPr="00C70DED">
        <w:rPr>
          <w:i/>
        </w:rPr>
        <w:t>et al</w:t>
      </w:r>
      <w:r w:rsidR="00C70DED">
        <w:t>. 2015</w:t>
      </w:r>
      <w:r w:rsidR="00612DEC">
        <w:t>; ICES 2015</w:t>
      </w:r>
      <w:r>
        <w:t xml:space="preserve">).   </w:t>
      </w:r>
    </w:p>
    <w:p w14:paraId="3CA6503E" w14:textId="4C3F332E" w:rsidR="00D91678" w:rsidRPr="007E2BFF" w:rsidRDefault="00D91678" w:rsidP="004E4CDC">
      <w:pPr>
        <w:spacing w:after="120" w:line="480" w:lineRule="auto"/>
      </w:pPr>
      <w:r>
        <w:t xml:space="preserve">Given the renewed interest in the </w:t>
      </w:r>
      <w:r w:rsidRPr="00364D72">
        <w:rPr>
          <w:i/>
        </w:rPr>
        <w:t>MSY</w:t>
      </w:r>
      <w:r>
        <w:t xml:space="preserve"> concept, it may be worthwhile to repeat </w:t>
      </w:r>
      <w:r w:rsidR="00AD10AF">
        <w:t xml:space="preserve">the following </w:t>
      </w:r>
      <w:r>
        <w:t>warning of the Food and Agriculture Organization of the United Nations (FAO), given at an expert consultation on the regulation of fishing effort in Rome, 17–26 January 1983: “Attempts to tune a system for attainment of maximum output (</w:t>
      </w:r>
      <w:r w:rsidRPr="00364D72">
        <w:rPr>
          <w:i/>
        </w:rPr>
        <w:t>MSY</w:t>
      </w:r>
      <w:r>
        <w:t xml:space="preserve">) will lead to oscillation, unpredictability and, because of the inertia of the socio-economic system, eventually to crashes (whether reversible or not). A lower level of output is safer and more predictable” (Caddy 1984). </w:t>
      </w:r>
      <w:r w:rsidR="00564B78">
        <w:t xml:space="preserve">This warning is confirmed by the </w:t>
      </w:r>
      <w:r w:rsidR="001D083F">
        <w:t xml:space="preserve">recent </w:t>
      </w:r>
      <w:r w:rsidR="00564B78">
        <w:t xml:space="preserve">exploitation history of the </w:t>
      </w:r>
      <w:r w:rsidR="005D1E9F">
        <w:t>1</w:t>
      </w:r>
      <w:r w:rsidR="004025C2">
        <w:t>28</w:t>
      </w:r>
      <w:r w:rsidR="005D1E9F">
        <w:t xml:space="preserve"> fully assessed </w:t>
      </w:r>
      <w:r w:rsidR="00564B78">
        <w:t>stocks examined in this study</w:t>
      </w:r>
      <w:r w:rsidR="004025C2">
        <w:t>: maximum catches</w:t>
      </w:r>
      <w:r w:rsidR="005D1E9F">
        <w:t xml:space="preserve"> had exceeded</w:t>
      </w:r>
      <w:r w:rsidR="00A26677">
        <w:t xml:space="preserve"> </w:t>
      </w:r>
      <w:r w:rsidR="005D1E9F" w:rsidRPr="00364D72">
        <w:rPr>
          <w:i/>
        </w:rPr>
        <w:t>MSY</w:t>
      </w:r>
      <w:r w:rsidR="00A26677">
        <w:t xml:space="preserve"> </w:t>
      </w:r>
      <w:r w:rsidR="005D1E9F">
        <w:t xml:space="preserve">in </w:t>
      </w:r>
      <w:r w:rsidR="004025C2">
        <w:t>92</w:t>
      </w:r>
      <w:r w:rsidR="009D470A">
        <w:t>% of the stock</w:t>
      </w:r>
      <w:r w:rsidR="00043954">
        <w:t>s</w:t>
      </w:r>
      <w:r w:rsidR="005D1E9F">
        <w:t xml:space="preserve">, resulting in recent biomass </w:t>
      </w:r>
      <w:r w:rsidR="00BA1CC0">
        <w:t xml:space="preserve">below the level that can produce </w:t>
      </w:r>
      <w:r w:rsidR="00BA1CC0" w:rsidRPr="00364D72">
        <w:rPr>
          <w:i/>
        </w:rPr>
        <w:t>MSY</w:t>
      </w:r>
      <w:r w:rsidR="00BA1CC0">
        <w:t xml:space="preserve"> in</w:t>
      </w:r>
      <w:r w:rsidR="009D470A">
        <w:t xml:space="preserve"> </w:t>
      </w:r>
      <w:r w:rsidR="004025C2">
        <w:t>58</w:t>
      </w:r>
      <w:r w:rsidR="009D470A">
        <w:t>%</w:t>
      </w:r>
      <w:r w:rsidR="009739B5">
        <w:t xml:space="preserve"> and</w:t>
      </w:r>
      <w:r w:rsidR="00BA1CC0">
        <w:t xml:space="preserve"> potentially reduced recruitment (</w:t>
      </w:r>
      <w:r w:rsidR="00BA1CC0" w:rsidRPr="00364D72">
        <w:rPr>
          <w:i/>
        </w:rPr>
        <w:t>B</w:t>
      </w:r>
      <w:r w:rsidR="00BA1CC0">
        <w:t>/</w:t>
      </w:r>
      <w:r w:rsidR="009739B5">
        <w:rPr>
          <w:i/>
        </w:rPr>
        <w:t xml:space="preserve">k </w:t>
      </w:r>
      <w:r w:rsidR="00BA1CC0">
        <w:t>&lt; 0.</w:t>
      </w:r>
      <w:r w:rsidR="009739B5">
        <w:t>2</w:t>
      </w:r>
      <w:r w:rsidR="00BA1CC0">
        <w:t xml:space="preserve">5) in </w:t>
      </w:r>
      <w:r w:rsidR="004025C2">
        <w:t>20</w:t>
      </w:r>
      <w:r w:rsidR="009D470A">
        <w:t>%</w:t>
      </w:r>
      <w:r w:rsidR="009739B5">
        <w:t xml:space="preserve"> of these stocks. </w:t>
      </w:r>
      <w:r w:rsidR="004025C2">
        <w:t>Four</w:t>
      </w:r>
      <w:r w:rsidR="009739B5">
        <w:t xml:space="preserve"> stocks </w:t>
      </w:r>
      <w:r w:rsidR="00BC536B">
        <w:t>(</w:t>
      </w:r>
      <w:r w:rsidR="004025C2">
        <w:t>3</w:t>
      </w:r>
      <w:r w:rsidR="00BC536B">
        <w:t xml:space="preserve">%) </w:t>
      </w:r>
      <w:r w:rsidR="009739B5">
        <w:t>were</w:t>
      </w:r>
      <w:r w:rsidR="00391703">
        <w:t xml:space="preserve"> </w:t>
      </w:r>
      <w:r w:rsidR="00BA1CC0">
        <w:t>severe</w:t>
      </w:r>
      <w:r w:rsidR="009739B5">
        <w:t>ly</w:t>
      </w:r>
      <w:r w:rsidR="00BA1CC0">
        <w:t xml:space="preserve"> deplet</w:t>
      </w:r>
      <w:r w:rsidR="009739B5">
        <w:t>ed</w:t>
      </w:r>
      <w:r w:rsidR="00BA1CC0">
        <w:t xml:space="preserve"> (</w:t>
      </w:r>
      <w:r w:rsidR="00BA1CC0" w:rsidRPr="00364D72">
        <w:rPr>
          <w:i/>
        </w:rPr>
        <w:t>B</w:t>
      </w:r>
      <w:r w:rsidR="00BA1CC0">
        <w:t>/</w:t>
      </w:r>
      <w:r w:rsidR="00BA1CC0" w:rsidRPr="00364D72">
        <w:rPr>
          <w:i/>
        </w:rPr>
        <w:t>k</w:t>
      </w:r>
      <w:r w:rsidR="00BA1CC0">
        <w:t xml:space="preserve"> &lt; </w:t>
      </w:r>
      <w:r w:rsidR="00BA1CC0">
        <w:lastRenderedPageBreak/>
        <w:t>0.1)</w:t>
      </w:r>
      <w:r w:rsidR="009739B5">
        <w:t>.</w:t>
      </w:r>
      <w:r w:rsidR="00BA1CC0">
        <w:t xml:space="preserve"> </w:t>
      </w:r>
      <w:r w:rsidR="00A26677">
        <w:t xml:space="preserve">In contrast, </w:t>
      </w:r>
      <w:r w:rsidR="004025C2">
        <w:t xml:space="preserve">all </w:t>
      </w:r>
      <w:r w:rsidR="00BC536B">
        <w:t>of</w:t>
      </w:r>
      <w:r w:rsidR="00391703">
        <w:t xml:space="preserve"> the </w:t>
      </w:r>
      <w:r w:rsidR="004025C2">
        <w:t>10</w:t>
      </w:r>
      <w:r w:rsidR="00BC536B">
        <w:t xml:space="preserve"> stocks</w:t>
      </w:r>
      <w:r w:rsidR="009739B5">
        <w:t xml:space="preserve"> </w:t>
      </w:r>
      <w:r w:rsidR="00391703">
        <w:t xml:space="preserve">where exploitation </w:t>
      </w:r>
      <w:r w:rsidR="00612DEC">
        <w:t>was kept below</w:t>
      </w:r>
      <w:r w:rsidR="004025C2">
        <w:t xml:space="preserve"> </w:t>
      </w:r>
      <w:r w:rsidR="009739B5" w:rsidRPr="009739B5">
        <w:rPr>
          <w:i/>
        </w:rPr>
        <w:t>MSY</w:t>
      </w:r>
      <w:r w:rsidR="004025C2">
        <w:rPr>
          <w:i/>
        </w:rPr>
        <w:t xml:space="preserve"> </w:t>
      </w:r>
      <w:r w:rsidR="009739B5">
        <w:t xml:space="preserve">had </w:t>
      </w:r>
      <w:r w:rsidR="00391703">
        <w:t xml:space="preserve">recent biomass </w:t>
      </w:r>
      <w:r w:rsidR="009739B5">
        <w:t xml:space="preserve">levels </w:t>
      </w:r>
      <w:r w:rsidR="00391703">
        <w:t>above</w:t>
      </w:r>
      <w:r w:rsidR="009739B5">
        <w:t xml:space="preserve"> the one that can produce </w:t>
      </w:r>
      <w:r w:rsidR="009739B5" w:rsidRPr="009739B5">
        <w:rPr>
          <w:i/>
        </w:rPr>
        <w:t>MSY</w:t>
      </w:r>
      <w:r w:rsidR="00332A64">
        <w:t xml:space="preserve">, as predicted by the expert consultation in 1983 (Caddy 1984).  </w:t>
      </w:r>
    </w:p>
    <w:p w14:paraId="0542FBB2" w14:textId="338EEF5F" w:rsidR="00874594" w:rsidRPr="00874594" w:rsidRDefault="00874594" w:rsidP="004E4CDC">
      <w:pPr>
        <w:pStyle w:val="berschrift1"/>
        <w:spacing w:line="480" w:lineRule="auto"/>
      </w:pPr>
      <w:bookmarkStart w:id="30" w:name="_Toc410816109"/>
      <w:r w:rsidRPr="00874594">
        <w:t>5 Conclusions</w:t>
      </w:r>
      <w:bookmarkEnd w:id="30"/>
      <w:r w:rsidRPr="00874594">
        <w:tab/>
      </w:r>
    </w:p>
    <w:p w14:paraId="75BE815A" w14:textId="17BA8B24" w:rsidR="008A4D2A" w:rsidRDefault="008A4D2A" w:rsidP="004E4CDC">
      <w:pPr>
        <w:spacing w:after="120" w:line="480" w:lineRule="auto"/>
        <w:jc w:val="both"/>
      </w:pPr>
      <w:r>
        <w:t xml:space="preserve">This study presents a Monte Carlo </w:t>
      </w:r>
      <w:r w:rsidR="00BB6AD5">
        <w:t xml:space="preserve">method </w:t>
      </w:r>
      <w:r w:rsidR="00A24CDF">
        <w:t>(CMSY)</w:t>
      </w:r>
      <w:r>
        <w:t xml:space="preserve"> for estimating fisheries reference points from catch, resilience, and qualitative stock status</w:t>
      </w:r>
      <w:r w:rsidR="00A24CDF">
        <w:t xml:space="preserve"> in data-limited stocks</w:t>
      </w:r>
      <w:r>
        <w:t xml:space="preserve">. It also presents a new Bayesian </w:t>
      </w:r>
      <w:r w:rsidR="009B202B">
        <w:t xml:space="preserve">state-space </w:t>
      </w:r>
      <w:r>
        <w:t>implementation of the Schaefer production model (BSM), f</w:t>
      </w:r>
      <w:r w:rsidR="00A24CDF">
        <w:t>itted to</w:t>
      </w:r>
      <w:r>
        <w:t xml:space="preserve"> catch and biomass or </w:t>
      </w:r>
      <w:r w:rsidR="0086353E">
        <w:t>CPUE.</w:t>
      </w:r>
      <w:r w:rsidR="002202D0">
        <w:t xml:space="preserve"> Both methods consider reduced recruitment and thus reduced productivity at low stock sizes</w:t>
      </w:r>
      <w:r w:rsidR="005A3053">
        <w:t xml:space="preserve"> and </w:t>
      </w:r>
      <w:r w:rsidR="000C6BD6">
        <w:t xml:space="preserve">gave </w:t>
      </w:r>
      <w:r>
        <w:t xml:space="preserve">good predictions of </w:t>
      </w:r>
      <w:r w:rsidRPr="008A4D2A">
        <w:rPr>
          <w:i/>
        </w:rPr>
        <w:t>r</w:t>
      </w:r>
      <w:r>
        <w:t xml:space="preserve">, </w:t>
      </w:r>
      <w:r w:rsidRPr="008A4D2A">
        <w:rPr>
          <w:i/>
        </w:rPr>
        <w:t>k</w:t>
      </w:r>
      <w:r>
        <w:t xml:space="preserve"> and </w:t>
      </w:r>
      <w:r w:rsidRPr="008A4D2A">
        <w:rPr>
          <w:i/>
        </w:rPr>
        <w:t>MSY</w:t>
      </w:r>
      <w:r>
        <w:t xml:space="preserve"> when </w:t>
      </w:r>
      <w:r w:rsidR="002202D0">
        <w:t>validated against</w:t>
      </w:r>
      <w:r>
        <w:t xml:space="preserve"> simulated data</w:t>
      </w:r>
      <w:r w:rsidR="00CC557D">
        <w:t>.</w:t>
      </w:r>
      <w:r>
        <w:t xml:space="preserve"> CMSY provide</w:t>
      </w:r>
      <w:r w:rsidR="0086353E">
        <w:t>s</w:t>
      </w:r>
      <w:r>
        <w:t>, in addition, reasonable predictions of relative biomass and exploitation rate</w:t>
      </w:r>
      <w:r w:rsidR="0086353E">
        <w:t xml:space="preserve"> when compared with</w:t>
      </w:r>
      <w:r w:rsidR="00A24CDF">
        <w:t xml:space="preserve"> </w:t>
      </w:r>
      <w:r w:rsidR="00771C9A">
        <w:t xml:space="preserve">“true” </w:t>
      </w:r>
      <w:r w:rsidR="00A24CDF">
        <w:t>simulated data</w:t>
      </w:r>
      <w:r>
        <w:t>. Both mod</w:t>
      </w:r>
      <w:r w:rsidR="00A24CDF">
        <w:t xml:space="preserve">els were also </w:t>
      </w:r>
      <w:r w:rsidR="002202D0">
        <w:t>evaluated</w:t>
      </w:r>
      <w:r w:rsidR="00A24CDF">
        <w:t xml:space="preserve"> against 1</w:t>
      </w:r>
      <w:r w:rsidR="002202D0">
        <w:t>28</w:t>
      </w:r>
      <w:r>
        <w:t xml:space="preserve"> </w:t>
      </w:r>
      <w:r w:rsidR="00A24CDF">
        <w:t>real</w:t>
      </w:r>
      <w:r>
        <w:t xml:space="preserve"> stocks</w:t>
      </w:r>
      <w:r w:rsidR="00A24CDF">
        <w:t xml:space="preserve">, where estimates of biomass were available from full stock assessments. BSM estimates of </w:t>
      </w:r>
      <w:r w:rsidR="00A24CDF" w:rsidRPr="00A24CDF">
        <w:rPr>
          <w:i/>
        </w:rPr>
        <w:t>r</w:t>
      </w:r>
      <w:r w:rsidR="00A24CDF">
        <w:t xml:space="preserve">, </w:t>
      </w:r>
      <w:r w:rsidR="00A24CDF" w:rsidRPr="00A24CDF">
        <w:rPr>
          <w:i/>
        </w:rPr>
        <w:t>k</w:t>
      </w:r>
      <w:r w:rsidR="00A24CDF">
        <w:t xml:space="preserve">, and </w:t>
      </w:r>
      <w:r w:rsidR="00A24CDF" w:rsidRPr="00A24CDF">
        <w:rPr>
          <w:i/>
        </w:rPr>
        <w:t>MSY</w:t>
      </w:r>
      <w:r w:rsidR="00A24CDF">
        <w:t xml:space="preserve"> were used as benchmark</w:t>
      </w:r>
      <w:r w:rsidR="00043954">
        <w:t>s</w:t>
      </w:r>
      <w:r w:rsidR="00A24CDF">
        <w:t xml:space="preserve"> for the respective CMSY estimates. </w:t>
      </w:r>
      <w:r w:rsidR="00771C9A">
        <w:t xml:space="preserve">These estimates </w:t>
      </w:r>
      <w:r w:rsidR="0000545B">
        <w:t xml:space="preserve">were not </w:t>
      </w:r>
      <w:r w:rsidR="00771C9A">
        <w:t>significantly different</w:t>
      </w:r>
      <w:r w:rsidR="0000545B">
        <w:t xml:space="preserve"> </w:t>
      </w:r>
      <w:r w:rsidR="00771C9A">
        <w:t xml:space="preserve">in </w:t>
      </w:r>
      <w:r w:rsidR="0000545B">
        <w:t>76%</w:t>
      </w:r>
      <w:r w:rsidR="00771C9A">
        <w:t xml:space="preserve"> of the stocks. A similar test against 2</w:t>
      </w:r>
      <w:r w:rsidR="002202D0">
        <w:t>8</w:t>
      </w:r>
      <w:r w:rsidR="00771C9A">
        <w:t xml:space="preserve"> data-limited stocks</w:t>
      </w:r>
      <w:r w:rsidR="006B2517">
        <w:t>,</w:t>
      </w:r>
      <w:r w:rsidR="00771C9A">
        <w:t xml:space="preserve"> where CPUE instead of biomass was available, show</w:t>
      </w:r>
      <w:r w:rsidR="0086353E">
        <w:t>s</w:t>
      </w:r>
      <w:r w:rsidR="00771C9A">
        <w:t xml:space="preserve"> that BSM and CMSY estimates </w:t>
      </w:r>
      <w:r w:rsidR="00233AEF">
        <w:t>we</w:t>
      </w:r>
      <w:r w:rsidR="0000545B">
        <w:t xml:space="preserve">re not </w:t>
      </w:r>
      <w:r w:rsidR="00771C9A">
        <w:t xml:space="preserve">significantly different in </w:t>
      </w:r>
      <w:r w:rsidR="0000545B">
        <w:t>89</w:t>
      </w:r>
      <w:r w:rsidR="009C616D">
        <w:t>%</w:t>
      </w:r>
      <w:r w:rsidR="00771C9A">
        <w:t xml:space="preserve"> of the stocks. Examples for us</w:t>
      </w:r>
      <w:r w:rsidR="006B2517">
        <w:t>ing</w:t>
      </w:r>
      <w:r w:rsidR="00771C9A">
        <w:t xml:space="preserve"> CMSY in the management of data-limited stocks are given</w:t>
      </w:r>
      <w:r w:rsidR="002202D0">
        <w:t>.</w:t>
      </w:r>
      <w:r w:rsidR="00771C9A">
        <w:t xml:space="preserve">   </w:t>
      </w:r>
    </w:p>
    <w:p w14:paraId="0A8D5FEC" w14:textId="0907DB6C" w:rsidR="00C839EB" w:rsidRPr="00874594" w:rsidRDefault="00677125" w:rsidP="004E4CDC">
      <w:pPr>
        <w:pStyle w:val="berschrift1"/>
        <w:spacing w:line="480" w:lineRule="auto"/>
      </w:pPr>
      <w:bookmarkStart w:id="31" w:name="_Toc410816110"/>
      <w:r>
        <w:t>6</w:t>
      </w:r>
      <w:r w:rsidR="00C839EB" w:rsidRPr="00874594">
        <w:t xml:space="preserve"> Acknowledgements</w:t>
      </w:r>
      <w:bookmarkEnd w:id="31"/>
    </w:p>
    <w:p w14:paraId="6CA59FBF" w14:textId="24DD8FA3" w:rsidR="0059656C" w:rsidRPr="0059656C" w:rsidRDefault="00B96DD2" w:rsidP="004E4CDC">
      <w:pPr>
        <w:spacing w:after="120" w:line="480" w:lineRule="auto"/>
      </w:pPr>
      <w:r w:rsidRPr="00B96DD2">
        <w:t>Gianpaolo Coro</w:t>
      </w:r>
      <w:r>
        <w:rPr>
          <w:b/>
        </w:rPr>
        <w:t xml:space="preserve"> </w:t>
      </w:r>
      <w:r>
        <w:t xml:space="preserve">acknowledges the Pew Charitable Trusts for having supported his participation to the ICES WKLife 4 meeting, </w:t>
      </w:r>
      <w:r w:rsidRPr="00B96DD2">
        <w:rPr>
          <w:lang w:val="en-GB"/>
        </w:rPr>
        <w:t xml:space="preserve">27-31 October 2014, </w:t>
      </w:r>
      <w:r>
        <w:rPr>
          <w:lang w:val="en-GB"/>
        </w:rPr>
        <w:t xml:space="preserve">in </w:t>
      </w:r>
      <w:r w:rsidRPr="00B96DD2">
        <w:rPr>
          <w:lang w:val="en-GB"/>
        </w:rPr>
        <w:t>Lisbon, Portugal</w:t>
      </w:r>
      <w:r>
        <w:t xml:space="preserve">. </w:t>
      </w:r>
      <w:r w:rsidR="0059656C" w:rsidRPr="0059656C">
        <w:t>Rainer Froese acknowledges support by the European Union’s Seventh Framework Programme (FP7/2007-2013) under grant agreement 244706/ECOKNOWS project</w:t>
      </w:r>
      <w:r w:rsidR="0059656C">
        <w:t xml:space="preserve"> </w:t>
      </w:r>
      <w:r w:rsidR="0059656C" w:rsidRPr="0059656C">
        <w:t>and by the Lenfest Ocean Program at The Pew Charitable Trusts under contract ID 00002841. Nazli Demirel acknowledges support from The Scientific and Technological Research Council of Turkey (TUBITAK).</w:t>
      </w:r>
      <w:r w:rsidR="00F70CD1">
        <w:t xml:space="preserve"> </w:t>
      </w:r>
      <w:r w:rsidR="00F70CD1" w:rsidRPr="00096B05">
        <w:t xml:space="preserve">Kristin Kleisner </w:t>
      </w:r>
      <w:r w:rsidR="00F70CD1" w:rsidRPr="0059656C">
        <w:t xml:space="preserve">acknowledges support </w:t>
      </w:r>
      <w:r w:rsidR="00F70CD1" w:rsidRPr="00096B05">
        <w:t xml:space="preserve">through the National </w:t>
      </w:r>
      <w:r w:rsidR="00F70CD1" w:rsidRPr="00096B05">
        <w:rPr>
          <w:rFonts w:cs="Times New Roman"/>
        </w:rPr>
        <w:lastRenderedPageBreak/>
        <w:t>Oceanographic and</w:t>
      </w:r>
      <w:r w:rsidR="00F70CD1" w:rsidRPr="00096B05">
        <w:t xml:space="preserve"> </w:t>
      </w:r>
      <w:r w:rsidR="00F70CD1" w:rsidRPr="00096B05">
        <w:rPr>
          <w:rFonts w:cs="Times New Roman"/>
        </w:rPr>
        <w:t>Atmospheric Administration’s Northeast Fisheries Science Center and The Nature</w:t>
      </w:r>
      <w:r w:rsidR="00F70CD1" w:rsidRPr="00096B05">
        <w:t xml:space="preserve"> </w:t>
      </w:r>
      <w:r w:rsidR="00F70CD1" w:rsidRPr="00096B05">
        <w:rPr>
          <w:rFonts w:cs="Times New Roman"/>
        </w:rPr>
        <w:t>Conservancy with a grant from the Gordon and Betty Moore Foundation.</w:t>
      </w:r>
      <w:r w:rsidR="009B202B">
        <w:rPr>
          <w:rFonts w:cs="Times New Roman"/>
        </w:rPr>
        <w:t xml:space="preserve"> Thi</w:t>
      </w:r>
      <w:r w:rsidR="00E93C6F">
        <w:rPr>
          <w:rFonts w:cs="Times New Roman"/>
        </w:rPr>
        <w:t>s is FIN contribution number 200</w:t>
      </w:r>
      <w:r w:rsidR="009B202B">
        <w:rPr>
          <w:rFonts w:cs="Times New Roman"/>
        </w:rPr>
        <w:t xml:space="preserve">. </w:t>
      </w:r>
    </w:p>
    <w:p w14:paraId="28EE5960" w14:textId="5AAFFC40" w:rsidR="000D6663" w:rsidRPr="00874594" w:rsidRDefault="00612DEC" w:rsidP="004E4CDC">
      <w:pPr>
        <w:pStyle w:val="berschrift1"/>
        <w:spacing w:line="480" w:lineRule="auto"/>
      </w:pPr>
      <w:bookmarkStart w:id="32" w:name="_Toc410816111"/>
      <w:r>
        <w:t>7</w:t>
      </w:r>
      <w:r w:rsidR="00C839EB" w:rsidRPr="00874594">
        <w:t xml:space="preserve"> References</w:t>
      </w:r>
      <w:bookmarkEnd w:id="32"/>
      <w:r w:rsidR="000D6663" w:rsidRPr="00874594">
        <w:tab/>
      </w:r>
      <w:r w:rsidR="000D6663" w:rsidRPr="00874594">
        <w:tab/>
      </w:r>
    </w:p>
    <w:p w14:paraId="68144589" w14:textId="0FC74BBA" w:rsidR="00BA4E26" w:rsidRDefault="00BA4E26" w:rsidP="004E4CDC">
      <w:pPr>
        <w:spacing w:before="100" w:beforeAutospacing="1" w:line="480" w:lineRule="auto"/>
        <w:rPr>
          <w:lang w:val="en-GB"/>
        </w:rPr>
      </w:pPr>
      <w:r w:rsidRPr="00BA4E26">
        <w:t xml:space="preserve">Barrowman, N.J. and Myers, R.A. (2000) Still more spawner–recruitment curves: the hockey stick and its generalizations. </w:t>
      </w:r>
      <w:r w:rsidRPr="00BA4E26">
        <w:rPr>
          <w:i/>
          <w:iCs/>
        </w:rPr>
        <w:t>Canadian Journal of Fisheries and Aquatic Sciences</w:t>
      </w:r>
      <w:r w:rsidRPr="00BA4E26">
        <w:t xml:space="preserve"> </w:t>
      </w:r>
      <w:r w:rsidRPr="00BA4E26">
        <w:rPr>
          <w:b/>
          <w:bCs/>
        </w:rPr>
        <w:t>57</w:t>
      </w:r>
      <w:r w:rsidRPr="00BA4E26">
        <w:t>, 665–676.</w:t>
      </w:r>
    </w:p>
    <w:p w14:paraId="59BD410D" w14:textId="77777777" w:rsidR="00BA4E26" w:rsidRPr="00BA4E26" w:rsidRDefault="00BA4E26" w:rsidP="00BA4E26">
      <w:pPr>
        <w:spacing w:before="100" w:beforeAutospacing="1" w:line="480" w:lineRule="auto"/>
      </w:pPr>
      <w:r w:rsidRPr="00BA4E26">
        <w:t>Beverton, R.J.H. and Holt, S.J. (1957) On the dynamics of exploited fish populations. Great Britain Ministry of Agriculture, Fisheries and Food, London.</w:t>
      </w:r>
    </w:p>
    <w:p w14:paraId="2C362320" w14:textId="77777777" w:rsidR="00E47370" w:rsidRPr="00F30B65" w:rsidRDefault="00E47370" w:rsidP="004E4CDC">
      <w:pPr>
        <w:spacing w:before="100" w:beforeAutospacing="1" w:line="480" w:lineRule="auto"/>
        <w:rPr>
          <w:lang w:val="en-GB"/>
        </w:rPr>
      </w:pPr>
      <w:r w:rsidRPr="00F30B65">
        <w:rPr>
          <w:lang w:val="en-GB"/>
        </w:rPr>
        <w:t xml:space="preserve">Caddy, J.F. (1983) An alternative to equilibrium theory for management of fisheries. </w:t>
      </w:r>
      <w:r w:rsidRPr="00F30B65">
        <w:rPr>
          <w:i/>
          <w:lang w:val="en-GB"/>
        </w:rPr>
        <w:t>In</w:t>
      </w:r>
      <w:r w:rsidRPr="00F30B65">
        <w:rPr>
          <w:lang w:val="en-GB"/>
        </w:rPr>
        <w:t xml:space="preserve"> FAO (1984) </w:t>
      </w:r>
      <w:r w:rsidRPr="004C62C6">
        <w:t xml:space="preserve">Papers presented at the Expert Consultation on the regulation of fishing effort (fishing mortality). Rome, 17–26 January 1983. A preparatory meeting for the FAO World Conference on fisheries management and development. </w:t>
      </w:r>
      <w:r w:rsidRPr="00F30B65">
        <w:rPr>
          <w:i/>
        </w:rPr>
        <w:t>FAO Fisheries Report</w:t>
      </w:r>
      <w:r>
        <w:t xml:space="preserve"> No. 289</w:t>
      </w:r>
      <w:r w:rsidRPr="004C62C6">
        <w:t xml:space="preserve"> </w:t>
      </w:r>
      <w:r>
        <w:t>Suppl.</w:t>
      </w:r>
      <w:r w:rsidRPr="004C62C6">
        <w:t xml:space="preserve"> </w:t>
      </w:r>
      <w:r>
        <w:t>2,</w:t>
      </w:r>
      <w:r w:rsidRPr="004C62C6">
        <w:t xml:space="preserve"> 214 p.</w:t>
      </w:r>
    </w:p>
    <w:p w14:paraId="33EE404B" w14:textId="77777777" w:rsidR="00E47370" w:rsidRPr="00F30B65" w:rsidRDefault="00E47370" w:rsidP="004E4CDC">
      <w:pPr>
        <w:spacing w:before="100" w:beforeAutospacing="1" w:line="480" w:lineRule="auto"/>
        <w:rPr>
          <w:lang w:val="en-GB"/>
        </w:rPr>
      </w:pPr>
      <w:r w:rsidRPr="00F30B65">
        <w:rPr>
          <w:lang w:val="en-GB"/>
        </w:rPr>
        <w:t>Carruthers, T.R., Punt, A.E., Walters, C.J., MAcCall, A., McAllister, M.K., Dick, E.J</w:t>
      </w:r>
      <w:r>
        <w:rPr>
          <w:lang w:val="en-GB"/>
        </w:rPr>
        <w:t>. and</w:t>
      </w:r>
      <w:r w:rsidRPr="00F30B65">
        <w:rPr>
          <w:lang w:val="en-GB"/>
        </w:rPr>
        <w:t xml:space="preserve"> Cope, J. (2014) Evaluating methods for setting catch limits in data-limited fisheries. </w:t>
      </w:r>
      <w:r w:rsidRPr="00F30B65">
        <w:rPr>
          <w:i/>
          <w:lang w:val="en-GB"/>
        </w:rPr>
        <w:t>Fisheries Research</w:t>
      </w:r>
      <w:r w:rsidRPr="00F30B65">
        <w:rPr>
          <w:lang w:val="en-GB"/>
        </w:rPr>
        <w:t xml:space="preserve"> </w:t>
      </w:r>
      <w:r w:rsidRPr="00F30B65">
        <w:rPr>
          <w:b/>
          <w:lang w:val="en-GB"/>
        </w:rPr>
        <w:t>153,</w:t>
      </w:r>
      <w:r w:rsidRPr="00F30B65">
        <w:rPr>
          <w:lang w:val="en-GB"/>
        </w:rPr>
        <w:t xml:space="preserve"> 48-68. </w:t>
      </w:r>
    </w:p>
    <w:p w14:paraId="56254387" w14:textId="77777777" w:rsidR="00E47370" w:rsidRPr="004C62C6" w:rsidRDefault="00E47370" w:rsidP="004E4CDC">
      <w:pPr>
        <w:spacing w:before="100" w:beforeAutospacing="1" w:line="480" w:lineRule="auto"/>
      </w:pPr>
      <w:r w:rsidRPr="004C62C6">
        <w:t xml:space="preserve">CFP (2013) 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 </w:t>
      </w:r>
      <w:r w:rsidRPr="00F30B65">
        <w:rPr>
          <w:i/>
        </w:rPr>
        <w:t xml:space="preserve">Official Journal of the European Union L </w:t>
      </w:r>
      <w:r w:rsidRPr="00F30B65">
        <w:rPr>
          <w:b/>
        </w:rPr>
        <w:t>354</w:t>
      </w:r>
      <w:r w:rsidRPr="004C62C6">
        <w:t xml:space="preserve">, 22-61. Available at: </w:t>
      </w:r>
      <w:hyperlink r:id="rId16" w:history="1">
        <w:r w:rsidRPr="004C62C6">
          <w:rPr>
            <w:rStyle w:val="Hyperlink"/>
          </w:rPr>
          <w:t>http://eur-lex.europa.eu/LexUriServ/LexUriServ.do?uri=OJ:L:2013:354:0022:0061:EN:PDF</w:t>
        </w:r>
      </w:hyperlink>
      <w:r w:rsidRPr="004C62C6">
        <w:t xml:space="preserve"> (accessed on 19th December 2014)</w:t>
      </w:r>
    </w:p>
    <w:p w14:paraId="6E9C7A6A" w14:textId="77777777" w:rsidR="00E47370" w:rsidRPr="00F30B65" w:rsidRDefault="00E47370" w:rsidP="004E4CDC">
      <w:pPr>
        <w:spacing w:before="100" w:beforeAutospacing="1" w:line="480" w:lineRule="auto"/>
        <w:rPr>
          <w:lang w:val="en-GB"/>
        </w:rPr>
      </w:pPr>
      <w:r w:rsidRPr="00F30B65">
        <w:rPr>
          <w:lang w:val="en-GB"/>
        </w:rPr>
        <w:lastRenderedPageBreak/>
        <w:t xml:space="preserve">Cope, J. and Punt, A.E. (2009) Length-based reference points for data-limited situations: applications and restrictions. </w:t>
      </w:r>
      <w:r w:rsidRPr="00F30B65">
        <w:rPr>
          <w:i/>
        </w:rPr>
        <w:t>Marine and Coastal Fisheries: Dynamics, Management, and Ecosystem Science</w:t>
      </w:r>
      <w:r w:rsidRPr="004C62C6">
        <w:t xml:space="preserve"> </w:t>
      </w:r>
      <w:r w:rsidRPr="00F30B65">
        <w:rPr>
          <w:b/>
          <w:lang w:val="en-GB"/>
        </w:rPr>
        <w:t>1,</w:t>
      </w:r>
      <w:r w:rsidRPr="00F30B65">
        <w:rPr>
          <w:lang w:val="en-GB"/>
        </w:rPr>
        <w:t xml:space="preserve"> 169–186.</w:t>
      </w:r>
    </w:p>
    <w:p w14:paraId="041135B0" w14:textId="38852BB9" w:rsidR="00E47370" w:rsidRPr="004C62C6" w:rsidRDefault="00E47370" w:rsidP="004E4CDC">
      <w:pPr>
        <w:spacing w:before="100" w:beforeAutospacing="1" w:line="480" w:lineRule="auto"/>
      </w:pPr>
      <w:r w:rsidRPr="004C62C6">
        <w:t>DAFF (2007) Commonwealth Fisheries Harvest Strategy: Policy and Guidelines. Australian Government, Department of Agricultur</w:t>
      </w:r>
      <w:r w:rsidR="005A0DD8">
        <w:t>e, Fisheries and Forestry, 55 p.</w:t>
      </w:r>
      <w:r w:rsidRPr="004C62C6">
        <w:t xml:space="preserve"> </w:t>
      </w:r>
      <w:r w:rsidR="005A0DD8">
        <w:t>A</w:t>
      </w:r>
      <w:r w:rsidRPr="004C62C6">
        <w:t xml:space="preserve">vailable at: </w:t>
      </w:r>
      <w:hyperlink r:id="rId17" w:history="1">
        <w:r w:rsidRPr="004C62C6">
          <w:rPr>
            <w:rStyle w:val="Hyperlink"/>
          </w:rPr>
          <w:t>http://www.agriculture.gov.au/SiteCollectionDocuments/fisheries/domestic/hsp.pdf</w:t>
        </w:r>
      </w:hyperlink>
      <w:r w:rsidRPr="004C62C6">
        <w:t xml:space="preserve"> (accessed on 19th December 2014)</w:t>
      </w:r>
    </w:p>
    <w:p w14:paraId="23455A1C" w14:textId="77777777" w:rsidR="00E47370" w:rsidRPr="00F30B65" w:rsidRDefault="00E47370" w:rsidP="004E4CDC">
      <w:pPr>
        <w:spacing w:before="100" w:beforeAutospacing="1" w:line="480" w:lineRule="auto"/>
        <w:rPr>
          <w:lang w:val="en-GB"/>
        </w:rPr>
      </w:pPr>
      <w:r>
        <w:rPr>
          <w:lang w:val="en-GB"/>
        </w:rPr>
        <w:t>Dick, E.J. and</w:t>
      </w:r>
      <w:r w:rsidRPr="00F30B65">
        <w:rPr>
          <w:lang w:val="en-GB"/>
        </w:rPr>
        <w:t xml:space="preserve"> MacCall, A.D. (2011) Depletion-based stock reduction analysis: a catch-based method for determining sustainable yields for data-poor fish stocks. </w:t>
      </w:r>
      <w:r w:rsidRPr="00F30B65">
        <w:rPr>
          <w:i/>
          <w:lang w:val="en-GB"/>
        </w:rPr>
        <w:t>Fisheries Research</w:t>
      </w:r>
      <w:r w:rsidRPr="00F30B65">
        <w:rPr>
          <w:lang w:val="en-GB"/>
        </w:rPr>
        <w:t xml:space="preserve"> </w:t>
      </w:r>
      <w:r w:rsidRPr="00F30B65">
        <w:rPr>
          <w:b/>
          <w:lang w:val="en-GB"/>
        </w:rPr>
        <w:t>110,</w:t>
      </w:r>
      <w:r w:rsidRPr="00F30B65">
        <w:rPr>
          <w:lang w:val="en-GB"/>
        </w:rPr>
        <w:t xml:space="preserve"> 331-341.</w:t>
      </w:r>
    </w:p>
    <w:p w14:paraId="369EAE5A" w14:textId="77777777" w:rsidR="00E47370" w:rsidRPr="00F30B65" w:rsidRDefault="00E47370" w:rsidP="004E4CDC">
      <w:pPr>
        <w:spacing w:before="100" w:beforeAutospacing="1" w:line="480" w:lineRule="auto"/>
        <w:rPr>
          <w:lang w:val="en-GB"/>
        </w:rPr>
      </w:pPr>
      <w:r w:rsidRPr="00F30B65">
        <w:rPr>
          <w:lang w:val="en-GB"/>
        </w:rPr>
        <w:t xml:space="preserve">Fox, W.W. </w:t>
      </w:r>
      <w:r>
        <w:rPr>
          <w:lang w:val="en-GB"/>
        </w:rPr>
        <w:t>(</w:t>
      </w:r>
      <w:r w:rsidRPr="00F30B65">
        <w:rPr>
          <w:lang w:val="en-GB"/>
        </w:rPr>
        <w:t>1970</w:t>
      </w:r>
      <w:r>
        <w:rPr>
          <w:lang w:val="en-GB"/>
        </w:rPr>
        <w:t>)</w:t>
      </w:r>
      <w:r w:rsidRPr="00F30B65">
        <w:rPr>
          <w:lang w:val="en-GB"/>
        </w:rPr>
        <w:t xml:space="preserve"> An exponential yield model for optimizing exploited fish populations. </w:t>
      </w:r>
      <w:r w:rsidRPr="00F30B65">
        <w:rPr>
          <w:i/>
          <w:lang w:val="en-GB"/>
        </w:rPr>
        <w:t>Transaction of American Fisheries Society</w:t>
      </w:r>
      <w:r w:rsidRPr="00F30B65">
        <w:rPr>
          <w:lang w:val="en-GB"/>
        </w:rPr>
        <w:t xml:space="preserve"> </w:t>
      </w:r>
      <w:r w:rsidRPr="00F30B65">
        <w:rPr>
          <w:b/>
          <w:lang w:val="en-GB"/>
        </w:rPr>
        <w:t>99</w:t>
      </w:r>
      <w:r w:rsidRPr="00F30B65">
        <w:rPr>
          <w:lang w:val="en-GB"/>
        </w:rPr>
        <w:t>, 80–88.</w:t>
      </w:r>
    </w:p>
    <w:p w14:paraId="009385CC" w14:textId="77777777" w:rsidR="00E47370" w:rsidRPr="004C62C6" w:rsidRDefault="00E47370" w:rsidP="004E4CDC">
      <w:pPr>
        <w:spacing w:before="100" w:beforeAutospacing="1" w:line="480" w:lineRule="auto"/>
      </w:pPr>
      <w:r w:rsidRPr="004C62C6">
        <w:t>Froese, R., Branch</w:t>
      </w:r>
      <w:r>
        <w:t>,</w:t>
      </w:r>
      <w:r w:rsidRPr="00D51C41">
        <w:t xml:space="preserve"> </w:t>
      </w:r>
      <w:r w:rsidRPr="004C62C6">
        <w:t>T.A., Proelß,</w:t>
      </w:r>
      <w:r>
        <w:t xml:space="preserve"> </w:t>
      </w:r>
      <w:r w:rsidRPr="004C62C6">
        <w:t>A.</w:t>
      </w:r>
      <w:r>
        <w:t>,</w:t>
      </w:r>
      <w:r w:rsidRPr="004C62C6">
        <w:t xml:space="preserve"> Quaas</w:t>
      </w:r>
      <w:r>
        <w:t>,</w:t>
      </w:r>
      <w:r w:rsidRPr="004C62C6">
        <w:t xml:space="preserve"> M., Sainsbury</w:t>
      </w:r>
      <w:r>
        <w:t>,</w:t>
      </w:r>
      <w:r w:rsidRPr="004C62C6">
        <w:t xml:space="preserve"> K. and Zimmermann</w:t>
      </w:r>
      <w:r w:rsidRPr="00D51C41">
        <w:t xml:space="preserve"> </w:t>
      </w:r>
      <w:r>
        <w:t>C</w:t>
      </w:r>
      <w:r w:rsidRPr="004C62C6">
        <w:t xml:space="preserve">. (2011) Generic harvest control rules for European fisheries. </w:t>
      </w:r>
      <w:r w:rsidRPr="00F30B65">
        <w:rPr>
          <w:i/>
        </w:rPr>
        <w:t>Fish and Fisheries</w:t>
      </w:r>
      <w:r w:rsidRPr="004C62C6">
        <w:t xml:space="preserve"> </w:t>
      </w:r>
      <w:r w:rsidRPr="00F30B65">
        <w:rPr>
          <w:b/>
        </w:rPr>
        <w:t>12</w:t>
      </w:r>
      <w:r>
        <w:t xml:space="preserve">, </w:t>
      </w:r>
      <w:r w:rsidRPr="004C62C6">
        <w:t>340-351</w:t>
      </w:r>
      <w:r>
        <w:t>.</w:t>
      </w:r>
    </w:p>
    <w:p w14:paraId="36808115" w14:textId="77777777" w:rsidR="00E47370" w:rsidRPr="004C62C6" w:rsidRDefault="00E47370" w:rsidP="004E4CDC">
      <w:pPr>
        <w:spacing w:before="100" w:beforeAutospacing="1" w:line="480" w:lineRule="auto"/>
      </w:pPr>
      <w:r w:rsidRPr="004C62C6">
        <w:t>Fro</w:t>
      </w:r>
      <w:r>
        <w:t>ese, R., Coro, G., Kleisner, K. and</w:t>
      </w:r>
      <w:r w:rsidRPr="004C62C6">
        <w:t xml:space="preserve"> Demirel, N. (2014) Revisiting safe biological limits in fisheries. </w:t>
      </w:r>
      <w:r w:rsidRPr="00F30B65">
        <w:rPr>
          <w:i/>
        </w:rPr>
        <w:t>Fish and Fisheries</w:t>
      </w:r>
      <w:r w:rsidRPr="004C62C6">
        <w:t xml:space="preserve">, doi: 10.1111/faf.12102/ </w:t>
      </w:r>
    </w:p>
    <w:p w14:paraId="7AE4CF47" w14:textId="77777777" w:rsidR="00E47370" w:rsidRPr="004C62C6" w:rsidRDefault="00E47370" w:rsidP="004E4CDC">
      <w:pPr>
        <w:spacing w:before="100" w:beforeAutospacing="1" w:line="480" w:lineRule="auto"/>
      </w:pPr>
      <w:r>
        <w:rPr>
          <w:lang w:val="en-GB"/>
        </w:rPr>
        <w:t>Froese, R., Demirel, N. and</w:t>
      </w:r>
      <w:r w:rsidRPr="00F30B65">
        <w:rPr>
          <w:lang w:val="en-GB"/>
        </w:rPr>
        <w:t xml:space="preserve"> Sampang, A. (2015) An overall indicator for the good environmental status of marine waters based on commercially exploited species. </w:t>
      </w:r>
      <w:r w:rsidRPr="00F30B65">
        <w:rPr>
          <w:i/>
          <w:lang w:val="en-GB"/>
        </w:rPr>
        <w:t>Marine Policy</w:t>
      </w:r>
      <w:r w:rsidRPr="00F30B65">
        <w:rPr>
          <w:lang w:val="en-GB"/>
        </w:rPr>
        <w:t xml:space="preserve"> </w:t>
      </w:r>
      <w:r w:rsidRPr="00F30B65">
        <w:rPr>
          <w:b/>
          <w:lang w:val="en-GB"/>
        </w:rPr>
        <w:t>51</w:t>
      </w:r>
      <w:r w:rsidRPr="00F30B65">
        <w:rPr>
          <w:lang w:val="en-GB"/>
        </w:rPr>
        <w:t>, 230-237.</w:t>
      </w:r>
    </w:p>
    <w:p w14:paraId="36F0DB7E" w14:textId="77777777" w:rsidR="00E47370" w:rsidRPr="004C62C6" w:rsidRDefault="00E47370" w:rsidP="004E4CDC">
      <w:pPr>
        <w:spacing w:before="100" w:beforeAutospacing="1" w:line="480" w:lineRule="auto"/>
      </w:pPr>
      <w:r>
        <w:t>Froese, R., Palomares, M.L.D. and</w:t>
      </w:r>
      <w:r w:rsidRPr="004C62C6">
        <w:t xml:space="preserve"> Pauly, D. (2000) Estimation of life-history key facts. p. 167-175 </w:t>
      </w:r>
      <w:r w:rsidRPr="00F30B65">
        <w:rPr>
          <w:i/>
        </w:rPr>
        <w:t>In</w:t>
      </w:r>
      <w:r w:rsidRPr="004C62C6">
        <w:t xml:space="preserve"> Froese, R. and Pauly, D. (eds), FishBase 2000: concepts, design and data sources. ICLARM, Philippines, 344 p., available at </w:t>
      </w:r>
      <w:hyperlink r:id="rId18" w:history="1">
        <w:r w:rsidRPr="004C62C6">
          <w:rPr>
            <w:rStyle w:val="Hyperlink"/>
          </w:rPr>
          <w:t>http://www.fishbase.org/manual/English/key%20facts.htm</w:t>
        </w:r>
      </w:hyperlink>
    </w:p>
    <w:p w14:paraId="51213EA0" w14:textId="4B0B3864" w:rsidR="00E47370" w:rsidRPr="004C62C6" w:rsidRDefault="00E47370" w:rsidP="004E4CDC">
      <w:pPr>
        <w:spacing w:before="100" w:beforeAutospacing="1" w:line="480" w:lineRule="auto"/>
      </w:pPr>
      <w:r w:rsidRPr="004C62C6">
        <w:lastRenderedPageBreak/>
        <w:t xml:space="preserve">Froese, R., Pauly, D. </w:t>
      </w:r>
      <w:r>
        <w:t>eds</w:t>
      </w:r>
      <w:r w:rsidR="00107AA8">
        <w:t xml:space="preserve"> (2015</w:t>
      </w:r>
      <w:r w:rsidRPr="004C62C6">
        <w:t>) FishBase. World Wide Web electronic publicatio</w:t>
      </w:r>
      <w:r w:rsidR="00107AA8">
        <w:t>n. www.fishbase.org, version (</w:t>
      </w:r>
      <w:r w:rsidR="001D61C3">
        <w:t>10</w:t>
      </w:r>
      <w:r w:rsidR="00107AA8">
        <w:t>/2015</w:t>
      </w:r>
      <w:r w:rsidRPr="004C62C6">
        <w:t>)</w:t>
      </w:r>
      <w:r>
        <w:t xml:space="preserve">, accessed at </w:t>
      </w:r>
      <w:hyperlink r:id="rId19" w:history="1">
        <w:r w:rsidRPr="00F22809">
          <w:rPr>
            <w:rStyle w:val="Hyperlink"/>
          </w:rPr>
          <w:t>www.fishbase.org</w:t>
        </w:r>
      </w:hyperlink>
      <w:r>
        <w:t xml:space="preserve"> in </w:t>
      </w:r>
      <w:r w:rsidR="001D61C3">
        <w:t>November/December 2015</w:t>
      </w:r>
      <w:r w:rsidRPr="004C62C6">
        <w:t>.</w:t>
      </w:r>
    </w:p>
    <w:p w14:paraId="7E26B273" w14:textId="17E1341B" w:rsidR="008937F3" w:rsidRDefault="008937F3" w:rsidP="004E4CDC">
      <w:pPr>
        <w:spacing w:before="100" w:beforeAutospacing="1" w:line="480" w:lineRule="auto"/>
      </w:pPr>
      <w:r>
        <w:rPr>
          <w:rFonts w:ascii="Calibri" w:hAnsi="Calibri"/>
          <w:color w:val="000000"/>
          <w:shd w:val="clear" w:color="auto" w:fill="FFFFFF"/>
          <w:lang w:val="en-GB"/>
        </w:rPr>
        <w:t>Froese, R., Winker, H., Gascuel, D., Sumalia, U.R., Pauly, D. (2016) Minimizing the impact of fishing.</w:t>
      </w:r>
      <w:r>
        <w:rPr>
          <w:rStyle w:val="apple-converted-space"/>
          <w:rFonts w:ascii="Calibri" w:hAnsi="Calibri"/>
          <w:color w:val="000000"/>
          <w:shd w:val="clear" w:color="auto" w:fill="FFFFFF"/>
          <w:lang w:val="en-GB"/>
        </w:rPr>
        <w:t> </w:t>
      </w:r>
      <w:r>
        <w:rPr>
          <w:rFonts w:ascii="Calibri" w:hAnsi="Calibri"/>
          <w:color w:val="000000"/>
          <w:shd w:val="clear" w:color="auto" w:fill="FFFFFF"/>
          <w:lang w:val="en-GB"/>
        </w:rPr>
        <w:t>Fish and Fisheries, DOI: 10.1111/faf.12146</w:t>
      </w:r>
    </w:p>
    <w:p w14:paraId="036C4F67" w14:textId="77777777" w:rsidR="00E47370" w:rsidRDefault="00E47370" w:rsidP="004E4CDC">
      <w:pPr>
        <w:spacing w:before="100" w:beforeAutospacing="1" w:line="480" w:lineRule="auto"/>
        <w:rPr>
          <w:lang w:val="en-GB"/>
        </w:rPr>
      </w:pPr>
      <w:r w:rsidRPr="004C62C6">
        <w:t xml:space="preserve">Froese, R., Zeller, D., </w:t>
      </w:r>
      <w:r>
        <w:t>Kleisner, K. and</w:t>
      </w:r>
      <w:r w:rsidRPr="004C62C6">
        <w:t xml:space="preserve"> Pauly, D. (2012) </w:t>
      </w:r>
      <w:r w:rsidRPr="00F30B65">
        <w:rPr>
          <w:lang w:val="en-GB"/>
        </w:rPr>
        <w:t xml:space="preserve">What catch data can tell us about the status of global fisheries. </w:t>
      </w:r>
      <w:r w:rsidRPr="00F30B65">
        <w:rPr>
          <w:i/>
          <w:lang w:val="en-GB"/>
        </w:rPr>
        <w:t>Marine Biology</w:t>
      </w:r>
      <w:r w:rsidRPr="00F30B65">
        <w:rPr>
          <w:lang w:val="en-GB"/>
        </w:rPr>
        <w:t xml:space="preserve"> </w:t>
      </w:r>
      <w:r w:rsidRPr="00F30B65">
        <w:rPr>
          <w:b/>
          <w:lang w:val="en-GB"/>
        </w:rPr>
        <w:t>159,</w:t>
      </w:r>
      <w:r w:rsidRPr="00F30B65">
        <w:rPr>
          <w:lang w:val="en-GB"/>
        </w:rPr>
        <w:t xml:space="preserve"> 1283-1292.</w:t>
      </w:r>
    </w:p>
    <w:p w14:paraId="541D885A" w14:textId="63CE6403" w:rsidR="00B96F81" w:rsidRPr="00F30B65" w:rsidRDefault="00B96F81" w:rsidP="00B96F81">
      <w:pPr>
        <w:spacing w:before="100" w:beforeAutospacing="1" w:line="480" w:lineRule="auto"/>
        <w:rPr>
          <w:lang w:val="en-GB"/>
        </w:rPr>
      </w:pPr>
      <w:r w:rsidRPr="00B96F81">
        <w:t xml:space="preserve">Gelman, A., Carlin, J., Stern, H., and Rubin, D. </w:t>
      </w:r>
      <w:r>
        <w:t>(</w:t>
      </w:r>
      <w:r w:rsidRPr="00B96F81">
        <w:t>1995</w:t>
      </w:r>
      <w:r>
        <w:t>)</w:t>
      </w:r>
      <w:r w:rsidRPr="00B96F81">
        <w:t xml:space="preserve"> Bayesian</w:t>
      </w:r>
      <w:r>
        <w:t xml:space="preserve"> </w:t>
      </w:r>
      <w:r w:rsidRPr="00B96F81">
        <w:t>data analysis. Chapman and Hall, New York.</w:t>
      </w:r>
    </w:p>
    <w:p w14:paraId="6D2EDCA3" w14:textId="77777777" w:rsidR="00E47370" w:rsidRPr="00480497" w:rsidRDefault="00E47370" w:rsidP="004E4CDC">
      <w:pPr>
        <w:spacing w:before="100" w:beforeAutospacing="1" w:line="480" w:lineRule="auto"/>
        <w:rPr>
          <w:lang w:val="de-DE"/>
        </w:rPr>
      </w:pPr>
      <w:r w:rsidRPr="004C62C6">
        <w:t>Haddon, M., Klaer, N., Smith, D.C., Dichmont, C.D.</w:t>
      </w:r>
      <w:r>
        <w:t xml:space="preserve"> and</w:t>
      </w:r>
      <w:r w:rsidRPr="004C62C6">
        <w:t xml:space="preserve"> Smith, A.D.M.  (2012) Technical reviews for the Commonwealth Harvest Strategy Policy. FRDC 2012/225. CSIRO. </w:t>
      </w:r>
      <w:r w:rsidRPr="00480497">
        <w:rPr>
          <w:lang w:val="de-DE"/>
        </w:rPr>
        <w:t xml:space="preserve">Hobart. 69 p. </w:t>
      </w:r>
    </w:p>
    <w:p w14:paraId="237668DF" w14:textId="262A33B1" w:rsidR="000F3F5E" w:rsidRPr="000F3F5E" w:rsidRDefault="000F3F5E" w:rsidP="004E4CDC">
      <w:pPr>
        <w:spacing w:before="100" w:beforeAutospacing="1" w:line="480" w:lineRule="auto"/>
        <w:rPr>
          <w:lang w:val="de-DE"/>
        </w:rPr>
      </w:pPr>
      <w:r w:rsidRPr="000F3F5E">
        <w:rPr>
          <w:lang w:val="de-DE"/>
        </w:rPr>
        <w:t xml:space="preserve">Hedderich, J. and Sachs, L. </w:t>
      </w:r>
      <w:r>
        <w:rPr>
          <w:lang w:val="de-DE"/>
        </w:rPr>
        <w:t>(2015) Angewandte Statistik, Methodensammlung mit R. Springer Verlag, Berlin, 968 p.</w:t>
      </w:r>
    </w:p>
    <w:p w14:paraId="39D3383A" w14:textId="0B890022" w:rsidR="00E47370" w:rsidRDefault="00E47370" w:rsidP="004E4CDC">
      <w:pPr>
        <w:spacing w:before="100" w:beforeAutospacing="1" w:line="480" w:lineRule="auto"/>
        <w:rPr>
          <w:lang w:val="en-GB"/>
        </w:rPr>
      </w:pPr>
      <w:r w:rsidRPr="00F30B65">
        <w:rPr>
          <w:lang w:val="en-GB"/>
        </w:rPr>
        <w:t xml:space="preserve">ICES (2014) Report of the Workshop on the development of quantitative assessment methodologies based on life-history traits, exploitation characteristics, and other relevant parameters for data-limited stocks (WKLIFE IV), 27-31 October 2014, Lisbon, Portugal. ICES CM 2014/ACOM:54, 243 pp. </w:t>
      </w:r>
    </w:p>
    <w:p w14:paraId="0AB02F8A" w14:textId="4172CF05" w:rsidR="00AA6653" w:rsidRDefault="00AA6653" w:rsidP="004E4CDC">
      <w:pPr>
        <w:spacing w:before="100" w:beforeAutospacing="1" w:line="480" w:lineRule="auto"/>
        <w:rPr>
          <w:lang w:val="en-GB"/>
        </w:rPr>
      </w:pPr>
      <w:r>
        <w:t>ICES</w:t>
      </w:r>
      <w:r w:rsidRPr="00AA6653">
        <w:t xml:space="preserve"> </w:t>
      </w:r>
      <w:r>
        <w:t>(</w:t>
      </w:r>
      <w:r w:rsidRPr="00AA6653">
        <w:t>2015</w:t>
      </w:r>
      <w:r>
        <w:t>) Report of the fifth Workshop on the development of quantitative assessment methodologies based on life-history traits, exploitation characteristics and other relevant parameters for data-limited s</w:t>
      </w:r>
      <w:r w:rsidRPr="00AA6653">
        <w:t>tocks (WKLIFE V), 5–9 October 2015, Lisbon, Portugal. ICES CM 2015/ACOM:56. 157 pp.</w:t>
      </w:r>
    </w:p>
    <w:p w14:paraId="7720C8D5" w14:textId="77777777" w:rsidR="00E47370" w:rsidRPr="00F30B65" w:rsidRDefault="00E47370" w:rsidP="004E4CDC">
      <w:pPr>
        <w:spacing w:before="100" w:beforeAutospacing="1" w:line="480" w:lineRule="auto"/>
        <w:rPr>
          <w:lang w:val="en-GB"/>
        </w:rPr>
      </w:pPr>
      <w:r w:rsidRPr="00F30B65">
        <w:rPr>
          <w:lang w:val="en-GB"/>
        </w:rPr>
        <w:lastRenderedPageBreak/>
        <w:t xml:space="preserve">Jardim, E., Azevedo, M. and Brites, N.M. (2014) Harvest control rules for data limited stocks using length-based reference points and survey biomass indices. </w:t>
      </w:r>
      <w:r w:rsidRPr="00F30B65">
        <w:rPr>
          <w:i/>
          <w:lang w:val="en-GB"/>
        </w:rPr>
        <w:t>Fisheries Research</w:t>
      </w:r>
      <w:r w:rsidRPr="00F30B65">
        <w:rPr>
          <w:lang w:val="en-GB"/>
        </w:rPr>
        <w:t>, 10.1016/j.fishres.2014.11.013</w:t>
      </w:r>
    </w:p>
    <w:p w14:paraId="3FC58352" w14:textId="77777777" w:rsidR="00E47370" w:rsidRPr="004C62C6" w:rsidRDefault="00E47370" w:rsidP="004E4CDC">
      <w:pPr>
        <w:spacing w:before="100" w:beforeAutospacing="1" w:line="480" w:lineRule="auto"/>
      </w:pPr>
      <w:r w:rsidRPr="00F30B65">
        <w:rPr>
          <w:lang w:val="en-GB"/>
        </w:rPr>
        <w:t xml:space="preserve">Jensen, A.L. (1996) </w:t>
      </w:r>
      <w:r w:rsidRPr="004C62C6">
        <w:t xml:space="preserve">Beverton and Holt life history invariants result from optimal trade-off of reproduction and survival. </w:t>
      </w:r>
      <w:r w:rsidRPr="00F30B65">
        <w:rPr>
          <w:i/>
        </w:rPr>
        <w:t>Canadian Journal of Fisheries and Aquatic Sciences</w:t>
      </w:r>
      <w:r w:rsidRPr="004C62C6">
        <w:t xml:space="preserve"> </w:t>
      </w:r>
      <w:r w:rsidRPr="00F30B65">
        <w:rPr>
          <w:b/>
        </w:rPr>
        <w:t>53,</w:t>
      </w:r>
      <w:r w:rsidRPr="004C62C6">
        <w:t xml:space="preserve"> 820-822.</w:t>
      </w:r>
    </w:p>
    <w:p w14:paraId="174BC8DE" w14:textId="77777777" w:rsidR="00E47370" w:rsidRPr="00F30B65" w:rsidRDefault="00E47370" w:rsidP="004E4CDC">
      <w:pPr>
        <w:spacing w:before="100" w:beforeAutospacing="1" w:line="480" w:lineRule="auto"/>
        <w:rPr>
          <w:lang w:val="en-GB"/>
        </w:rPr>
      </w:pPr>
      <w:r w:rsidRPr="004C62C6">
        <w:t xml:space="preserve">Kawasaki, T. (1980) Fundamental relations among the selections of life history in the marine teleosts. </w:t>
      </w:r>
      <w:r w:rsidRPr="00F30B65">
        <w:rPr>
          <w:i/>
        </w:rPr>
        <w:t>Bulletin of the Japanese Society of Scientific Fisheries</w:t>
      </w:r>
      <w:r w:rsidRPr="004C62C6">
        <w:t xml:space="preserve"> </w:t>
      </w:r>
      <w:r w:rsidRPr="00F30B65">
        <w:rPr>
          <w:b/>
        </w:rPr>
        <w:t>46</w:t>
      </w:r>
      <w:r w:rsidRPr="004C62C6">
        <w:t>(3)</w:t>
      </w:r>
      <w:r>
        <w:t>,</w:t>
      </w:r>
      <w:r w:rsidRPr="004C62C6">
        <w:t xml:space="preserve"> 289-93.</w:t>
      </w:r>
    </w:p>
    <w:p w14:paraId="5165AB96" w14:textId="77777777" w:rsidR="00E47370" w:rsidRPr="00F30B65" w:rsidRDefault="00E47370" w:rsidP="004E4CDC">
      <w:pPr>
        <w:spacing w:before="100" w:beforeAutospacing="1" w:line="480" w:lineRule="auto"/>
        <w:rPr>
          <w:lang w:val="en-GB"/>
        </w:rPr>
      </w:pPr>
      <w:r w:rsidRPr="00F30B65">
        <w:rPr>
          <w:lang w:val="en-GB"/>
        </w:rPr>
        <w:t xml:space="preserve">Kenchington, T.J. (2014) Natural mortality estimators for information-limited fisheries. </w:t>
      </w:r>
      <w:r w:rsidRPr="00F30B65">
        <w:rPr>
          <w:i/>
          <w:lang w:val="en-GB"/>
        </w:rPr>
        <w:t>Fish and Fisheries</w:t>
      </w:r>
      <w:r w:rsidRPr="00F30B65">
        <w:rPr>
          <w:lang w:val="en-GB"/>
        </w:rPr>
        <w:t xml:space="preserve"> </w:t>
      </w:r>
      <w:r w:rsidRPr="00F30B65">
        <w:rPr>
          <w:b/>
          <w:lang w:val="en-GB"/>
        </w:rPr>
        <w:t>15,</w:t>
      </w:r>
      <w:r w:rsidRPr="00F30B65">
        <w:rPr>
          <w:lang w:val="en-GB"/>
        </w:rPr>
        <w:t xml:space="preserve"> 533-562.</w:t>
      </w:r>
    </w:p>
    <w:p w14:paraId="7BEC78F4" w14:textId="18675EC5" w:rsidR="004F63D7" w:rsidRDefault="004F63D7" w:rsidP="004E4CDC">
      <w:pPr>
        <w:spacing w:before="100" w:beforeAutospacing="1" w:line="480" w:lineRule="auto"/>
        <w:rPr>
          <w:lang w:val="en-GB"/>
        </w:rPr>
      </w:pPr>
      <w:r>
        <w:rPr>
          <w:rFonts w:ascii="Arial" w:hAnsi="Arial" w:cs="Arial"/>
          <w:color w:val="222222"/>
          <w:sz w:val="20"/>
          <w:szCs w:val="20"/>
          <w:shd w:val="clear" w:color="auto" w:fill="FFFFFF"/>
        </w:rPr>
        <w:t>Knezevic, A. (2008) Overlapping confidence intervals and statistical significance.</w:t>
      </w:r>
      <w:r>
        <w:rPr>
          <w:rStyle w:val="apple-converted-space"/>
          <w:rFonts w:ascii="Arial" w:hAnsi="Arial" w:cs="Arial"/>
          <w:color w:val="222222"/>
          <w:sz w:val="20"/>
          <w:szCs w:val="20"/>
          <w:shd w:val="clear" w:color="auto" w:fill="FFFFFF"/>
        </w:rPr>
        <w:t> </w:t>
      </w:r>
      <w:r w:rsidRPr="004F63D7">
        <w:rPr>
          <w:rFonts w:ascii="Arial" w:hAnsi="Arial" w:cs="Arial"/>
          <w:iCs/>
          <w:color w:val="222222"/>
          <w:sz w:val="20"/>
          <w:szCs w:val="20"/>
        </w:rPr>
        <w:t>StatNews: Cornell University Statistical Consulting Unit,</w:t>
      </w:r>
      <w:r w:rsidRPr="004F63D7">
        <w:rPr>
          <w:rStyle w:val="apple-converted-space"/>
          <w:rFonts w:ascii="Arial" w:hAnsi="Arial" w:cs="Arial"/>
          <w:color w:val="222222"/>
          <w:sz w:val="20"/>
          <w:szCs w:val="20"/>
        </w:rPr>
        <w:t> </w:t>
      </w:r>
      <w:r>
        <w:rPr>
          <w:rFonts w:ascii="Arial" w:hAnsi="Arial" w:cs="Arial"/>
          <w:color w:val="222222"/>
          <w:sz w:val="20"/>
          <w:szCs w:val="20"/>
        </w:rPr>
        <w:t xml:space="preserve">73. Available from </w:t>
      </w:r>
      <w:hyperlink r:id="rId20" w:history="1">
        <w:r w:rsidRPr="00665232">
          <w:rPr>
            <w:rStyle w:val="Hyperlink"/>
            <w:rFonts w:ascii="Arial" w:hAnsi="Arial" w:cs="Arial"/>
            <w:sz w:val="20"/>
            <w:szCs w:val="20"/>
          </w:rPr>
          <w:t>https://www.cscu.cornell.edu/news/statnews/stnews73.pdf</w:t>
        </w:r>
      </w:hyperlink>
      <w:r>
        <w:rPr>
          <w:rFonts w:ascii="Arial" w:hAnsi="Arial" w:cs="Arial"/>
          <w:color w:val="222222"/>
          <w:sz w:val="20"/>
          <w:szCs w:val="20"/>
        </w:rPr>
        <w:t xml:space="preserve"> </w:t>
      </w:r>
    </w:p>
    <w:p w14:paraId="44748983" w14:textId="77777777" w:rsidR="00E47370" w:rsidRPr="00F30B65" w:rsidRDefault="00E47370" w:rsidP="004E4CDC">
      <w:pPr>
        <w:spacing w:before="100" w:beforeAutospacing="1" w:line="480" w:lineRule="auto"/>
        <w:rPr>
          <w:lang w:val="en-GB"/>
        </w:rPr>
      </w:pPr>
      <w:r w:rsidRPr="00F30B65">
        <w:rPr>
          <w:lang w:val="en-GB"/>
        </w:rPr>
        <w:t xml:space="preserve">Kruschke, J.K. (2011) </w:t>
      </w:r>
      <w:r w:rsidRPr="00F30B65">
        <w:rPr>
          <w:i/>
          <w:lang w:val="en-GB"/>
        </w:rPr>
        <w:t>Doing Bayesian data analysis: a tutorial with R and BUGS</w:t>
      </w:r>
      <w:r w:rsidRPr="00F30B65">
        <w:rPr>
          <w:lang w:val="en-GB"/>
        </w:rPr>
        <w:t>. Academic Press, Burlington, USA, 653 p.</w:t>
      </w:r>
    </w:p>
    <w:p w14:paraId="132F6BCE" w14:textId="77777777" w:rsidR="00B55E3D" w:rsidRPr="00B55E3D" w:rsidRDefault="00B55E3D" w:rsidP="00B55E3D">
      <w:pPr>
        <w:spacing w:before="100" w:beforeAutospacing="1" w:line="480" w:lineRule="auto"/>
      </w:pPr>
      <w:r w:rsidRPr="00B55E3D">
        <w:t xml:space="preserve">Lee, H.H., Maunder, M.N., Piner, K.R. and Methot, R.D. (2012) Can steepness of the stock-recruitment relationship be estimated in fishery stock assessment models? </w:t>
      </w:r>
      <w:r w:rsidRPr="00B55E3D">
        <w:rPr>
          <w:i/>
          <w:iCs/>
        </w:rPr>
        <w:t>Fisheries Research</w:t>
      </w:r>
      <w:r w:rsidRPr="00B55E3D">
        <w:t xml:space="preserve"> </w:t>
      </w:r>
      <w:r w:rsidRPr="00B55E3D">
        <w:rPr>
          <w:b/>
          <w:bCs/>
        </w:rPr>
        <w:t>125-126</w:t>
      </w:r>
      <w:r w:rsidRPr="00B55E3D">
        <w:t>, 254–261.</w:t>
      </w:r>
    </w:p>
    <w:p w14:paraId="1D477B51" w14:textId="77777777" w:rsidR="00B55E3D" w:rsidRPr="00B55E3D" w:rsidRDefault="00B55E3D" w:rsidP="00B55E3D">
      <w:pPr>
        <w:spacing w:before="100" w:beforeAutospacing="1" w:line="480" w:lineRule="auto"/>
      </w:pPr>
      <w:r w:rsidRPr="00B55E3D">
        <w:t xml:space="preserve">Lee, H.H., Maunder, M.N., Piner, K.R. and Methot, R.D. (2011) Estimating natural mortality within a fisheries stock assessment model: An evaluation using simulation analysis based on twelve stock assessments. </w:t>
      </w:r>
      <w:r w:rsidRPr="00B55E3D">
        <w:rPr>
          <w:i/>
          <w:iCs/>
        </w:rPr>
        <w:t>Fisheries Research</w:t>
      </w:r>
      <w:r w:rsidRPr="00B55E3D">
        <w:t xml:space="preserve"> </w:t>
      </w:r>
      <w:r w:rsidRPr="00B55E3D">
        <w:rPr>
          <w:b/>
          <w:bCs/>
        </w:rPr>
        <w:t>109</w:t>
      </w:r>
      <w:r w:rsidRPr="00B55E3D">
        <w:t>, 89–94.</w:t>
      </w:r>
    </w:p>
    <w:p w14:paraId="004732CC" w14:textId="0CADDA3D" w:rsidR="00B55E3D" w:rsidRDefault="00B55E3D" w:rsidP="004E4CDC">
      <w:pPr>
        <w:spacing w:before="100" w:beforeAutospacing="1" w:line="480" w:lineRule="auto"/>
        <w:rPr>
          <w:lang w:val="en-GB"/>
        </w:rPr>
      </w:pPr>
      <w:r w:rsidRPr="00B55E3D">
        <w:lastRenderedPageBreak/>
        <w:t xml:space="preserve">Ludwig, D. and Walters, C.J. (1989) A Robust Method for Parameter Estimation from Catch and Effort Data. </w:t>
      </w:r>
      <w:r w:rsidRPr="00B55E3D">
        <w:rPr>
          <w:i/>
          <w:iCs/>
        </w:rPr>
        <w:t>Canadian Journal of Fisheries and Aquatic Sciences</w:t>
      </w:r>
      <w:r w:rsidRPr="00B55E3D">
        <w:t xml:space="preserve"> </w:t>
      </w:r>
      <w:r w:rsidRPr="00B55E3D">
        <w:rPr>
          <w:b/>
          <w:bCs/>
        </w:rPr>
        <w:t>46</w:t>
      </w:r>
      <w:r w:rsidRPr="00B55E3D">
        <w:t>, 137–144.</w:t>
      </w:r>
    </w:p>
    <w:p w14:paraId="45CC2F45" w14:textId="77777777" w:rsidR="00E47370" w:rsidRPr="00F30B65" w:rsidRDefault="00E47370" w:rsidP="004E4CDC">
      <w:pPr>
        <w:spacing w:before="100" w:beforeAutospacing="1" w:line="480" w:lineRule="auto"/>
        <w:rPr>
          <w:lang w:val="en-GB"/>
        </w:rPr>
      </w:pPr>
      <w:r w:rsidRPr="00F30B65">
        <w:rPr>
          <w:lang w:val="en-GB"/>
        </w:rPr>
        <w:t xml:space="preserve">Meyer, R. and Millar, R.B. (1999) BUGS in Bayesian stock assessment. </w:t>
      </w:r>
      <w:r w:rsidRPr="00F30B65">
        <w:rPr>
          <w:i/>
          <w:lang w:val="en-GB"/>
        </w:rPr>
        <w:t>Canadian Journal of Fisheries and Aquatic Sciences</w:t>
      </w:r>
      <w:r w:rsidRPr="00F30B65">
        <w:rPr>
          <w:b/>
          <w:lang w:val="en-GB"/>
        </w:rPr>
        <w:t xml:space="preserve"> 56</w:t>
      </w:r>
      <w:r w:rsidRPr="00F30B65">
        <w:rPr>
          <w:lang w:val="en-GB"/>
        </w:rPr>
        <w:t xml:space="preserve">, 1078-1086 </w:t>
      </w:r>
    </w:p>
    <w:p w14:paraId="453E4B40" w14:textId="77777777" w:rsidR="00E47370" w:rsidRPr="00F30B65" w:rsidRDefault="00E47370" w:rsidP="004E4CDC">
      <w:pPr>
        <w:spacing w:before="100" w:beforeAutospacing="1" w:line="480" w:lineRule="auto"/>
        <w:rPr>
          <w:lang w:val="en-GB"/>
        </w:rPr>
      </w:pPr>
      <w:r w:rsidRPr="00F30B65">
        <w:rPr>
          <w:lang w:val="en-GB"/>
        </w:rPr>
        <w:t>MacCall, A.D. (2009) Depletion-corrected average catch: a simple formula for estimating sustainable yields in data-poor situations.</w:t>
      </w:r>
      <w:r w:rsidRPr="00F30B65">
        <w:rPr>
          <w:i/>
          <w:lang w:val="en-GB"/>
        </w:rPr>
        <w:t xml:space="preserve"> ICES Journal of Marine Science</w:t>
      </w:r>
      <w:r w:rsidRPr="00F30B65">
        <w:rPr>
          <w:lang w:val="en-GB"/>
        </w:rPr>
        <w:t xml:space="preserve"> </w:t>
      </w:r>
      <w:r w:rsidRPr="00F30B65">
        <w:rPr>
          <w:b/>
          <w:lang w:val="en-GB"/>
        </w:rPr>
        <w:t>66</w:t>
      </w:r>
      <w:r w:rsidRPr="00F30B65">
        <w:rPr>
          <w:lang w:val="en-GB"/>
        </w:rPr>
        <w:t>, 2267-2271.</w:t>
      </w:r>
    </w:p>
    <w:p w14:paraId="19A97F70" w14:textId="046AB80E" w:rsidR="00280C64" w:rsidRDefault="00280C64" w:rsidP="004E4CDC">
      <w:pPr>
        <w:spacing w:before="100" w:beforeAutospacing="1" w:line="480" w:lineRule="auto"/>
        <w:rPr>
          <w:lang w:val="en-GB"/>
        </w:rPr>
      </w:pPr>
      <w:r>
        <w:t xml:space="preserve">Mangel, M., MacCall, A.D., Brodziak, J., Dick, E.J., Forrest, R.E., Pourzand, R., and Ralston, S. (2013) A perspective on steepness, reference points, and stock assessment. </w:t>
      </w:r>
      <w:r w:rsidRPr="00280C64">
        <w:rPr>
          <w:i/>
        </w:rPr>
        <w:t>Canadian Journal of Fisheries and Aquatic Sciences</w:t>
      </w:r>
      <w:r>
        <w:t xml:space="preserve"> </w:t>
      </w:r>
      <w:r w:rsidRPr="00280C64">
        <w:rPr>
          <w:b/>
        </w:rPr>
        <w:t>70</w:t>
      </w:r>
      <w:r>
        <w:t>, 930-940.</w:t>
      </w:r>
    </w:p>
    <w:p w14:paraId="01D9A049" w14:textId="77777777" w:rsidR="00E47370" w:rsidRPr="00F30B65" w:rsidRDefault="00E47370" w:rsidP="004E4CDC">
      <w:pPr>
        <w:spacing w:before="100" w:beforeAutospacing="1" w:line="480" w:lineRule="auto"/>
        <w:rPr>
          <w:lang w:val="en-GB"/>
        </w:rPr>
      </w:pPr>
      <w:r>
        <w:rPr>
          <w:lang w:val="en-GB"/>
        </w:rPr>
        <w:t>Martell, S. and Froese, R. (2013)</w:t>
      </w:r>
      <w:r w:rsidRPr="00F30B65">
        <w:rPr>
          <w:lang w:val="en-GB"/>
        </w:rPr>
        <w:t xml:space="preserve"> A simple method for estimating MSY from catch and resilience. </w:t>
      </w:r>
      <w:r w:rsidRPr="00F30B65">
        <w:rPr>
          <w:i/>
          <w:lang w:val="en-GB"/>
        </w:rPr>
        <w:t>Fish and Fisheries</w:t>
      </w:r>
      <w:r w:rsidRPr="00F30B65">
        <w:rPr>
          <w:lang w:val="en-GB"/>
        </w:rPr>
        <w:t xml:space="preserve"> </w:t>
      </w:r>
      <w:r w:rsidRPr="00F30B65">
        <w:rPr>
          <w:b/>
          <w:lang w:val="en-GB"/>
        </w:rPr>
        <w:t>14</w:t>
      </w:r>
      <w:r w:rsidRPr="00F30B65">
        <w:rPr>
          <w:lang w:val="en-GB"/>
        </w:rPr>
        <w:t xml:space="preserve">, 504-514, doi:10.1111/j.1467-2979.2012.00485.x </w:t>
      </w:r>
    </w:p>
    <w:p w14:paraId="14E6AF51" w14:textId="0A819B75" w:rsidR="00E47370" w:rsidRPr="004C62C6" w:rsidRDefault="00280C64" w:rsidP="004E4CDC">
      <w:pPr>
        <w:spacing w:before="100" w:beforeAutospacing="1" w:line="480" w:lineRule="auto"/>
      </w:pPr>
      <w:r>
        <w:t>McAllister, M.</w:t>
      </w:r>
      <w:r w:rsidR="00E47370" w:rsidRPr="004C62C6">
        <w:t>K., Piki</w:t>
      </w:r>
      <w:r w:rsidR="00E47370">
        <w:t>tch, E. K. and</w:t>
      </w:r>
      <w:r w:rsidR="00E47370" w:rsidRPr="004C62C6">
        <w:t xml:space="preserve"> Babcock, E.</w:t>
      </w:r>
      <w:r w:rsidR="00E47370">
        <w:t>A</w:t>
      </w:r>
      <w:r w:rsidR="00E47370" w:rsidRPr="004C62C6">
        <w:t xml:space="preserve">. (2001) Using demographic methods to construct Bayesian priors for the intrinsic rate of increase in the Schaefer model and implications for stock rebuilding. </w:t>
      </w:r>
      <w:r w:rsidR="00E47370" w:rsidRPr="00F30B65">
        <w:rPr>
          <w:i/>
          <w:iCs/>
        </w:rPr>
        <w:t>Canadian Journal of Fisheries and Aquatic Sciences</w:t>
      </w:r>
      <w:r w:rsidR="00E47370" w:rsidRPr="004C62C6">
        <w:t xml:space="preserve">, </w:t>
      </w:r>
      <w:r w:rsidR="00E47370" w:rsidRPr="00F30B65">
        <w:rPr>
          <w:b/>
          <w:iCs/>
        </w:rPr>
        <w:t>58</w:t>
      </w:r>
      <w:r w:rsidR="00E47370" w:rsidRPr="004C62C6">
        <w:t>(9), 1871–1890. doi:10.1139/cjfas-58-9-1871</w:t>
      </w:r>
    </w:p>
    <w:p w14:paraId="70E08301" w14:textId="77777777" w:rsidR="00E47370" w:rsidRPr="004C62C6" w:rsidRDefault="00E47370" w:rsidP="004E4CDC">
      <w:pPr>
        <w:spacing w:before="100" w:beforeAutospacing="1" w:line="480" w:lineRule="auto"/>
      </w:pPr>
      <w:r w:rsidRPr="004C62C6">
        <w:t xml:space="preserve">MFNZ (2008) Harvest Strategy Standard for New Zealand Fisheries. Ministry of Fisheries, Wellington, New Zealand, 27 pp, Available from: </w:t>
      </w:r>
      <w:hyperlink r:id="rId21" w:history="1">
        <w:r w:rsidRPr="004C62C6">
          <w:rPr>
            <w:rStyle w:val="Hyperlink"/>
          </w:rPr>
          <w:t>http://www.fish.govt.nz</w:t>
        </w:r>
      </w:hyperlink>
      <w:r w:rsidRPr="004C62C6">
        <w:t xml:space="preserve"> (accessed on 19th December 2014).</w:t>
      </w:r>
    </w:p>
    <w:p w14:paraId="700EA044" w14:textId="77777777" w:rsidR="00E47370" w:rsidRPr="004C62C6" w:rsidRDefault="00E47370" w:rsidP="004E4CDC">
      <w:pPr>
        <w:spacing w:before="100" w:beforeAutospacing="1" w:line="480" w:lineRule="auto"/>
      </w:pPr>
      <w:r w:rsidRPr="004C62C6">
        <w:t>Millar, R.B.</w:t>
      </w:r>
      <w:r>
        <w:t xml:space="preserve"> and</w:t>
      </w:r>
      <w:r w:rsidRPr="004C62C6">
        <w:t xml:space="preserve"> Meyer, R. (1999) Nonlinear state-space modeling of fisheries biomass dynamics using Metropolis-Hastings within Gibbs sampling. Technical Report STAT9901. Department of Statistics, University of Auckland, Auckland, New Zealand, 33 p. </w:t>
      </w:r>
    </w:p>
    <w:p w14:paraId="7C2747E9" w14:textId="643C8E79" w:rsidR="00E47370" w:rsidRPr="004C62C6" w:rsidRDefault="00E47370" w:rsidP="004E4CDC">
      <w:pPr>
        <w:spacing w:before="100" w:beforeAutospacing="1" w:line="480" w:lineRule="auto"/>
      </w:pPr>
      <w:r w:rsidRPr="004C62C6">
        <w:lastRenderedPageBreak/>
        <w:t>MSA (2007) Magnuson-Stevens Fishery Conservation and Management Act, Public Law 94–265. As amended by the Magnuson-Stevens Fishery Conservation and Management Reauthorization Act (P.L. 109-479), Available at:</w:t>
      </w:r>
      <w:r w:rsidR="003434AB">
        <w:t xml:space="preserve"> </w:t>
      </w:r>
      <w:hyperlink r:id="rId22" w:history="1">
        <w:r w:rsidRPr="004C62C6">
          <w:rPr>
            <w:rStyle w:val="Hyperlink"/>
          </w:rPr>
          <w:t>http://www.nmfs.noaa.gov/msa2005/docs/MSA_amended_msa%20_20070112_FINAL.pdf</w:t>
        </w:r>
      </w:hyperlink>
      <w:r w:rsidRPr="004C62C6">
        <w:t xml:space="preserve">  (accessed 19th December 2014). </w:t>
      </w:r>
    </w:p>
    <w:p w14:paraId="09FEB58D" w14:textId="77777777" w:rsidR="00E47370" w:rsidRPr="004C62C6" w:rsidRDefault="00E47370" w:rsidP="004E4CDC">
      <w:pPr>
        <w:spacing w:before="100" w:beforeAutospacing="1" w:line="480" w:lineRule="auto"/>
      </w:pPr>
      <w:r w:rsidRPr="004C62C6">
        <w:t>Myers R.A., Bowen K.G.</w:t>
      </w:r>
      <w:r>
        <w:t xml:space="preserve"> and</w:t>
      </w:r>
      <w:r w:rsidRPr="004C62C6">
        <w:t xml:space="preserve"> Barrowman N.J. (1999) Maximum reproductive rate of fish at low population sizes. </w:t>
      </w:r>
      <w:r w:rsidRPr="00F30B65">
        <w:rPr>
          <w:i/>
        </w:rPr>
        <w:t>Canadian Journal of Fisheries and Aquatic Sciences,</w:t>
      </w:r>
      <w:r w:rsidRPr="004C62C6">
        <w:t xml:space="preserve"> </w:t>
      </w:r>
      <w:r w:rsidRPr="00F30B65">
        <w:rPr>
          <w:b/>
        </w:rPr>
        <w:t>56</w:t>
      </w:r>
      <w:r w:rsidRPr="004C62C6">
        <w:t>, 2404–2419.</w:t>
      </w:r>
    </w:p>
    <w:p w14:paraId="6FA63C5A" w14:textId="12558A00" w:rsidR="00B55E3D" w:rsidRDefault="00B55E3D" w:rsidP="004E4CDC">
      <w:pPr>
        <w:spacing w:before="100" w:beforeAutospacing="1" w:line="480" w:lineRule="auto"/>
      </w:pPr>
      <w:r w:rsidRPr="00B55E3D">
        <w:t xml:space="preserve">Myers, R.A., Rosenberg, A.A., Mace, P.M., Barrowman, N. and Restrepo, V.R. (1994) In search for thresholds of recruitment overfishing. </w:t>
      </w:r>
      <w:r w:rsidRPr="00B55E3D">
        <w:rPr>
          <w:i/>
          <w:iCs/>
        </w:rPr>
        <w:t>Canadian Journal of Fisheries and Aquatic Sciences</w:t>
      </w:r>
      <w:r w:rsidRPr="00B55E3D">
        <w:t xml:space="preserve"> </w:t>
      </w:r>
      <w:r w:rsidRPr="00B55E3D">
        <w:rPr>
          <w:b/>
          <w:bCs/>
        </w:rPr>
        <w:t>51</w:t>
      </w:r>
      <w:r w:rsidRPr="00B55E3D">
        <w:t>, 191–205.</w:t>
      </w:r>
    </w:p>
    <w:p w14:paraId="0B87981A" w14:textId="77777777" w:rsidR="00E47370" w:rsidRPr="004C62C6" w:rsidRDefault="00E47370" w:rsidP="004E4CDC">
      <w:pPr>
        <w:spacing w:before="100" w:beforeAutospacing="1" w:line="480" w:lineRule="auto"/>
      </w:pPr>
      <w:r w:rsidRPr="004C62C6">
        <w:t>Ono, K., Punt, A.E.</w:t>
      </w:r>
      <w:r>
        <w:t xml:space="preserve"> and</w:t>
      </w:r>
      <w:r w:rsidRPr="004C62C6">
        <w:t xml:space="preserve"> Rivot, E. (2012). Model performance analysis for B</w:t>
      </w:r>
      <w:r>
        <w:t>a</w:t>
      </w:r>
      <w:r w:rsidRPr="004C62C6">
        <w:t xml:space="preserve">yesian biomass dynamic models using bias, precision and reliability metrics. </w:t>
      </w:r>
      <w:r w:rsidRPr="00F30B65">
        <w:rPr>
          <w:i/>
        </w:rPr>
        <w:t>Fisheries Research</w:t>
      </w:r>
      <w:r w:rsidRPr="004C62C6">
        <w:t xml:space="preserve"> </w:t>
      </w:r>
      <w:r w:rsidRPr="00F30B65">
        <w:rPr>
          <w:b/>
        </w:rPr>
        <w:t>125-126</w:t>
      </w:r>
      <w:r w:rsidRPr="004C62C6">
        <w:t>, 173-183.</w:t>
      </w:r>
    </w:p>
    <w:p w14:paraId="417FBAB6" w14:textId="3DD7A510" w:rsidR="00B26F90" w:rsidRDefault="00B26F90" w:rsidP="004E4CDC">
      <w:pPr>
        <w:spacing w:before="100" w:beforeAutospacing="1" w:line="480" w:lineRule="auto"/>
      </w:pPr>
      <w:r>
        <w:t>Owen, A.</w:t>
      </w:r>
      <w:r w:rsidRPr="00B26F90">
        <w:t>B. (2013) Monte Carlo theory, methods and examples. Online Standford University publication</w:t>
      </w:r>
      <w:r>
        <w:t xml:space="preserve">, available at </w:t>
      </w:r>
      <w:hyperlink r:id="rId23" w:history="1">
        <w:r w:rsidRPr="008B652C">
          <w:rPr>
            <w:rStyle w:val="Hyperlink"/>
          </w:rPr>
          <w:t>http://statweb.stanford.edu/~owen/mc/</w:t>
        </w:r>
      </w:hyperlink>
      <w:r>
        <w:t xml:space="preserve"> (accessed 14th June 2016).</w:t>
      </w:r>
    </w:p>
    <w:p w14:paraId="6BE2C18F" w14:textId="77777777" w:rsidR="00E47370" w:rsidRPr="00F30B65" w:rsidRDefault="00E47370" w:rsidP="004E4CDC">
      <w:pPr>
        <w:spacing w:before="100" w:beforeAutospacing="1" w:line="480" w:lineRule="auto"/>
        <w:rPr>
          <w:lang w:val="en-GB"/>
        </w:rPr>
      </w:pPr>
      <w:r w:rsidRPr="004C62C6">
        <w:t xml:space="preserve">Pauly, D. (1980) On the interrelationships between natural mortality, growth parameters, and mean environmental temperature in 175 fish stocks. </w:t>
      </w:r>
      <w:r w:rsidRPr="00F30B65">
        <w:rPr>
          <w:i/>
        </w:rPr>
        <w:t>Journal du Conseil International pour l’Exploration de la Mer</w:t>
      </w:r>
      <w:r w:rsidRPr="004C62C6">
        <w:t xml:space="preserve"> </w:t>
      </w:r>
      <w:r w:rsidRPr="00F30B65">
        <w:rPr>
          <w:b/>
        </w:rPr>
        <w:t>39</w:t>
      </w:r>
      <w:r w:rsidRPr="004C62C6">
        <w:t>, 175–192.</w:t>
      </w:r>
    </w:p>
    <w:p w14:paraId="752879EA" w14:textId="77777777" w:rsidR="00E47370" w:rsidRPr="00F30B65" w:rsidRDefault="00E47370" w:rsidP="004E4CDC">
      <w:pPr>
        <w:spacing w:before="100" w:beforeAutospacing="1" w:line="480" w:lineRule="auto"/>
        <w:rPr>
          <w:lang w:val="en-GB"/>
        </w:rPr>
      </w:pPr>
      <w:r w:rsidRPr="00F30B65">
        <w:rPr>
          <w:lang w:val="en-GB"/>
        </w:rPr>
        <w:t>Pella</w:t>
      </w:r>
      <w:r>
        <w:rPr>
          <w:lang w:val="en-GB"/>
        </w:rPr>
        <w:t>, J.J. and Tomlinson, P.K. (1969)</w:t>
      </w:r>
      <w:r w:rsidRPr="00F30B65">
        <w:rPr>
          <w:lang w:val="en-GB"/>
        </w:rPr>
        <w:t xml:space="preserve"> A generalized stock production model. </w:t>
      </w:r>
      <w:r w:rsidRPr="00F30B65">
        <w:rPr>
          <w:i/>
          <w:lang w:val="en-GB"/>
        </w:rPr>
        <w:t>Bulletin of the Inter-American- Tropical Tuna Commission</w:t>
      </w:r>
      <w:r w:rsidRPr="00F30B65">
        <w:rPr>
          <w:lang w:val="en-GB"/>
        </w:rPr>
        <w:t xml:space="preserve"> </w:t>
      </w:r>
      <w:r w:rsidRPr="00EE48EA">
        <w:rPr>
          <w:b/>
          <w:lang w:val="en-GB"/>
        </w:rPr>
        <w:t>13</w:t>
      </w:r>
      <w:r w:rsidRPr="00F30B65">
        <w:rPr>
          <w:lang w:val="en-GB"/>
        </w:rPr>
        <w:t xml:space="preserve">, 419–496.  </w:t>
      </w:r>
    </w:p>
    <w:p w14:paraId="2CDA06A9" w14:textId="77777777" w:rsidR="00E47370" w:rsidRPr="00F30B65" w:rsidRDefault="00E47370" w:rsidP="004E4CDC">
      <w:pPr>
        <w:spacing w:before="100" w:beforeAutospacing="1" w:line="480" w:lineRule="auto"/>
        <w:rPr>
          <w:lang w:val="en-GB"/>
        </w:rPr>
      </w:pPr>
      <w:r w:rsidRPr="00F30B65">
        <w:rPr>
          <w:lang w:val="en-GB"/>
        </w:rPr>
        <w:t xml:space="preserve">Plummer, M. (2003) JAGS: A program for analysis of Bayesian graphical models using Gibbs sampling. (Proceedings of the 3rd International Workshop on Distributed Statistical Computing (DSC 2003) March </w:t>
      </w:r>
      <w:r w:rsidRPr="00F30B65">
        <w:rPr>
          <w:lang w:val="en-GB"/>
        </w:rPr>
        <w:lastRenderedPageBreak/>
        <w:t xml:space="preserve">20-22, Vienna, 2003). (eds K. Hornik, F. </w:t>
      </w:r>
      <w:r>
        <w:t>Leisch and</w:t>
      </w:r>
      <w:r w:rsidRPr="004C62C6">
        <w:t xml:space="preserve"> A. Zeileis</w:t>
      </w:r>
      <w:r>
        <w:t>),</w:t>
      </w:r>
      <w:r w:rsidRPr="004C62C6">
        <w:t xml:space="preserve"> Vienna</w:t>
      </w:r>
      <w:r>
        <w:t xml:space="preserve"> Technical University</w:t>
      </w:r>
      <w:r w:rsidRPr="004C62C6">
        <w:t>,</w:t>
      </w:r>
      <w:r>
        <w:t xml:space="preserve"> Vienna</w:t>
      </w:r>
      <w:r w:rsidRPr="004C62C6">
        <w:t xml:space="preserve"> pp</w:t>
      </w:r>
      <w:r>
        <w:t>.</w:t>
      </w:r>
      <w:r w:rsidRPr="004C62C6">
        <w:t xml:space="preserve"> 20</w:t>
      </w:r>
      <w:r w:rsidRPr="00F30B65">
        <w:rPr>
          <w:lang w:val="en-GB"/>
        </w:rPr>
        <w:t>–22.</w:t>
      </w:r>
    </w:p>
    <w:p w14:paraId="433E5697" w14:textId="77777777" w:rsidR="00E47370" w:rsidRPr="00F30B65" w:rsidRDefault="00E47370" w:rsidP="004E4CDC">
      <w:pPr>
        <w:spacing w:before="100" w:beforeAutospacing="1" w:line="480" w:lineRule="auto"/>
        <w:rPr>
          <w:lang w:val="en-GB"/>
        </w:rPr>
      </w:pPr>
      <w:r>
        <w:rPr>
          <w:lang w:val="en-GB"/>
        </w:rPr>
        <w:t>Punt, A.E. (2003)</w:t>
      </w:r>
      <w:r w:rsidRPr="00F30B65">
        <w:rPr>
          <w:lang w:val="en-GB"/>
        </w:rPr>
        <w:t xml:space="preserve"> Extending production models to include process error in the population dynamics. </w:t>
      </w:r>
      <w:r w:rsidRPr="00F30B65">
        <w:rPr>
          <w:i/>
          <w:lang w:val="en-GB"/>
        </w:rPr>
        <w:t>Canadian Journal of Fisheries and Aquatic Sciences</w:t>
      </w:r>
      <w:r w:rsidRPr="00F30B65">
        <w:rPr>
          <w:lang w:val="en-GB"/>
        </w:rPr>
        <w:t xml:space="preserve"> </w:t>
      </w:r>
      <w:r w:rsidRPr="00F30B65">
        <w:rPr>
          <w:b/>
          <w:lang w:val="en-GB"/>
        </w:rPr>
        <w:t>60</w:t>
      </w:r>
      <w:r w:rsidRPr="00F30B65">
        <w:rPr>
          <w:lang w:val="en-GB"/>
        </w:rPr>
        <w:t>, 1217-1228.</w:t>
      </w:r>
    </w:p>
    <w:p w14:paraId="11684087" w14:textId="4312BB3F" w:rsidR="00B55E3D" w:rsidRDefault="00B55E3D" w:rsidP="004E4CDC">
      <w:pPr>
        <w:spacing w:before="100" w:beforeAutospacing="1" w:line="480" w:lineRule="auto"/>
        <w:rPr>
          <w:lang w:val="en-GB"/>
        </w:rPr>
      </w:pPr>
      <w:r w:rsidRPr="00B55E3D">
        <w:t xml:space="preserve">Punt, A.E. and Hilborn, R. (1997) Fisheries stock assessment and decision analysis: the Bayesian approach. </w:t>
      </w:r>
      <w:r w:rsidRPr="00B55E3D">
        <w:rPr>
          <w:i/>
          <w:iCs/>
        </w:rPr>
        <w:t>Reviews in Fish Biology and Fisheries</w:t>
      </w:r>
      <w:r w:rsidRPr="00B55E3D">
        <w:t xml:space="preserve"> </w:t>
      </w:r>
      <w:r w:rsidRPr="00B55E3D">
        <w:rPr>
          <w:b/>
          <w:bCs/>
        </w:rPr>
        <w:t>7</w:t>
      </w:r>
      <w:r w:rsidRPr="00B55E3D">
        <w:t>, 35–63.</w:t>
      </w:r>
    </w:p>
    <w:p w14:paraId="498CA67D" w14:textId="3E2D9D60" w:rsidR="00E47370" w:rsidRPr="00F30B65" w:rsidRDefault="00E47370" w:rsidP="004E4CDC">
      <w:pPr>
        <w:spacing w:before="100" w:beforeAutospacing="1" w:line="480" w:lineRule="auto"/>
        <w:rPr>
          <w:lang w:val="en-GB"/>
        </w:rPr>
      </w:pPr>
      <w:r w:rsidRPr="00F30B65">
        <w:rPr>
          <w:lang w:val="en-GB"/>
        </w:rPr>
        <w:t xml:space="preserve">Punt, A.E., Siddeek, M.S.M., Gdearber-Yots, B. </w:t>
      </w:r>
      <w:r w:rsidRPr="00776ECE">
        <w:rPr>
          <w:i/>
          <w:lang w:val="en-GB"/>
        </w:rPr>
        <w:t>et al</w:t>
      </w:r>
      <w:r w:rsidRPr="00F30B65">
        <w:rPr>
          <w:i/>
          <w:lang w:val="en-GB"/>
        </w:rPr>
        <w:t>.</w:t>
      </w:r>
      <w:r w:rsidRPr="00F30B65">
        <w:rPr>
          <w:lang w:val="en-GB"/>
        </w:rPr>
        <w:t xml:space="preserve"> (2012) Evaluating the impact of buffers to account for scientific uncertainty when setting TACs: application to red king crab in Bristol Bay, Alaska. </w:t>
      </w:r>
      <w:r w:rsidRPr="00F30B65">
        <w:rPr>
          <w:i/>
          <w:lang w:val="en-GB"/>
        </w:rPr>
        <w:t>ICES Journal of Marine Science</w:t>
      </w:r>
      <w:r w:rsidRPr="00F30B65">
        <w:rPr>
          <w:lang w:val="en-GB"/>
        </w:rPr>
        <w:t xml:space="preserve"> </w:t>
      </w:r>
      <w:r w:rsidRPr="00F30B65">
        <w:rPr>
          <w:b/>
          <w:lang w:val="en-GB"/>
        </w:rPr>
        <w:t>69,</w:t>
      </w:r>
      <w:r w:rsidRPr="00F30B65">
        <w:rPr>
          <w:lang w:val="en-GB"/>
        </w:rPr>
        <w:t xml:space="preserve"> 624–634.</w:t>
      </w:r>
    </w:p>
    <w:p w14:paraId="33DBD5C3" w14:textId="77777777" w:rsidR="00E47370" w:rsidRPr="00F30B65" w:rsidRDefault="00E47370" w:rsidP="004E4CDC">
      <w:pPr>
        <w:spacing w:before="100" w:beforeAutospacing="1" w:line="480" w:lineRule="auto"/>
        <w:rPr>
          <w:lang w:val="en-GB"/>
        </w:rPr>
      </w:pPr>
      <w:r w:rsidRPr="00F30B65">
        <w:rPr>
          <w:lang w:val="en-GB"/>
        </w:rPr>
        <w:t xml:space="preserve">Ricker, W.E. (1975) Computation and interpretation of biological statistics of fish populations. </w:t>
      </w:r>
      <w:r w:rsidRPr="00F30B65">
        <w:rPr>
          <w:i/>
          <w:lang w:val="en-GB"/>
        </w:rPr>
        <w:t>Bulletin of the Fisheries Research Board of Canada</w:t>
      </w:r>
      <w:r w:rsidRPr="00F30B65">
        <w:rPr>
          <w:lang w:val="en-GB"/>
        </w:rPr>
        <w:t xml:space="preserve"> </w:t>
      </w:r>
      <w:r w:rsidRPr="00F30B65">
        <w:rPr>
          <w:b/>
          <w:lang w:val="en-GB"/>
        </w:rPr>
        <w:t>191</w:t>
      </w:r>
      <w:r w:rsidRPr="00F30B65">
        <w:rPr>
          <w:lang w:val="en-GB"/>
        </w:rPr>
        <w:t>, Ottawa, Canada, 382 pp.</w:t>
      </w:r>
    </w:p>
    <w:p w14:paraId="13A47734" w14:textId="77777777" w:rsidR="00E47370" w:rsidRPr="00F30B65" w:rsidRDefault="00E47370" w:rsidP="004E4CDC">
      <w:pPr>
        <w:spacing w:before="100" w:beforeAutospacing="1" w:line="480" w:lineRule="auto"/>
        <w:rPr>
          <w:lang w:val="en-GB"/>
        </w:rPr>
      </w:pPr>
      <w:r w:rsidRPr="00F30B65">
        <w:rPr>
          <w:lang w:val="en-GB"/>
        </w:rPr>
        <w:t xml:space="preserve">Rosenberg, A.A., Fogarty, M.J., Cooper,  A. B. </w:t>
      </w:r>
      <w:r w:rsidRPr="00776ECE">
        <w:rPr>
          <w:i/>
          <w:lang w:val="en-GB"/>
        </w:rPr>
        <w:t>et al</w:t>
      </w:r>
      <w:r w:rsidRPr="00F30B65">
        <w:rPr>
          <w:i/>
          <w:lang w:val="en-GB"/>
        </w:rPr>
        <w:t>.</w:t>
      </w:r>
      <w:r w:rsidRPr="00F30B65">
        <w:rPr>
          <w:lang w:val="en-GB"/>
        </w:rPr>
        <w:t xml:space="preserve"> (2014)</w:t>
      </w:r>
      <w:r w:rsidRPr="00F30B65">
        <w:rPr>
          <w:b/>
          <w:lang w:val="en-GB"/>
        </w:rPr>
        <w:t xml:space="preserve"> </w:t>
      </w:r>
      <w:r w:rsidRPr="00F30B65">
        <w:rPr>
          <w:lang w:val="en-GB"/>
        </w:rPr>
        <w:t xml:space="preserve">Developing new approaches to global stock status assessment and fishery production potential of the seas, </w:t>
      </w:r>
      <w:r w:rsidRPr="00F30B65">
        <w:rPr>
          <w:bCs/>
          <w:i/>
        </w:rPr>
        <w:t>FAO Fisheries and Aquaculture Circular</w:t>
      </w:r>
      <w:r w:rsidRPr="00F30B65">
        <w:rPr>
          <w:bCs/>
        </w:rPr>
        <w:t xml:space="preserve"> No. 1086 FIRF/C1086, FAO, Rome.</w:t>
      </w:r>
    </w:p>
    <w:p w14:paraId="277DC5CE" w14:textId="77777777" w:rsidR="00E47370" w:rsidRPr="00F30B65" w:rsidRDefault="00E47370" w:rsidP="004E4CDC">
      <w:pPr>
        <w:spacing w:before="100" w:beforeAutospacing="1" w:line="480" w:lineRule="auto"/>
        <w:rPr>
          <w:lang w:val="en-GB"/>
        </w:rPr>
      </w:pPr>
      <w:r w:rsidRPr="00F30B65">
        <w:rPr>
          <w:lang w:val="en-GB"/>
        </w:rPr>
        <w:t xml:space="preserve">Schaefer, M. (1954) Some aspects of the dynamics of populations important to the management of the commercial marine fisheries. </w:t>
      </w:r>
      <w:r w:rsidRPr="00F30B65">
        <w:rPr>
          <w:i/>
          <w:lang w:val="en-GB"/>
        </w:rPr>
        <w:t>Bulletin of the Inter-American- Tropical Tuna Commission</w:t>
      </w:r>
      <w:r w:rsidRPr="00F30B65">
        <w:rPr>
          <w:lang w:val="en-GB"/>
        </w:rPr>
        <w:t xml:space="preserve"> </w:t>
      </w:r>
      <w:r w:rsidRPr="00F30B65">
        <w:rPr>
          <w:b/>
          <w:lang w:val="en-GB"/>
        </w:rPr>
        <w:t>1,</w:t>
      </w:r>
      <w:r w:rsidRPr="00F30B65">
        <w:rPr>
          <w:lang w:val="en-GB"/>
        </w:rPr>
        <w:t xml:space="preserve"> 27–56.  </w:t>
      </w:r>
    </w:p>
    <w:p w14:paraId="2C767DA8" w14:textId="28090EE8" w:rsidR="008B3B3E" w:rsidRPr="008B3B3E" w:rsidRDefault="008B3B3E" w:rsidP="004E4CDC">
      <w:pPr>
        <w:spacing w:before="100" w:beforeAutospacing="1" w:line="480" w:lineRule="auto"/>
      </w:pPr>
      <w:r>
        <w:t xml:space="preserve">Smith, R.W. (1995) Visual Hypothesis Testing with Confidence Intervals. EcoAnalysis Inc., Ojai, CA, 1-6. Available from </w:t>
      </w:r>
      <w:hyperlink r:id="rId24" w:history="1">
        <w:r w:rsidRPr="00665232">
          <w:rPr>
            <w:rStyle w:val="Hyperlink"/>
          </w:rPr>
          <w:t>http://www2.sas.com/proceedings/sugi22/STATS/PAPER270.PDF</w:t>
        </w:r>
      </w:hyperlink>
      <w:r>
        <w:t xml:space="preserve"> </w:t>
      </w:r>
    </w:p>
    <w:p w14:paraId="25372343" w14:textId="350F4F31" w:rsidR="00BA4E26" w:rsidRDefault="00BA4E26" w:rsidP="004E4CDC">
      <w:pPr>
        <w:spacing w:before="100" w:beforeAutospacing="1" w:line="480" w:lineRule="auto"/>
        <w:rPr>
          <w:lang w:val="en-GB"/>
        </w:rPr>
      </w:pPr>
      <w:r>
        <w:rPr>
          <w:lang w:val="en-GB"/>
        </w:rPr>
        <w:t>Schnute, J.T. and Richards, L.J. (2002) Surplus production models. p. 105-126 In: Hart. P.J.B. and Reynolds, J.D. (eds.) Handbook of fish biology and fisheries, Volume 2. Blackwell Publishing, Oxford, UK.</w:t>
      </w:r>
    </w:p>
    <w:p w14:paraId="1F1A475B" w14:textId="77777777" w:rsidR="00E47370" w:rsidRPr="00F30B65" w:rsidRDefault="00E47370" w:rsidP="004E4CDC">
      <w:pPr>
        <w:spacing w:before="100" w:beforeAutospacing="1" w:line="480" w:lineRule="auto"/>
        <w:rPr>
          <w:lang w:val="en-GB"/>
        </w:rPr>
      </w:pPr>
      <w:r w:rsidRPr="00F30B65">
        <w:rPr>
          <w:lang w:val="en-GB"/>
        </w:rPr>
        <w:lastRenderedPageBreak/>
        <w:t xml:space="preserve">Sparre, P. and Venema, S.C. (1998) Introduction to tropical fish stock assessment. Part 1. Manual. </w:t>
      </w:r>
      <w:r w:rsidRPr="00F30B65">
        <w:rPr>
          <w:i/>
          <w:lang w:val="en-GB"/>
        </w:rPr>
        <w:t>FAO Fisheries Technical Paper</w:t>
      </w:r>
      <w:r w:rsidRPr="00F30B65">
        <w:rPr>
          <w:lang w:val="en-GB"/>
        </w:rPr>
        <w:t xml:space="preserve"> No. </w:t>
      </w:r>
      <w:r w:rsidRPr="00F30B65">
        <w:rPr>
          <w:b/>
          <w:lang w:val="en-GB"/>
        </w:rPr>
        <w:t>306</w:t>
      </w:r>
      <w:r w:rsidRPr="00F30B65">
        <w:rPr>
          <w:lang w:val="en-GB"/>
        </w:rPr>
        <w:t>.1, Rev.2., Rome, FAO, 407 pp.</w:t>
      </w:r>
    </w:p>
    <w:p w14:paraId="4E302787" w14:textId="77777777" w:rsidR="00E47370" w:rsidRPr="00F30B65" w:rsidRDefault="00E47370" w:rsidP="004E4CDC">
      <w:pPr>
        <w:spacing w:before="100" w:beforeAutospacing="1" w:line="480" w:lineRule="auto"/>
        <w:rPr>
          <w:lang w:val="en-GB"/>
        </w:rPr>
      </w:pPr>
      <w:r w:rsidRPr="00F30B65">
        <w:rPr>
          <w:lang w:val="en-GB"/>
        </w:rPr>
        <w:t xml:space="preserve">Thorson, J.T., Branch, T.A. and Jensen, O.P. (2012) Using model-based inference to evaluate global fisheries status from landings, location, and life history data. </w:t>
      </w:r>
      <w:r w:rsidRPr="00F30B65">
        <w:rPr>
          <w:i/>
          <w:lang w:val="en-GB"/>
        </w:rPr>
        <w:t>Canadian Journal of Fisheries and Aquatic Sciences</w:t>
      </w:r>
      <w:r w:rsidRPr="00F30B65">
        <w:rPr>
          <w:lang w:val="en-GB"/>
        </w:rPr>
        <w:t xml:space="preserve"> </w:t>
      </w:r>
      <w:r w:rsidRPr="00F30B65">
        <w:rPr>
          <w:b/>
          <w:lang w:val="en-GB"/>
        </w:rPr>
        <w:t>69,</w:t>
      </w:r>
      <w:r w:rsidRPr="00F30B65">
        <w:rPr>
          <w:lang w:val="en-GB"/>
        </w:rPr>
        <w:t xml:space="preserve"> 645-655</w:t>
      </w:r>
    </w:p>
    <w:p w14:paraId="28694C19" w14:textId="77777777" w:rsidR="00E47370" w:rsidRPr="00F30B65" w:rsidRDefault="00E47370" w:rsidP="004E4CDC">
      <w:pPr>
        <w:spacing w:before="100" w:beforeAutospacing="1" w:line="480" w:lineRule="auto"/>
        <w:rPr>
          <w:lang w:val="en-GB"/>
        </w:rPr>
      </w:pPr>
      <w:r w:rsidRPr="00F30B65">
        <w:rPr>
          <w:lang w:val="en-GB"/>
        </w:rPr>
        <w:t>Thorson, J. T., Minto, C., Minte-Vera, C. V., Kleisner, K. M. and Longo, C.</w:t>
      </w:r>
      <w:r w:rsidRPr="00F30B65">
        <w:rPr>
          <w:b/>
          <w:lang w:val="en-GB"/>
        </w:rPr>
        <w:t xml:space="preserve"> </w:t>
      </w:r>
      <w:r w:rsidRPr="00EE48EA">
        <w:rPr>
          <w:lang w:val="en-GB"/>
        </w:rPr>
        <w:t>(</w:t>
      </w:r>
      <w:r w:rsidRPr="00F30B65">
        <w:rPr>
          <w:lang w:val="en-GB"/>
        </w:rPr>
        <w:t>2013</w:t>
      </w:r>
      <w:r>
        <w:rPr>
          <w:lang w:val="en-GB"/>
        </w:rPr>
        <w:t>)</w:t>
      </w:r>
      <w:r w:rsidRPr="00F30B65">
        <w:rPr>
          <w:lang w:val="en-GB"/>
        </w:rPr>
        <w:t xml:space="preserve"> A new role for effort dynamics in the theory of harvested populations and data-poor stock assessment. </w:t>
      </w:r>
      <w:r w:rsidRPr="00F30B65">
        <w:rPr>
          <w:i/>
          <w:iCs/>
          <w:lang w:val="en-GB"/>
        </w:rPr>
        <w:t>Canadian Journal of Fisheries and Aquatic Sciences</w:t>
      </w:r>
      <w:r w:rsidRPr="00F30B65">
        <w:rPr>
          <w:lang w:val="en-GB"/>
        </w:rPr>
        <w:t xml:space="preserve"> </w:t>
      </w:r>
      <w:r w:rsidRPr="00F30B65">
        <w:rPr>
          <w:b/>
          <w:lang w:val="en-GB"/>
        </w:rPr>
        <w:t>70</w:t>
      </w:r>
      <w:r w:rsidRPr="00F30B65">
        <w:rPr>
          <w:lang w:val="en-GB"/>
        </w:rPr>
        <w:t>(12), 1829-1844.</w:t>
      </w:r>
    </w:p>
    <w:p w14:paraId="1BD9329F" w14:textId="77777777" w:rsidR="00775DB4" w:rsidRDefault="00775DB4" w:rsidP="004E4CDC">
      <w:pPr>
        <w:spacing w:before="100" w:beforeAutospacing="1" w:line="480" w:lineRule="auto"/>
      </w:pPr>
      <w:r>
        <w:t xml:space="preserve">Thorson, J.T., Ono, K. and Munch, S.B. (2014) A Bayesian approach to identifying and compensating for model misspecification in population models. </w:t>
      </w:r>
      <w:r>
        <w:rPr>
          <w:i/>
          <w:iCs/>
        </w:rPr>
        <w:t>Ecology</w:t>
      </w:r>
      <w:r>
        <w:t xml:space="preserve"> </w:t>
      </w:r>
      <w:r>
        <w:rPr>
          <w:b/>
          <w:bCs/>
        </w:rPr>
        <w:t>95</w:t>
      </w:r>
      <w:r>
        <w:t>, 329–341.</w:t>
      </w:r>
    </w:p>
    <w:p w14:paraId="6A991DB1" w14:textId="7677AF49" w:rsidR="00E47370" w:rsidRPr="00F30B65" w:rsidRDefault="00E47370" w:rsidP="004E4CDC">
      <w:pPr>
        <w:spacing w:before="100" w:beforeAutospacing="1" w:line="480" w:lineRule="auto"/>
        <w:rPr>
          <w:lang w:val="en-GB"/>
        </w:rPr>
      </w:pPr>
      <w:r w:rsidRPr="00F30B65">
        <w:rPr>
          <w:bCs/>
          <w:lang w:val="en-GB"/>
        </w:rPr>
        <w:t>Vasconcellos, M. and Cochrane, K.</w:t>
      </w:r>
      <w:r w:rsidRPr="00F30B65">
        <w:rPr>
          <w:b/>
          <w:bCs/>
          <w:lang w:val="en-GB"/>
        </w:rPr>
        <w:t xml:space="preserve"> </w:t>
      </w:r>
      <w:r w:rsidRPr="00EE48EA">
        <w:rPr>
          <w:bCs/>
          <w:lang w:val="en-GB"/>
        </w:rPr>
        <w:t>(</w:t>
      </w:r>
      <w:r w:rsidRPr="00F30B65">
        <w:rPr>
          <w:lang w:val="en-GB"/>
        </w:rPr>
        <w:t xml:space="preserve">2005) Overview of world status of data-limited fisheries: inferences from landing statistics. </w:t>
      </w:r>
      <w:r w:rsidRPr="00F30B65">
        <w:rPr>
          <w:i/>
          <w:iCs/>
          <w:lang w:val="en-GB"/>
        </w:rPr>
        <w:t xml:space="preserve">In </w:t>
      </w:r>
      <w:r w:rsidRPr="00F30B65">
        <w:rPr>
          <w:lang w:val="en-GB"/>
        </w:rPr>
        <w:t xml:space="preserve">G.H. Kruse, V.F. Gallucci, D.E. Hay, R.I. Perry, R.M. Peterman, T.C. Shirley, P.D. Spencer, B. Wilson </w:t>
      </w:r>
      <w:r>
        <w:rPr>
          <w:lang w:val="en-GB"/>
        </w:rPr>
        <w:t>and</w:t>
      </w:r>
      <w:r w:rsidRPr="00F30B65">
        <w:rPr>
          <w:lang w:val="en-GB"/>
        </w:rPr>
        <w:t xml:space="preserve"> D. Woodby, eds. </w:t>
      </w:r>
      <w:r w:rsidRPr="00F30B65">
        <w:rPr>
          <w:i/>
          <w:iCs/>
          <w:lang w:val="en-GB"/>
        </w:rPr>
        <w:t>Fisheries assessment and management in data-limited situations</w:t>
      </w:r>
      <w:r w:rsidRPr="00F30B65">
        <w:rPr>
          <w:lang w:val="en-GB"/>
        </w:rPr>
        <w:t>, pp. 1–20.  Fairbanks, USA, Alaska Sea Grant College Program.</w:t>
      </w:r>
    </w:p>
    <w:p w14:paraId="33011C11" w14:textId="77777777" w:rsidR="00E47370" w:rsidRPr="00F30B65" w:rsidRDefault="00E47370" w:rsidP="004E4CDC">
      <w:pPr>
        <w:spacing w:before="100" w:beforeAutospacing="1" w:line="480" w:lineRule="auto"/>
        <w:rPr>
          <w:lang w:val="en-GB"/>
        </w:rPr>
      </w:pPr>
      <w:r w:rsidRPr="00F30B65">
        <w:rPr>
          <w:lang w:val="en-GB"/>
        </w:rPr>
        <w:t xml:space="preserve">Zhou, S., Yin, S., Thorson, J.T., Smith, A.D.M. and Fuller, M. (2012) Linking fishing mortality reference points to life history traits: an empirical study. </w:t>
      </w:r>
      <w:r w:rsidRPr="00F30B65">
        <w:rPr>
          <w:i/>
          <w:lang w:val="en-GB"/>
        </w:rPr>
        <w:t>Canadian Journal of Fisheries and Aquatic Sciences</w:t>
      </w:r>
      <w:r w:rsidRPr="00F30B65">
        <w:rPr>
          <w:lang w:val="en-GB"/>
        </w:rPr>
        <w:t xml:space="preserve"> </w:t>
      </w:r>
      <w:r w:rsidRPr="00F30B65">
        <w:rPr>
          <w:b/>
          <w:lang w:val="en-GB"/>
        </w:rPr>
        <w:t>69,</w:t>
      </w:r>
      <w:r w:rsidRPr="00F30B65">
        <w:rPr>
          <w:lang w:val="en-GB"/>
        </w:rPr>
        <w:t xml:space="preserve"> 1292-1301.</w:t>
      </w:r>
    </w:p>
    <w:p w14:paraId="1AA1B2A9" w14:textId="77777777" w:rsidR="00A71BC6" w:rsidRDefault="00A71BC6">
      <w:pPr>
        <w:rPr>
          <w:b/>
          <w:lang w:val="en-GB"/>
        </w:rPr>
      </w:pPr>
      <w:r>
        <w:rPr>
          <w:b/>
          <w:lang w:val="en-GB"/>
        </w:rPr>
        <w:br w:type="page"/>
      </w:r>
    </w:p>
    <w:p w14:paraId="151AB245" w14:textId="74CDEA48" w:rsidR="003E5DE6" w:rsidRPr="00342F9B" w:rsidRDefault="00342F9B" w:rsidP="007848F0">
      <w:pPr>
        <w:ind w:left="720" w:hanging="720"/>
        <w:rPr>
          <w:b/>
          <w:lang w:val="en-GB"/>
        </w:rPr>
      </w:pPr>
      <w:r w:rsidRPr="00342F9B">
        <w:rPr>
          <w:b/>
          <w:lang w:val="en-GB"/>
        </w:rPr>
        <w:lastRenderedPageBreak/>
        <w:t>Tables</w:t>
      </w:r>
    </w:p>
    <w:p w14:paraId="2892EFEA" w14:textId="2D7A17E9" w:rsidR="00342F9B" w:rsidRDefault="00CB0CAF" w:rsidP="00342F9B">
      <w:pPr>
        <w:spacing w:after="120" w:line="360" w:lineRule="auto"/>
      </w:pPr>
      <w:r>
        <w:t>Table 1</w:t>
      </w:r>
      <w:r w:rsidR="00342F9B">
        <w:t>. Acronyms and symbols used in this study.</w:t>
      </w:r>
    </w:p>
    <w:tbl>
      <w:tblPr>
        <w:tblStyle w:val="Tabellenraster"/>
        <w:tblW w:w="9391" w:type="dxa"/>
        <w:tblLook w:val="04A0" w:firstRow="1" w:lastRow="0" w:firstColumn="1" w:lastColumn="0" w:noHBand="0" w:noVBand="1"/>
      </w:tblPr>
      <w:tblGrid>
        <w:gridCol w:w="1271"/>
        <w:gridCol w:w="6624"/>
        <w:gridCol w:w="1496"/>
      </w:tblGrid>
      <w:tr w:rsidR="00342F9B" w14:paraId="1C29A89A" w14:textId="77777777" w:rsidTr="00CD6F09">
        <w:tc>
          <w:tcPr>
            <w:tcW w:w="1271" w:type="dxa"/>
          </w:tcPr>
          <w:p w14:paraId="280AB1EF" w14:textId="77777777" w:rsidR="00342F9B" w:rsidRPr="00D87E63" w:rsidRDefault="00342F9B" w:rsidP="00342F9B">
            <w:pPr>
              <w:rPr>
                <w:b/>
              </w:rPr>
            </w:pPr>
            <w:r w:rsidRPr="00D87E63">
              <w:rPr>
                <w:b/>
              </w:rPr>
              <w:t>Acronym / Symbol</w:t>
            </w:r>
          </w:p>
        </w:tc>
        <w:tc>
          <w:tcPr>
            <w:tcW w:w="6624" w:type="dxa"/>
          </w:tcPr>
          <w:p w14:paraId="3D58F411" w14:textId="77777777" w:rsidR="00342F9B" w:rsidRPr="00D87E63" w:rsidRDefault="00342F9B" w:rsidP="00342F9B">
            <w:pPr>
              <w:rPr>
                <w:b/>
              </w:rPr>
            </w:pPr>
            <w:r w:rsidRPr="00D87E63">
              <w:rPr>
                <w:b/>
              </w:rPr>
              <w:t>Indicating:</w:t>
            </w:r>
          </w:p>
        </w:tc>
        <w:tc>
          <w:tcPr>
            <w:tcW w:w="1496" w:type="dxa"/>
          </w:tcPr>
          <w:p w14:paraId="18980CA4" w14:textId="77777777" w:rsidR="00342F9B" w:rsidRPr="00D87E63" w:rsidRDefault="00342F9B" w:rsidP="00342F9B">
            <w:pPr>
              <w:rPr>
                <w:b/>
              </w:rPr>
            </w:pPr>
            <w:r>
              <w:rPr>
                <w:b/>
              </w:rPr>
              <w:t>Unit</w:t>
            </w:r>
          </w:p>
        </w:tc>
      </w:tr>
      <w:tr w:rsidR="00342F9B" w14:paraId="022B5070" w14:textId="77777777" w:rsidTr="00CD6F09">
        <w:tc>
          <w:tcPr>
            <w:tcW w:w="1271" w:type="dxa"/>
          </w:tcPr>
          <w:p w14:paraId="0535D831" w14:textId="77777777" w:rsidR="00342F9B" w:rsidRPr="006C4386" w:rsidRDefault="00342F9B" w:rsidP="00342F9B">
            <w:pPr>
              <w:rPr>
                <w:i/>
              </w:rPr>
            </w:pPr>
            <w:r>
              <w:rPr>
                <w:i/>
              </w:rPr>
              <w:t>B</w:t>
            </w:r>
          </w:p>
        </w:tc>
        <w:tc>
          <w:tcPr>
            <w:tcW w:w="6624" w:type="dxa"/>
          </w:tcPr>
          <w:p w14:paraId="7DB384C6" w14:textId="2B15D4D6" w:rsidR="00342F9B" w:rsidRDefault="00342F9B" w:rsidP="00342F9B">
            <w:r>
              <w:t xml:space="preserve">Biomass, total weight of </w:t>
            </w:r>
            <w:r w:rsidR="00BF671E">
              <w:t xml:space="preserve">exploited </w:t>
            </w:r>
            <w:r>
              <w:t>fish in the water</w:t>
            </w:r>
          </w:p>
        </w:tc>
        <w:tc>
          <w:tcPr>
            <w:tcW w:w="1496" w:type="dxa"/>
          </w:tcPr>
          <w:p w14:paraId="6AF989E0" w14:textId="77777777" w:rsidR="00342F9B" w:rsidRDefault="00342F9B" w:rsidP="00342F9B">
            <w:r>
              <w:t>tonnes</w:t>
            </w:r>
          </w:p>
        </w:tc>
      </w:tr>
      <w:tr w:rsidR="00342F9B" w14:paraId="394555C5" w14:textId="77777777" w:rsidTr="00CD6F09">
        <w:tc>
          <w:tcPr>
            <w:tcW w:w="1271" w:type="dxa"/>
          </w:tcPr>
          <w:p w14:paraId="52B9881E" w14:textId="77777777" w:rsidR="00342F9B" w:rsidRPr="006C4386" w:rsidRDefault="00342F9B" w:rsidP="00342F9B">
            <w:pPr>
              <w:rPr>
                <w:i/>
              </w:rPr>
            </w:pPr>
            <w:r w:rsidRPr="006C4386">
              <w:rPr>
                <w:i/>
              </w:rPr>
              <w:t>B</w:t>
            </w:r>
            <w:r w:rsidRPr="006C4386">
              <w:rPr>
                <w:i/>
                <w:vertAlign w:val="subscript"/>
              </w:rPr>
              <w:t>msy</w:t>
            </w:r>
            <w:r w:rsidRPr="006C4386">
              <w:rPr>
                <w:i/>
              </w:rPr>
              <w:t xml:space="preserve">  </w:t>
            </w:r>
          </w:p>
        </w:tc>
        <w:tc>
          <w:tcPr>
            <w:tcW w:w="6624" w:type="dxa"/>
          </w:tcPr>
          <w:p w14:paraId="32A7BFEB" w14:textId="77777777" w:rsidR="00342F9B" w:rsidRDefault="00342F9B" w:rsidP="00342F9B">
            <w:r>
              <w:t xml:space="preserve">Biomass capable of producing </w:t>
            </w:r>
            <w:r w:rsidRPr="006C4386">
              <w:rPr>
                <w:i/>
              </w:rPr>
              <w:t>MSY</w:t>
            </w:r>
          </w:p>
        </w:tc>
        <w:tc>
          <w:tcPr>
            <w:tcW w:w="1496" w:type="dxa"/>
          </w:tcPr>
          <w:p w14:paraId="687A5CC1" w14:textId="77777777" w:rsidR="00342F9B" w:rsidRDefault="00342F9B" w:rsidP="00342F9B">
            <w:r>
              <w:t>tonnes</w:t>
            </w:r>
          </w:p>
        </w:tc>
      </w:tr>
      <w:tr w:rsidR="00342F9B" w14:paraId="31BD6548" w14:textId="77777777" w:rsidTr="00CD6F09">
        <w:tc>
          <w:tcPr>
            <w:tcW w:w="1271" w:type="dxa"/>
          </w:tcPr>
          <w:p w14:paraId="33F8317F" w14:textId="77777777" w:rsidR="00342F9B" w:rsidRDefault="00342F9B" w:rsidP="00342F9B">
            <w:r>
              <w:t>BSM</w:t>
            </w:r>
          </w:p>
        </w:tc>
        <w:tc>
          <w:tcPr>
            <w:tcW w:w="6624" w:type="dxa"/>
          </w:tcPr>
          <w:p w14:paraId="538FA130" w14:textId="77777777" w:rsidR="00342F9B" w:rsidRDefault="00342F9B" w:rsidP="00342F9B">
            <w:r>
              <w:t xml:space="preserve">Bayesian Schaefer model for estimation of </w:t>
            </w:r>
            <w:r w:rsidRPr="006C4386">
              <w:rPr>
                <w:i/>
              </w:rPr>
              <w:t>r</w:t>
            </w:r>
            <w:r>
              <w:t xml:space="preserve">, </w:t>
            </w:r>
            <w:r w:rsidRPr="006C4386">
              <w:rPr>
                <w:i/>
              </w:rPr>
              <w:t>k</w:t>
            </w:r>
            <w:r>
              <w:rPr>
                <w:i/>
              </w:rPr>
              <w:t>, MSY</w:t>
            </w:r>
            <w:r w:rsidRPr="00A12A82">
              <w:t xml:space="preserve"> and </w:t>
            </w:r>
            <w:r w:rsidRPr="00A12A82">
              <w:rPr>
                <w:i/>
              </w:rPr>
              <w:t>q</w:t>
            </w:r>
          </w:p>
        </w:tc>
        <w:tc>
          <w:tcPr>
            <w:tcW w:w="1496" w:type="dxa"/>
          </w:tcPr>
          <w:p w14:paraId="4827964A" w14:textId="77777777" w:rsidR="00342F9B" w:rsidRDefault="00342F9B" w:rsidP="00342F9B"/>
        </w:tc>
      </w:tr>
      <w:tr w:rsidR="00342F9B" w14:paraId="3BFE223D" w14:textId="77777777" w:rsidTr="00CD6F09">
        <w:tc>
          <w:tcPr>
            <w:tcW w:w="1271" w:type="dxa"/>
          </w:tcPr>
          <w:p w14:paraId="49E3512C" w14:textId="77777777" w:rsidR="00342F9B" w:rsidRPr="00FF3988" w:rsidRDefault="00342F9B" w:rsidP="00342F9B">
            <w:pPr>
              <w:rPr>
                <w:i/>
              </w:rPr>
            </w:pPr>
            <w:r w:rsidRPr="00FF3988">
              <w:rPr>
                <w:i/>
              </w:rPr>
              <w:t>C</w:t>
            </w:r>
          </w:p>
        </w:tc>
        <w:tc>
          <w:tcPr>
            <w:tcW w:w="6624" w:type="dxa"/>
          </w:tcPr>
          <w:p w14:paraId="30ADF2E8" w14:textId="558E692B" w:rsidR="00342F9B" w:rsidRDefault="00342F9B" w:rsidP="00342F9B">
            <w:r>
              <w:t>Catch</w:t>
            </w:r>
            <w:r w:rsidR="00CC319E">
              <w:t xml:space="preserve"> in a given year</w:t>
            </w:r>
          </w:p>
        </w:tc>
        <w:tc>
          <w:tcPr>
            <w:tcW w:w="1496" w:type="dxa"/>
          </w:tcPr>
          <w:p w14:paraId="1C4C73AB" w14:textId="7D458703" w:rsidR="00342F9B" w:rsidRDefault="00342F9B" w:rsidP="00342F9B">
            <w:r>
              <w:t>tonnes</w:t>
            </w:r>
            <w:r w:rsidR="00CC319E">
              <w:t xml:space="preserve"> year</w:t>
            </w:r>
            <w:r w:rsidR="00CC319E" w:rsidRPr="00CC319E">
              <w:rPr>
                <w:vertAlign w:val="superscript"/>
              </w:rPr>
              <w:t>-1</w:t>
            </w:r>
          </w:p>
        </w:tc>
      </w:tr>
      <w:tr w:rsidR="00342F9B" w14:paraId="7331643E" w14:textId="77777777" w:rsidTr="00CD6F09">
        <w:tc>
          <w:tcPr>
            <w:tcW w:w="1271" w:type="dxa"/>
          </w:tcPr>
          <w:p w14:paraId="1F746411" w14:textId="77777777" w:rsidR="00342F9B" w:rsidRDefault="00342F9B" w:rsidP="00342F9B">
            <w:r>
              <w:t>CMSY</w:t>
            </w:r>
          </w:p>
        </w:tc>
        <w:tc>
          <w:tcPr>
            <w:tcW w:w="6624" w:type="dxa"/>
          </w:tcPr>
          <w:p w14:paraId="4F2F94DA" w14:textId="32C1981A" w:rsidR="00342F9B" w:rsidRDefault="00342F9B" w:rsidP="00CD6F09">
            <w:r>
              <w:t>Mo</w:t>
            </w:r>
            <w:r w:rsidR="00CD6F09">
              <w:t>nte-Carlo method for estimating</w:t>
            </w:r>
            <w:r>
              <w:t xml:space="preserve"> </w:t>
            </w:r>
            <w:r w:rsidRPr="006C4386">
              <w:rPr>
                <w:i/>
              </w:rPr>
              <w:t>r</w:t>
            </w:r>
            <w:r>
              <w:t xml:space="preserve">, </w:t>
            </w:r>
            <w:r w:rsidRPr="006C4386">
              <w:rPr>
                <w:i/>
              </w:rPr>
              <w:t>k</w:t>
            </w:r>
            <w:r>
              <w:t xml:space="preserve">, </w:t>
            </w:r>
            <w:r w:rsidRPr="00067855">
              <w:rPr>
                <w:i/>
              </w:rPr>
              <w:t>MSY</w:t>
            </w:r>
            <w:r w:rsidR="00CD6F09">
              <w:t xml:space="preserve">, </w:t>
            </w:r>
            <w:r>
              <w:t>biomass</w:t>
            </w:r>
            <w:r w:rsidR="00CD6F09">
              <w:t xml:space="preserve"> and exploitation</w:t>
            </w:r>
          </w:p>
        </w:tc>
        <w:tc>
          <w:tcPr>
            <w:tcW w:w="1496" w:type="dxa"/>
          </w:tcPr>
          <w:p w14:paraId="6F6E3D45" w14:textId="77777777" w:rsidR="00342F9B" w:rsidRDefault="00342F9B" w:rsidP="00342F9B"/>
        </w:tc>
      </w:tr>
      <w:tr w:rsidR="00342F9B" w14:paraId="7C11E01E" w14:textId="77777777" w:rsidTr="00CD6F09">
        <w:tc>
          <w:tcPr>
            <w:tcW w:w="1271" w:type="dxa"/>
          </w:tcPr>
          <w:p w14:paraId="48DF992E" w14:textId="77777777" w:rsidR="00342F9B" w:rsidRPr="006C4386" w:rsidRDefault="00342F9B" w:rsidP="00342F9B">
            <w:r w:rsidRPr="006C4386">
              <w:t>CPUE</w:t>
            </w:r>
          </w:p>
        </w:tc>
        <w:tc>
          <w:tcPr>
            <w:tcW w:w="6624" w:type="dxa"/>
          </w:tcPr>
          <w:p w14:paraId="450460E3" w14:textId="77777777" w:rsidR="00342F9B" w:rsidRDefault="00342F9B" w:rsidP="00342F9B">
            <w:r>
              <w:t>Catch per unit of fishing effort</w:t>
            </w:r>
          </w:p>
        </w:tc>
        <w:tc>
          <w:tcPr>
            <w:tcW w:w="1496" w:type="dxa"/>
          </w:tcPr>
          <w:p w14:paraId="5405C2E0" w14:textId="77777777" w:rsidR="00342F9B" w:rsidRDefault="00342F9B" w:rsidP="00342F9B">
            <w:r>
              <w:t>n h</w:t>
            </w:r>
            <w:r w:rsidRPr="00C86E41">
              <w:rPr>
                <w:vertAlign w:val="superscript"/>
              </w:rPr>
              <w:t>-1</w:t>
            </w:r>
            <w:r>
              <w:t xml:space="preserve"> or kg h</w:t>
            </w:r>
            <w:r w:rsidRPr="00C86E41">
              <w:rPr>
                <w:vertAlign w:val="superscript"/>
              </w:rPr>
              <w:t>-1</w:t>
            </w:r>
          </w:p>
        </w:tc>
      </w:tr>
      <w:tr w:rsidR="00342F9B" w14:paraId="45D05C82" w14:textId="77777777" w:rsidTr="00CD6F09">
        <w:tc>
          <w:tcPr>
            <w:tcW w:w="1271" w:type="dxa"/>
          </w:tcPr>
          <w:p w14:paraId="54CFC972" w14:textId="77777777" w:rsidR="00342F9B" w:rsidRPr="006C4386" w:rsidRDefault="00342F9B" w:rsidP="00342F9B">
            <w:pPr>
              <w:rPr>
                <w:i/>
              </w:rPr>
            </w:pPr>
            <w:r>
              <w:rPr>
                <w:i/>
              </w:rPr>
              <w:t>F</w:t>
            </w:r>
            <w:r w:rsidRPr="006C4386">
              <w:rPr>
                <w:i/>
                <w:vertAlign w:val="subscript"/>
              </w:rPr>
              <w:t>msy</w:t>
            </w:r>
          </w:p>
        </w:tc>
        <w:tc>
          <w:tcPr>
            <w:tcW w:w="6624" w:type="dxa"/>
          </w:tcPr>
          <w:p w14:paraId="426FFF7E" w14:textId="77777777" w:rsidR="00342F9B" w:rsidRDefault="00342F9B" w:rsidP="00342F9B">
            <w:r>
              <w:t xml:space="preserve">Rate of fishing mortality compatible with </w:t>
            </w:r>
            <w:r w:rsidRPr="006C4386">
              <w:rPr>
                <w:i/>
              </w:rPr>
              <w:t>MSY</w:t>
            </w:r>
            <w:r>
              <w:t xml:space="preserve">: </w:t>
            </w:r>
            <w:r>
              <w:rPr>
                <w:i/>
              </w:rPr>
              <w:t>F</w:t>
            </w:r>
            <w:r w:rsidRPr="006C4386">
              <w:rPr>
                <w:i/>
                <w:vertAlign w:val="subscript"/>
              </w:rPr>
              <w:t>msy</w:t>
            </w:r>
            <w:r>
              <w:t xml:space="preserve"> = 0.5 </w:t>
            </w:r>
            <w:r w:rsidRPr="006C4386">
              <w:rPr>
                <w:i/>
              </w:rPr>
              <w:t>r</w:t>
            </w:r>
            <w:r>
              <w:t xml:space="preserve"> </w:t>
            </w:r>
          </w:p>
        </w:tc>
        <w:tc>
          <w:tcPr>
            <w:tcW w:w="1496" w:type="dxa"/>
          </w:tcPr>
          <w:p w14:paraId="5DA95FE2" w14:textId="77777777" w:rsidR="00342F9B" w:rsidRDefault="00342F9B" w:rsidP="00342F9B">
            <w:r>
              <w:t>year</w:t>
            </w:r>
            <w:r w:rsidRPr="00D87E63">
              <w:rPr>
                <w:vertAlign w:val="superscript"/>
              </w:rPr>
              <w:t>-1</w:t>
            </w:r>
          </w:p>
        </w:tc>
      </w:tr>
      <w:tr w:rsidR="00342F9B" w14:paraId="6F2449C2" w14:textId="77777777" w:rsidTr="00CD6F09">
        <w:tc>
          <w:tcPr>
            <w:tcW w:w="1271" w:type="dxa"/>
          </w:tcPr>
          <w:p w14:paraId="6579C748" w14:textId="77777777" w:rsidR="00342F9B" w:rsidRPr="006C4386" w:rsidRDefault="00342F9B" w:rsidP="00342F9B">
            <w:pPr>
              <w:rPr>
                <w:i/>
              </w:rPr>
            </w:pPr>
            <w:r w:rsidRPr="006C4386">
              <w:rPr>
                <w:i/>
              </w:rPr>
              <w:t>k</w:t>
            </w:r>
          </w:p>
        </w:tc>
        <w:tc>
          <w:tcPr>
            <w:tcW w:w="6624" w:type="dxa"/>
          </w:tcPr>
          <w:p w14:paraId="0BDF101E" w14:textId="77777777" w:rsidR="00342F9B" w:rsidRDefault="00342F9B" w:rsidP="00342F9B">
            <w:r>
              <w:t>Parameter of the Schaefer model indicating unexploited stock size</w:t>
            </w:r>
          </w:p>
        </w:tc>
        <w:tc>
          <w:tcPr>
            <w:tcW w:w="1496" w:type="dxa"/>
          </w:tcPr>
          <w:p w14:paraId="077A0526" w14:textId="77777777" w:rsidR="00342F9B" w:rsidRDefault="00342F9B" w:rsidP="00342F9B">
            <w:r>
              <w:t>tonnes</w:t>
            </w:r>
          </w:p>
        </w:tc>
      </w:tr>
      <w:tr w:rsidR="00342F9B" w14:paraId="5716536B" w14:textId="77777777" w:rsidTr="00CD6F09">
        <w:tc>
          <w:tcPr>
            <w:tcW w:w="1271" w:type="dxa"/>
          </w:tcPr>
          <w:p w14:paraId="5E2E9834" w14:textId="77777777" w:rsidR="00342F9B" w:rsidRPr="00522880" w:rsidRDefault="00342F9B" w:rsidP="00342F9B">
            <w:pPr>
              <w:rPr>
                <w:i/>
              </w:rPr>
            </w:pPr>
            <w:r>
              <w:rPr>
                <w:i/>
              </w:rPr>
              <w:t>K</w:t>
            </w:r>
          </w:p>
        </w:tc>
        <w:tc>
          <w:tcPr>
            <w:tcW w:w="6624" w:type="dxa"/>
          </w:tcPr>
          <w:p w14:paraId="3C91DEFA" w14:textId="77777777" w:rsidR="00342F9B" w:rsidRDefault="00342F9B" w:rsidP="00342F9B">
            <w:r>
              <w:t>Parameter</w:t>
            </w:r>
            <w:r w:rsidRPr="00C86E41">
              <w:t xml:space="preserve"> of the von Bertalanffy </w:t>
            </w:r>
            <w:r>
              <w:t xml:space="preserve">somatic </w:t>
            </w:r>
            <w:r w:rsidRPr="00C86E41">
              <w:t>growth equation</w:t>
            </w:r>
          </w:p>
        </w:tc>
        <w:tc>
          <w:tcPr>
            <w:tcW w:w="1496" w:type="dxa"/>
          </w:tcPr>
          <w:p w14:paraId="4323FFBA" w14:textId="77777777" w:rsidR="00342F9B" w:rsidRDefault="00342F9B" w:rsidP="00342F9B">
            <w:r>
              <w:t>year</w:t>
            </w:r>
            <w:r w:rsidRPr="00D87E63">
              <w:rPr>
                <w:vertAlign w:val="superscript"/>
              </w:rPr>
              <w:t>-1</w:t>
            </w:r>
          </w:p>
        </w:tc>
      </w:tr>
      <w:tr w:rsidR="00342F9B" w14:paraId="36FF0B24" w14:textId="77777777" w:rsidTr="00CD6F09">
        <w:tc>
          <w:tcPr>
            <w:tcW w:w="1271" w:type="dxa"/>
          </w:tcPr>
          <w:p w14:paraId="0E8B0957" w14:textId="77777777" w:rsidR="00342F9B" w:rsidRPr="00522880" w:rsidRDefault="00342F9B" w:rsidP="00342F9B">
            <w:pPr>
              <w:rPr>
                <w:i/>
              </w:rPr>
            </w:pPr>
            <w:r w:rsidRPr="00522880">
              <w:rPr>
                <w:i/>
              </w:rPr>
              <w:t>M</w:t>
            </w:r>
          </w:p>
        </w:tc>
        <w:tc>
          <w:tcPr>
            <w:tcW w:w="6624" w:type="dxa"/>
          </w:tcPr>
          <w:p w14:paraId="06F1FD71" w14:textId="77777777" w:rsidR="00342F9B" w:rsidRDefault="00342F9B" w:rsidP="00342F9B">
            <w:r>
              <w:t>Rate of natural mortality</w:t>
            </w:r>
          </w:p>
        </w:tc>
        <w:tc>
          <w:tcPr>
            <w:tcW w:w="1496" w:type="dxa"/>
          </w:tcPr>
          <w:p w14:paraId="0C947953" w14:textId="77777777" w:rsidR="00342F9B" w:rsidRDefault="00342F9B" w:rsidP="00342F9B">
            <w:r>
              <w:t>year</w:t>
            </w:r>
            <w:r w:rsidRPr="00D87E63">
              <w:rPr>
                <w:vertAlign w:val="superscript"/>
              </w:rPr>
              <w:t>-1</w:t>
            </w:r>
          </w:p>
        </w:tc>
      </w:tr>
      <w:tr w:rsidR="00342F9B" w14:paraId="7D0BA296" w14:textId="77777777" w:rsidTr="00CD6F09">
        <w:tc>
          <w:tcPr>
            <w:tcW w:w="1271" w:type="dxa"/>
          </w:tcPr>
          <w:p w14:paraId="715B4170" w14:textId="77777777" w:rsidR="00342F9B" w:rsidRPr="00C50DAF" w:rsidRDefault="00342F9B" w:rsidP="00342F9B">
            <w:pPr>
              <w:rPr>
                <w:i/>
              </w:rPr>
            </w:pPr>
            <w:r w:rsidRPr="00C50DAF">
              <w:rPr>
                <w:i/>
              </w:rPr>
              <w:t>MSY</w:t>
            </w:r>
          </w:p>
        </w:tc>
        <w:tc>
          <w:tcPr>
            <w:tcW w:w="6624" w:type="dxa"/>
          </w:tcPr>
          <w:p w14:paraId="54EA4BF7" w14:textId="77777777" w:rsidR="00342F9B" w:rsidRDefault="00342F9B" w:rsidP="00342F9B">
            <w:r>
              <w:t xml:space="preserve">Maximum sustainable yield: </w:t>
            </w:r>
            <w:r w:rsidRPr="006C4386">
              <w:rPr>
                <w:i/>
              </w:rPr>
              <w:t>MSY</w:t>
            </w:r>
            <w:r>
              <w:t xml:space="preserve"> = </w:t>
            </w:r>
            <w:r w:rsidRPr="006C4386">
              <w:rPr>
                <w:i/>
              </w:rPr>
              <w:t>r</w:t>
            </w:r>
            <w:r>
              <w:t xml:space="preserve"> </w:t>
            </w:r>
            <w:r w:rsidRPr="006C4386">
              <w:rPr>
                <w:i/>
              </w:rPr>
              <w:t>k</w:t>
            </w:r>
            <w:r>
              <w:t xml:space="preserve"> / 4</w:t>
            </w:r>
          </w:p>
        </w:tc>
        <w:tc>
          <w:tcPr>
            <w:tcW w:w="1496" w:type="dxa"/>
          </w:tcPr>
          <w:p w14:paraId="3B711A52" w14:textId="29C59403" w:rsidR="00342F9B" w:rsidRDefault="00342F9B" w:rsidP="00342F9B">
            <w:r>
              <w:t>tonnes</w:t>
            </w:r>
            <w:r w:rsidR="00CC319E">
              <w:t xml:space="preserve"> year</w:t>
            </w:r>
            <w:r w:rsidR="00CC319E" w:rsidRPr="00CC319E">
              <w:rPr>
                <w:vertAlign w:val="superscript"/>
              </w:rPr>
              <w:t>-1</w:t>
            </w:r>
          </w:p>
        </w:tc>
      </w:tr>
      <w:tr w:rsidR="00342F9B" w14:paraId="659532DD" w14:textId="77777777" w:rsidTr="00CD6F09">
        <w:tc>
          <w:tcPr>
            <w:tcW w:w="1271" w:type="dxa"/>
          </w:tcPr>
          <w:p w14:paraId="42695CC9" w14:textId="77777777" w:rsidR="00342F9B" w:rsidRDefault="00342F9B" w:rsidP="00342F9B">
            <w:pPr>
              <w:rPr>
                <w:i/>
              </w:rPr>
            </w:pPr>
            <w:r>
              <w:rPr>
                <w:i/>
              </w:rPr>
              <w:t>P</w:t>
            </w:r>
            <w:r w:rsidRPr="00D65A78">
              <w:rPr>
                <w:i/>
                <w:vertAlign w:val="subscript"/>
              </w:rPr>
              <w:t>t</w:t>
            </w:r>
          </w:p>
        </w:tc>
        <w:tc>
          <w:tcPr>
            <w:tcW w:w="6624" w:type="dxa"/>
          </w:tcPr>
          <w:p w14:paraId="5F197471" w14:textId="77777777" w:rsidR="00342F9B" w:rsidRDefault="00342F9B" w:rsidP="00342F9B">
            <w:r>
              <w:t xml:space="preserve">Relative biomass:  </w:t>
            </w:r>
            <w:r>
              <w:rPr>
                <w:i/>
              </w:rPr>
              <w:t>P</w:t>
            </w:r>
            <w:r w:rsidRPr="00D65A78">
              <w:rPr>
                <w:i/>
                <w:vertAlign w:val="subscript"/>
              </w:rPr>
              <w:t>t</w:t>
            </w:r>
            <w:r>
              <w:t xml:space="preserve">  =  </w:t>
            </w:r>
            <w:r w:rsidRPr="00A12A82">
              <w:rPr>
                <w:i/>
              </w:rPr>
              <w:t>B</w:t>
            </w:r>
            <w:r w:rsidRPr="00A12A82">
              <w:rPr>
                <w:i/>
                <w:vertAlign w:val="subscript"/>
              </w:rPr>
              <w:t>t</w:t>
            </w:r>
            <w:r>
              <w:rPr>
                <w:i/>
              </w:rPr>
              <w:t xml:space="preserve"> </w:t>
            </w:r>
            <w:r>
              <w:t xml:space="preserve">/ </w:t>
            </w:r>
            <w:r w:rsidRPr="00D65A78">
              <w:rPr>
                <w:i/>
              </w:rPr>
              <w:t>k</w:t>
            </w:r>
            <w:r>
              <w:t xml:space="preserve"> </w:t>
            </w:r>
          </w:p>
        </w:tc>
        <w:tc>
          <w:tcPr>
            <w:tcW w:w="1496" w:type="dxa"/>
          </w:tcPr>
          <w:p w14:paraId="6E9502B1" w14:textId="77777777" w:rsidR="00342F9B" w:rsidRDefault="00342F9B" w:rsidP="00342F9B"/>
        </w:tc>
      </w:tr>
      <w:tr w:rsidR="00342F9B" w14:paraId="51B5120F" w14:textId="77777777" w:rsidTr="00CD6F09">
        <w:tc>
          <w:tcPr>
            <w:tcW w:w="1271" w:type="dxa"/>
          </w:tcPr>
          <w:p w14:paraId="27CD3E26" w14:textId="77777777" w:rsidR="00342F9B" w:rsidRPr="006C4386" w:rsidRDefault="00342F9B" w:rsidP="00342F9B">
            <w:pPr>
              <w:rPr>
                <w:i/>
              </w:rPr>
            </w:pPr>
            <w:r>
              <w:rPr>
                <w:i/>
              </w:rPr>
              <w:t>q</w:t>
            </w:r>
          </w:p>
        </w:tc>
        <w:tc>
          <w:tcPr>
            <w:tcW w:w="6624" w:type="dxa"/>
          </w:tcPr>
          <w:p w14:paraId="07D606EF" w14:textId="77777777" w:rsidR="00342F9B" w:rsidRDefault="00342F9B" w:rsidP="00342F9B">
            <w:r>
              <w:t xml:space="preserve">Catchability coefficient: </w:t>
            </w:r>
            <w:r>
              <w:rPr>
                <w:i/>
              </w:rPr>
              <w:t>CPUE</w:t>
            </w:r>
            <w:r w:rsidRPr="00364D72">
              <w:rPr>
                <w:i/>
                <w:vertAlign w:val="subscript"/>
              </w:rPr>
              <w:t>t</w:t>
            </w:r>
            <w:r>
              <w:t xml:space="preserve"> = </w:t>
            </w:r>
            <w:r w:rsidRPr="00A12A82">
              <w:rPr>
                <w:i/>
              </w:rPr>
              <w:t>q</w:t>
            </w:r>
            <w:r>
              <w:t xml:space="preserve"> </w:t>
            </w:r>
            <w:r w:rsidRPr="00364D72">
              <w:rPr>
                <w:i/>
              </w:rPr>
              <w:t>B</w:t>
            </w:r>
            <w:r w:rsidRPr="00364D72">
              <w:rPr>
                <w:i/>
                <w:vertAlign w:val="subscript"/>
              </w:rPr>
              <w:t>t</w:t>
            </w:r>
            <w:r>
              <w:t xml:space="preserve"> </w:t>
            </w:r>
          </w:p>
        </w:tc>
        <w:tc>
          <w:tcPr>
            <w:tcW w:w="1496" w:type="dxa"/>
          </w:tcPr>
          <w:p w14:paraId="38D4AB1C" w14:textId="77777777" w:rsidR="00342F9B" w:rsidRDefault="00342F9B" w:rsidP="00342F9B"/>
        </w:tc>
      </w:tr>
      <w:tr w:rsidR="00342F9B" w14:paraId="44327B59" w14:textId="77777777" w:rsidTr="00CD6F09">
        <w:tc>
          <w:tcPr>
            <w:tcW w:w="1271" w:type="dxa"/>
          </w:tcPr>
          <w:p w14:paraId="2A82AED4" w14:textId="77777777" w:rsidR="00342F9B" w:rsidRPr="006C4386" w:rsidRDefault="00342F9B" w:rsidP="00342F9B">
            <w:pPr>
              <w:rPr>
                <w:i/>
              </w:rPr>
            </w:pPr>
            <w:r w:rsidRPr="006C4386">
              <w:rPr>
                <w:i/>
              </w:rPr>
              <w:t>r</w:t>
            </w:r>
          </w:p>
        </w:tc>
        <w:tc>
          <w:tcPr>
            <w:tcW w:w="6624" w:type="dxa"/>
          </w:tcPr>
          <w:p w14:paraId="7279CBA3" w14:textId="1BFD39B2" w:rsidR="00342F9B" w:rsidRDefault="00BF671E" w:rsidP="00BF671E">
            <w:r>
              <w:t xml:space="preserve">Maximum </w:t>
            </w:r>
            <w:r w:rsidR="00CD6F09">
              <w:t>i</w:t>
            </w:r>
            <w:r w:rsidR="00342F9B">
              <w:t>ntrinsic rate of population increase</w:t>
            </w:r>
          </w:p>
        </w:tc>
        <w:tc>
          <w:tcPr>
            <w:tcW w:w="1496" w:type="dxa"/>
          </w:tcPr>
          <w:p w14:paraId="45861723" w14:textId="77777777" w:rsidR="00342F9B" w:rsidRDefault="00342F9B" w:rsidP="00342F9B">
            <w:r>
              <w:t>year</w:t>
            </w:r>
            <w:r w:rsidRPr="00D87E63">
              <w:rPr>
                <w:vertAlign w:val="superscript"/>
              </w:rPr>
              <w:t>-1</w:t>
            </w:r>
          </w:p>
        </w:tc>
      </w:tr>
      <w:tr w:rsidR="00342F9B" w14:paraId="541A4601" w14:textId="77777777" w:rsidTr="00CD6F09">
        <w:tc>
          <w:tcPr>
            <w:tcW w:w="1271" w:type="dxa"/>
          </w:tcPr>
          <w:p w14:paraId="5FB2D2CE" w14:textId="77777777" w:rsidR="00342F9B" w:rsidRPr="006C4386" w:rsidRDefault="00342F9B" w:rsidP="00342F9B">
            <w:pPr>
              <w:rPr>
                <w:i/>
              </w:rPr>
            </w:pPr>
            <w:r>
              <w:rPr>
                <w:i/>
              </w:rPr>
              <w:t>t</w:t>
            </w:r>
          </w:p>
        </w:tc>
        <w:tc>
          <w:tcPr>
            <w:tcW w:w="6624" w:type="dxa"/>
          </w:tcPr>
          <w:p w14:paraId="6A4E21FE" w14:textId="77777777" w:rsidR="00342F9B" w:rsidRDefault="00342F9B" w:rsidP="00342F9B">
            <w:r>
              <w:t xml:space="preserve">Instant of time; subscript indicating annual values: </w:t>
            </w:r>
            <w:r w:rsidRPr="00A12A82">
              <w:rPr>
                <w:i/>
              </w:rPr>
              <w:t>C</w:t>
            </w:r>
            <w:r w:rsidRPr="00A12A82">
              <w:rPr>
                <w:i/>
                <w:vertAlign w:val="subscript"/>
              </w:rPr>
              <w:t>t</w:t>
            </w:r>
            <w:r>
              <w:t xml:space="preserve">, </w:t>
            </w:r>
            <w:r w:rsidRPr="00A12A82">
              <w:rPr>
                <w:i/>
              </w:rPr>
              <w:t>B</w:t>
            </w:r>
            <w:r w:rsidRPr="00A12A82">
              <w:rPr>
                <w:i/>
                <w:vertAlign w:val="subscript"/>
              </w:rPr>
              <w:t>t</w:t>
            </w:r>
            <w:r>
              <w:rPr>
                <w:i/>
              </w:rPr>
              <w:t xml:space="preserve"> </w:t>
            </w:r>
            <w:r w:rsidRPr="00067855">
              <w:t>or</w:t>
            </w:r>
            <w:r>
              <w:rPr>
                <w:i/>
              </w:rPr>
              <w:t xml:space="preserve"> CPUE</w:t>
            </w:r>
            <w:r w:rsidRPr="00067855">
              <w:rPr>
                <w:i/>
                <w:vertAlign w:val="subscript"/>
              </w:rPr>
              <w:t>t</w:t>
            </w:r>
            <w:r>
              <w:rPr>
                <w:i/>
              </w:rPr>
              <w:t xml:space="preserve">  </w:t>
            </w:r>
          </w:p>
        </w:tc>
        <w:tc>
          <w:tcPr>
            <w:tcW w:w="1496" w:type="dxa"/>
          </w:tcPr>
          <w:p w14:paraId="527B0276" w14:textId="77777777" w:rsidR="00342F9B" w:rsidRDefault="00342F9B" w:rsidP="00342F9B">
            <w:r>
              <w:t>years</w:t>
            </w:r>
          </w:p>
        </w:tc>
      </w:tr>
      <w:tr w:rsidR="00342F9B" w14:paraId="27609BB4" w14:textId="77777777" w:rsidTr="00CD6F09">
        <w:tc>
          <w:tcPr>
            <w:tcW w:w="1271" w:type="dxa"/>
          </w:tcPr>
          <w:p w14:paraId="0EFC65BD" w14:textId="77777777" w:rsidR="00342F9B" w:rsidRPr="006C4386" w:rsidRDefault="00342F9B" w:rsidP="00342F9B">
            <w:pPr>
              <w:rPr>
                <w:i/>
              </w:rPr>
            </w:pPr>
            <w:r>
              <w:rPr>
                <w:i/>
              </w:rPr>
              <w:t>t</w:t>
            </w:r>
            <w:r w:rsidRPr="00C86E41">
              <w:rPr>
                <w:i/>
                <w:vertAlign w:val="subscript"/>
              </w:rPr>
              <w:t>max</w:t>
            </w:r>
          </w:p>
        </w:tc>
        <w:tc>
          <w:tcPr>
            <w:tcW w:w="6624" w:type="dxa"/>
          </w:tcPr>
          <w:p w14:paraId="03D7C12E" w14:textId="77777777" w:rsidR="00342F9B" w:rsidRDefault="00342F9B" w:rsidP="00342F9B">
            <w:r>
              <w:t>Maximum age</w:t>
            </w:r>
          </w:p>
        </w:tc>
        <w:tc>
          <w:tcPr>
            <w:tcW w:w="1496" w:type="dxa"/>
          </w:tcPr>
          <w:p w14:paraId="071ABA10" w14:textId="77777777" w:rsidR="00342F9B" w:rsidRDefault="00342F9B" w:rsidP="00342F9B">
            <w:r>
              <w:t>years</w:t>
            </w:r>
          </w:p>
        </w:tc>
      </w:tr>
      <w:tr w:rsidR="00342F9B" w14:paraId="46BBEF5C" w14:textId="77777777" w:rsidTr="00CD6F09">
        <w:tc>
          <w:tcPr>
            <w:tcW w:w="1271" w:type="dxa"/>
          </w:tcPr>
          <w:p w14:paraId="40422274" w14:textId="77777777" w:rsidR="00342F9B" w:rsidRPr="006C4386" w:rsidRDefault="00342F9B" w:rsidP="00342F9B">
            <w:pPr>
              <w:rPr>
                <w:i/>
              </w:rPr>
            </w:pPr>
            <w:r>
              <w:rPr>
                <w:i/>
              </w:rPr>
              <w:t>t</w:t>
            </w:r>
            <w:r>
              <w:rPr>
                <w:i/>
                <w:vertAlign w:val="subscript"/>
              </w:rPr>
              <w:t>gen</w:t>
            </w:r>
          </w:p>
        </w:tc>
        <w:tc>
          <w:tcPr>
            <w:tcW w:w="6624" w:type="dxa"/>
          </w:tcPr>
          <w:p w14:paraId="4430A2B8" w14:textId="77777777" w:rsidR="00342F9B" w:rsidRDefault="00342F9B" w:rsidP="00342F9B">
            <w:r>
              <w:t>Generation time</w:t>
            </w:r>
          </w:p>
        </w:tc>
        <w:tc>
          <w:tcPr>
            <w:tcW w:w="1496" w:type="dxa"/>
          </w:tcPr>
          <w:p w14:paraId="18DF39DF" w14:textId="77777777" w:rsidR="00342F9B" w:rsidRDefault="00342F9B" w:rsidP="00342F9B">
            <w:r>
              <w:t>years</w:t>
            </w:r>
          </w:p>
        </w:tc>
      </w:tr>
      <w:tr w:rsidR="00342F9B" w14:paraId="799C3803" w14:textId="77777777" w:rsidTr="00CD6F09">
        <w:tc>
          <w:tcPr>
            <w:tcW w:w="1271" w:type="dxa"/>
          </w:tcPr>
          <w:p w14:paraId="32DA83F9" w14:textId="77777777" w:rsidR="00342F9B" w:rsidRPr="006C4386" w:rsidRDefault="00342F9B" w:rsidP="00342F9B">
            <w:pPr>
              <w:rPr>
                <w:i/>
              </w:rPr>
            </w:pPr>
            <w:r w:rsidRPr="006C4386">
              <w:rPr>
                <w:i/>
              </w:rPr>
              <w:t>u</w:t>
            </w:r>
          </w:p>
        </w:tc>
        <w:tc>
          <w:tcPr>
            <w:tcW w:w="6624" w:type="dxa"/>
          </w:tcPr>
          <w:p w14:paraId="0405C259" w14:textId="0E7B0408" w:rsidR="00342F9B" w:rsidRDefault="00342F9B" w:rsidP="00342F9B">
            <w:r>
              <w:t xml:space="preserve">Exploitation rate: </w:t>
            </w:r>
            <w:r w:rsidR="00785FBD">
              <w:rPr>
                <w:i/>
              </w:rPr>
              <w:t>u</w:t>
            </w:r>
            <w:r w:rsidR="00785FBD" w:rsidRPr="001C1338">
              <w:rPr>
                <w:i/>
                <w:vertAlign w:val="subscript"/>
              </w:rPr>
              <w:t>t</w:t>
            </w:r>
            <w:r w:rsidR="00785FBD">
              <w:rPr>
                <w:i/>
              </w:rPr>
              <w:t xml:space="preserve"> = </w:t>
            </w:r>
            <w:r w:rsidRPr="0073678C">
              <w:rPr>
                <w:i/>
              </w:rPr>
              <w:t>C</w:t>
            </w:r>
            <w:r w:rsidRPr="0073678C">
              <w:rPr>
                <w:i/>
                <w:vertAlign w:val="subscript"/>
              </w:rPr>
              <w:t>t</w:t>
            </w:r>
            <w:r>
              <w:t xml:space="preserve"> / </w:t>
            </w:r>
            <w:r>
              <w:rPr>
                <w:i/>
              </w:rPr>
              <w:t>B</w:t>
            </w:r>
            <w:r w:rsidRPr="0073678C">
              <w:rPr>
                <w:i/>
                <w:vertAlign w:val="subscript"/>
              </w:rPr>
              <w:t>t</w:t>
            </w:r>
            <w:r>
              <w:t xml:space="preserve"> </w:t>
            </w:r>
          </w:p>
        </w:tc>
        <w:tc>
          <w:tcPr>
            <w:tcW w:w="1496" w:type="dxa"/>
          </w:tcPr>
          <w:p w14:paraId="6BFD9078" w14:textId="77777777" w:rsidR="00342F9B" w:rsidRDefault="00342F9B" w:rsidP="00342F9B"/>
        </w:tc>
      </w:tr>
      <w:tr w:rsidR="00342F9B" w14:paraId="66A4C4CB" w14:textId="77777777" w:rsidTr="00CD6F09">
        <w:tc>
          <w:tcPr>
            <w:tcW w:w="1271" w:type="dxa"/>
          </w:tcPr>
          <w:p w14:paraId="791DC4FF" w14:textId="77777777" w:rsidR="00342F9B" w:rsidRPr="006C4386" w:rsidRDefault="00342F9B" w:rsidP="00342F9B">
            <w:pPr>
              <w:rPr>
                <w:i/>
              </w:rPr>
            </w:pPr>
            <w:r>
              <w:rPr>
                <w:i/>
              </w:rPr>
              <w:t>u</w:t>
            </w:r>
            <w:r w:rsidRPr="00522880">
              <w:rPr>
                <w:i/>
                <w:vertAlign w:val="subscript"/>
              </w:rPr>
              <w:t>msy</w:t>
            </w:r>
          </w:p>
        </w:tc>
        <w:tc>
          <w:tcPr>
            <w:tcW w:w="6624" w:type="dxa"/>
          </w:tcPr>
          <w:p w14:paraId="061B58DC" w14:textId="3191E471" w:rsidR="00342F9B" w:rsidRPr="00785FBD" w:rsidRDefault="00342F9B" w:rsidP="00785FBD">
            <w:r>
              <w:t xml:space="preserve">Exploitation rate </w:t>
            </w:r>
            <w:r w:rsidR="00785FBD">
              <w:t xml:space="preserve">that produces </w:t>
            </w:r>
            <w:r w:rsidRPr="00522880">
              <w:rPr>
                <w:i/>
              </w:rPr>
              <w:t>MSY</w:t>
            </w:r>
            <w:r w:rsidR="00785FBD">
              <w:rPr>
                <w:i/>
              </w:rPr>
              <w:t xml:space="preserve"> </w:t>
            </w:r>
            <w:r w:rsidR="00785FBD">
              <w:t>at equilibrium</w:t>
            </w:r>
          </w:p>
        </w:tc>
        <w:tc>
          <w:tcPr>
            <w:tcW w:w="1496" w:type="dxa"/>
          </w:tcPr>
          <w:p w14:paraId="622CAAE4" w14:textId="77777777" w:rsidR="00342F9B" w:rsidRDefault="00342F9B" w:rsidP="00342F9B">
            <w:pPr>
              <w:keepNext/>
            </w:pPr>
          </w:p>
        </w:tc>
      </w:tr>
    </w:tbl>
    <w:p w14:paraId="5A1E8306" w14:textId="059F2689" w:rsidR="00342F9B" w:rsidRDefault="00342F9B" w:rsidP="00342F9B">
      <w:pPr>
        <w:pStyle w:val="Beschriftung"/>
      </w:pPr>
    </w:p>
    <w:p w14:paraId="3771EC59" w14:textId="4C4289B6" w:rsidR="00A71BC6" w:rsidRPr="00D4481F" w:rsidRDefault="00CB0CAF" w:rsidP="00A71BC6">
      <w:pPr>
        <w:spacing w:after="120" w:line="360" w:lineRule="auto"/>
        <w:rPr>
          <w:bCs/>
        </w:rPr>
      </w:pPr>
      <w:r>
        <w:rPr>
          <w:bCs/>
        </w:rPr>
        <w:t>Table 2</w:t>
      </w:r>
      <w:r w:rsidR="00A71BC6" w:rsidRPr="00D4481F">
        <w:rPr>
          <w:bCs/>
        </w:rPr>
        <w:t xml:space="preserve">. Prior ranges for parameter </w:t>
      </w:r>
      <w:r w:rsidR="00A71BC6" w:rsidRPr="00D4481F">
        <w:rPr>
          <w:bCs/>
          <w:i/>
        </w:rPr>
        <w:t>r</w:t>
      </w:r>
      <w:r w:rsidR="00A71BC6" w:rsidRPr="00D4481F">
        <w:rPr>
          <w:bCs/>
        </w:rPr>
        <w:t>, based on classification of resilience</w:t>
      </w:r>
      <w:r w:rsidR="001C1338">
        <w:rPr>
          <w:bCs/>
        </w:rPr>
        <w:t xml:space="preserve"> in FishBase (Froese and Pauly 2015)</w:t>
      </w:r>
      <w:r w:rsidR="00A71BC6" w:rsidRPr="00D4481F">
        <w:rPr>
          <w:bCs/>
        </w:rPr>
        <w:t>.</w:t>
      </w:r>
    </w:p>
    <w:tbl>
      <w:tblPr>
        <w:tblStyle w:val="Tabellenraster"/>
        <w:tblW w:w="0" w:type="auto"/>
        <w:tblLook w:val="04A0" w:firstRow="1" w:lastRow="0" w:firstColumn="1" w:lastColumn="0" w:noHBand="0" w:noVBand="1"/>
      </w:tblPr>
      <w:tblGrid>
        <w:gridCol w:w="1220"/>
        <w:gridCol w:w="1447"/>
      </w:tblGrid>
      <w:tr w:rsidR="00A71BC6" w:rsidRPr="00800035" w14:paraId="52270223" w14:textId="77777777" w:rsidTr="005A24A2">
        <w:tc>
          <w:tcPr>
            <w:tcW w:w="1220" w:type="dxa"/>
          </w:tcPr>
          <w:p w14:paraId="34E055AF" w14:textId="77777777" w:rsidR="00A71BC6" w:rsidRPr="00800035" w:rsidRDefault="00A71BC6" w:rsidP="005A24A2">
            <w:pPr>
              <w:rPr>
                <w:b/>
              </w:rPr>
            </w:pPr>
            <w:r w:rsidRPr="00800035">
              <w:rPr>
                <w:b/>
              </w:rPr>
              <w:t>Resilience</w:t>
            </w:r>
          </w:p>
        </w:tc>
        <w:tc>
          <w:tcPr>
            <w:tcW w:w="1447" w:type="dxa"/>
          </w:tcPr>
          <w:p w14:paraId="1D43EEA5" w14:textId="77777777" w:rsidR="00A71BC6" w:rsidRPr="00800035" w:rsidRDefault="00A71BC6" w:rsidP="005A24A2">
            <w:pPr>
              <w:rPr>
                <w:b/>
              </w:rPr>
            </w:pPr>
            <w:r w:rsidRPr="00800035">
              <w:rPr>
                <w:b/>
              </w:rPr>
              <w:t xml:space="preserve">prior </w:t>
            </w:r>
            <w:r w:rsidRPr="00800035">
              <w:rPr>
                <w:b/>
                <w:i/>
              </w:rPr>
              <w:t>r</w:t>
            </w:r>
            <w:r w:rsidRPr="00800035">
              <w:rPr>
                <w:b/>
              </w:rPr>
              <w:t xml:space="preserve"> range</w:t>
            </w:r>
          </w:p>
        </w:tc>
      </w:tr>
      <w:tr w:rsidR="00A71BC6" w:rsidRPr="00FA0090" w14:paraId="1004B7D4" w14:textId="77777777" w:rsidTr="005A24A2">
        <w:tc>
          <w:tcPr>
            <w:tcW w:w="1220" w:type="dxa"/>
          </w:tcPr>
          <w:p w14:paraId="3D89DC85" w14:textId="77777777" w:rsidR="00A71BC6" w:rsidRPr="00FA0090" w:rsidRDefault="00A71BC6" w:rsidP="005A24A2">
            <w:r w:rsidRPr="00FA0090">
              <w:t>High</w:t>
            </w:r>
          </w:p>
        </w:tc>
        <w:tc>
          <w:tcPr>
            <w:tcW w:w="1447" w:type="dxa"/>
          </w:tcPr>
          <w:p w14:paraId="6CDDB20E" w14:textId="77777777" w:rsidR="00A71BC6" w:rsidRPr="00FA0090" w:rsidRDefault="00A71BC6" w:rsidP="005A24A2">
            <w:r w:rsidRPr="00FA0090">
              <w:t>0.6 – 1.5</w:t>
            </w:r>
          </w:p>
        </w:tc>
      </w:tr>
      <w:tr w:rsidR="00A71BC6" w:rsidRPr="00FA0090" w14:paraId="5438ED05" w14:textId="77777777" w:rsidTr="005A24A2">
        <w:tc>
          <w:tcPr>
            <w:tcW w:w="1220" w:type="dxa"/>
          </w:tcPr>
          <w:p w14:paraId="200CF358" w14:textId="77777777" w:rsidR="00A71BC6" w:rsidRPr="00FA0090" w:rsidRDefault="00A71BC6" w:rsidP="005A24A2">
            <w:r w:rsidRPr="00FA0090">
              <w:t>Medium</w:t>
            </w:r>
          </w:p>
        </w:tc>
        <w:tc>
          <w:tcPr>
            <w:tcW w:w="1447" w:type="dxa"/>
          </w:tcPr>
          <w:p w14:paraId="2BE03AB5" w14:textId="77777777" w:rsidR="00A71BC6" w:rsidRPr="00FA0090" w:rsidRDefault="00A71BC6" w:rsidP="005A24A2">
            <w:r w:rsidRPr="00FA0090">
              <w:t>0.2 – 0.8</w:t>
            </w:r>
          </w:p>
        </w:tc>
      </w:tr>
      <w:tr w:rsidR="00A71BC6" w:rsidRPr="00FA0090" w14:paraId="790162D6" w14:textId="77777777" w:rsidTr="005A24A2">
        <w:tc>
          <w:tcPr>
            <w:tcW w:w="1220" w:type="dxa"/>
          </w:tcPr>
          <w:p w14:paraId="26E9CCA8" w14:textId="77777777" w:rsidR="00A71BC6" w:rsidRPr="00FA0090" w:rsidRDefault="00A71BC6" w:rsidP="005A24A2">
            <w:r w:rsidRPr="00FA0090">
              <w:t>Low</w:t>
            </w:r>
          </w:p>
        </w:tc>
        <w:tc>
          <w:tcPr>
            <w:tcW w:w="1447" w:type="dxa"/>
          </w:tcPr>
          <w:p w14:paraId="725D1BD3" w14:textId="77777777" w:rsidR="00A71BC6" w:rsidRPr="00FA0090" w:rsidRDefault="00A71BC6" w:rsidP="005A24A2">
            <w:r w:rsidRPr="00FA0090">
              <w:t>0.05 – 0.5</w:t>
            </w:r>
          </w:p>
        </w:tc>
      </w:tr>
      <w:tr w:rsidR="00A71BC6" w:rsidRPr="00FA0090" w14:paraId="3BB94AF1" w14:textId="77777777" w:rsidTr="005A24A2">
        <w:tc>
          <w:tcPr>
            <w:tcW w:w="1220" w:type="dxa"/>
          </w:tcPr>
          <w:p w14:paraId="4539AF3E" w14:textId="77777777" w:rsidR="00A71BC6" w:rsidRPr="00FA0090" w:rsidRDefault="00A71BC6" w:rsidP="005A24A2">
            <w:r w:rsidRPr="00FA0090">
              <w:t>Very low</w:t>
            </w:r>
          </w:p>
        </w:tc>
        <w:tc>
          <w:tcPr>
            <w:tcW w:w="1447" w:type="dxa"/>
          </w:tcPr>
          <w:p w14:paraId="5104AEF8" w14:textId="77777777" w:rsidR="00A71BC6" w:rsidRPr="00FA0090" w:rsidRDefault="00A71BC6" w:rsidP="005A24A2">
            <w:r w:rsidRPr="00FA0090">
              <w:t>0.015 – 0.1</w:t>
            </w:r>
          </w:p>
        </w:tc>
      </w:tr>
    </w:tbl>
    <w:p w14:paraId="3C0FC9CF" w14:textId="77777777" w:rsidR="008F6613" w:rsidRDefault="008F6613" w:rsidP="00E116FC">
      <w:pPr>
        <w:jc w:val="both"/>
        <w:rPr>
          <w:b/>
        </w:rPr>
      </w:pPr>
    </w:p>
    <w:p w14:paraId="44BDEAC8" w14:textId="77777777" w:rsidR="00E116FC" w:rsidRPr="00F42083" w:rsidRDefault="00E116FC" w:rsidP="00E116FC">
      <w:pPr>
        <w:jc w:val="both"/>
        <w:rPr>
          <w:b/>
        </w:rPr>
      </w:pPr>
    </w:p>
    <w:p w14:paraId="3BD3E363" w14:textId="4C8F8092" w:rsidR="00A71BC6" w:rsidRDefault="00CB0CAF" w:rsidP="00227E20">
      <w:pPr>
        <w:spacing w:line="480" w:lineRule="auto"/>
        <w:jc w:val="both"/>
      </w:pPr>
      <w:r>
        <w:t>Table 3</w:t>
      </w:r>
      <w:r w:rsidR="00A71BC6">
        <w:t xml:space="preserve">. </w:t>
      </w:r>
      <w:r w:rsidR="0041749F">
        <w:t>Default p</w:t>
      </w:r>
      <w:r w:rsidR="00A71BC6" w:rsidRPr="00B7503E">
        <w:t xml:space="preserve">rior biomass ranges relative to </w:t>
      </w:r>
      <w:r w:rsidR="00A71BC6" w:rsidRPr="00B7503E">
        <w:rPr>
          <w:i/>
        </w:rPr>
        <w:t>k</w:t>
      </w:r>
      <w:r w:rsidR="003E26A1">
        <w:t xml:space="preserve">. </w:t>
      </w:r>
    </w:p>
    <w:tbl>
      <w:tblPr>
        <w:tblStyle w:val="Tabellenraster"/>
        <w:tblW w:w="0" w:type="auto"/>
        <w:tblLook w:val="04A0" w:firstRow="1" w:lastRow="0" w:firstColumn="1" w:lastColumn="0" w:noHBand="0" w:noVBand="1"/>
      </w:tblPr>
      <w:tblGrid>
        <w:gridCol w:w="1872"/>
        <w:gridCol w:w="1204"/>
      </w:tblGrid>
      <w:tr w:rsidR="00F81854" w:rsidRPr="00FA0090" w14:paraId="34AF52F2" w14:textId="77777777" w:rsidTr="003E26A1">
        <w:tc>
          <w:tcPr>
            <w:tcW w:w="1872" w:type="dxa"/>
          </w:tcPr>
          <w:p w14:paraId="248E908E" w14:textId="1FA56624" w:rsidR="00F81854" w:rsidRPr="00FA0090" w:rsidRDefault="003E26A1" w:rsidP="005A24A2">
            <w:pPr>
              <w:rPr>
                <w:b/>
              </w:rPr>
            </w:pPr>
            <w:r>
              <w:rPr>
                <w:b/>
              </w:rPr>
              <w:t>Prior</w:t>
            </w:r>
            <w:r w:rsidR="00F81854">
              <w:rPr>
                <w:b/>
              </w:rPr>
              <w:t xml:space="preserve"> biomass</w:t>
            </w:r>
          </w:p>
        </w:tc>
        <w:tc>
          <w:tcPr>
            <w:tcW w:w="1204" w:type="dxa"/>
          </w:tcPr>
          <w:p w14:paraId="0C4C6D15" w14:textId="7C6685BE" w:rsidR="00F81854" w:rsidRPr="00FA0090" w:rsidRDefault="003E26A1" w:rsidP="003E26A1">
            <w:pPr>
              <w:jc w:val="center"/>
              <w:rPr>
                <w:b/>
              </w:rPr>
            </w:pPr>
            <w:r w:rsidRPr="003E26A1">
              <w:rPr>
                <w:b/>
                <w:i/>
              </w:rPr>
              <w:t>B</w:t>
            </w:r>
            <w:r>
              <w:rPr>
                <w:b/>
              </w:rPr>
              <w:t>/</w:t>
            </w:r>
            <w:r w:rsidRPr="003E26A1">
              <w:rPr>
                <w:b/>
                <w:i/>
              </w:rPr>
              <w:t>k</w:t>
            </w:r>
          </w:p>
        </w:tc>
      </w:tr>
      <w:tr w:rsidR="00F81854" w:rsidRPr="00FA0090" w14:paraId="0A0B18F9" w14:textId="77777777" w:rsidTr="003E26A1">
        <w:tc>
          <w:tcPr>
            <w:tcW w:w="1872" w:type="dxa"/>
          </w:tcPr>
          <w:p w14:paraId="450DED26" w14:textId="476E46CC" w:rsidR="00F81854" w:rsidRPr="00FA0090" w:rsidRDefault="00F81854" w:rsidP="005A24A2">
            <w:r>
              <w:t>Low</w:t>
            </w:r>
          </w:p>
        </w:tc>
        <w:tc>
          <w:tcPr>
            <w:tcW w:w="1204" w:type="dxa"/>
          </w:tcPr>
          <w:p w14:paraId="424F9F79" w14:textId="1B75271B" w:rsidR="00F81854" w:rsidRPr="00FA0090" w:rsidRDefault="00F81854" w:rsidP="00F81854">
            <w:pPr>
              <w:jc w:val="center"/>
            </w:pPr>
            <w:r w:rsidRPr="00FA0090">
              <w:t>0.</w:t>
            </w:r>
            <w:r>
              <w:t>0</w:t>
            </w:r>
            <w:r w:rsidRPr="00FA0090">
              <w:t>1 – 0.</w:t>
            </w:r>
            <w:r>
              <w:t>4</w:t>
            </w:r>
          </w:p>
        </w:tc>
      </w:tr>
      <w:tr w:rsidR="00F81854" w:rsidRPr="00FA0090" w14:paraId="348161B4" w14:textId="77777777" w:rsidTr="003E26A1">
        <w:tc>
          <w:tcPr>
            <w:tcW w:w="1872" w:type="dxa"/>
          </w:tcPr>
          <w:p w14:paraId="66C9BCD4" w14:textId="3B4CA1B1" w:rsidR="00F81854" w:rsidRPr="00FA0090" w:rsidRDefault="00F81854" w:rsidP="005A24A2">
            <w:r>
              <w:t>Medium</w:t>
            </w:r>
          </w:p>
        </w:tc>
        <w:tc>
          <w:tcPr>
            <w:tcW w:w="1204" w:type="dxa"/>
          </w:tcPr>
          <w:p w14:paraId="645E0FF1" w14:textId="0D273C4D" w:rsidR="00F81854" w:rsidRPr="00FA0090" w:rsidRDefault="00F81854" w:rsidP="00F81854">
            <w:pPr>
              <w:jc w:val="center"/>
            </w:pPr>
            <w:r>
              <w:t>0.2 – 0.6</w:t>
            </w:r>
          </w:p>
        </w:tc>
      </w:tr>
      <w:tr w:rsidR="00F81854" w:rsidRPr="00FA0090" w14:paraId="4CB7742A" w14:textId="77777777" w:rsidTr="003E26A1">
        <w:tc>
          <w:tcPr>
            <w:tcW w:w="1872" w:type="dxa"/>
          </w:tcPr>
          <w:p w14:paraId="628DFE3F" w14:textId="216FEF2F" w:rsidR="00F81854" w:rsidRPr="00FA0090" w:rsidRDefault="00F81854" w:rsidP="005A24A2">
            <w:r>
              <w:t>High</w:t>
            </w:r>
          </w:p>
        </w:tc>
        <w:tc>
          <w:tcPr>
            <w:tcW w:w="1204" w:type="dxa"/>
          </w:tcPr>
          <w:p w14:paraId="7C5F9824" w14:textId="6EA667D8" w:rsidR="00F81854" w:rsidRPr="00FA0090" w:rsidRDefault="00F81854" w:rsidP="00F81854">
            <w:pPr>
              <w:jc w:val="center"/>
            </w:pPr>
            <w:r>
              <w:t>0.5 – 0.9</w:t>
            </w:r>
          </w:p>
        </w:tc>
      </w:tr>
    </w:tbl>
    <w:p w14:paraId="44E4D9AA" w14:textId="25E9273F" w:rsidR="008F6613" w:rsidRDefault="008F6613" w:rsidP="00A71BC6">
      <w:pPr>
        <w:jc w:val="both"/>
        <w:rPr>
          <w:b/>
        </w:rPr>
      </w:pPr>
    </w:p>
    <w:p w14:paraId="7A8D08DE" w14:textId="77777777" w:rsidR="00BF671E" w:rsidRDefault="00BF671E">
      <w:r>
        <w:br w:type="page"/>
      </w:r>
    </w:p>
    <w:p w14:paraId="3907E3BA" w14:textId="273D36D5" w:rsidR="00F67273" w:rsidRDefault="00CB0CAF" w:rsidP="00227E20">
      <w:pPr>
        <w:spacing w:line="480" w:lineRule="auto"/>
      </w:pPr>
      <w:r>
        <w:lastRenderedPageBreak/>
        <w:t>Table 4</w:t>
      </w:r>
      <w:r w:rsidR="00F67273">
        <w:t>. Number and percentage of 24 simulated stocks which contain the t</w:t>
      </w:r>
      <w:r w:rsidR="00D4481F">
        <w:t>rue parameter value within the</w:t>
      </w:r>
      <w:r w:rsidR="00F67273">
        <w:t xml:space="preserve"> 95% confidence limits</w:t>
      </w:r>
      <w:r w:rsidR="00D4481F">
        <w:t xml:space="preserve"> of the respective CMSY </w:t>
      </w:r>
      <w:r w:rsidR="00420947">
        <w:t xml:space="preserve">or BSM </w:t>
      </w:r>
      <w:r w:rsidR="00D4481F">
        <w:t>estimate</w:t>
      </w:r>
      <w:r w:rsidR="00F67273">
        <w:t>. The acronyms of the stocks where the confidence limits do not include the true value are presented in the column “Missed stocks”</w:t>
      </w:r>
      <w:r w:rsidR="0041749F">
        <w:t xml:space="preserve"> (see Appendix I in the online Supplement)</w:t>
      </w:r>
      <w:r w:rsidR="00F67273">
        <w:t>. [SimCatchResults</w:t>
      </w:r>
      <w:r w:rsidR="00420947">
        <w:t>_6</w:t>
      </w:r>
      <w:r w:rsidR="00F67273">
        <w:t>.xlsx]</w:t>
      </w:r>
    </w:p>
    <w:p w14:paraId="0ACD18B7" w14:textId="77777777" w:rsidR="00F67273" w:rsidRDefault="00F67273" w:rsidP="00F67273"/>
    <w:tbl>
      <w:tblPr>
        <w:tblStyle w:val="Tabellenraster"/>
        <w:tblW w:w="0" w:type="auto"/>
        <w:tblLook w:val="04A0" w:firstRow="1" w:lastRow="0" w:firstColumn="1" w:lastColumn="0" w:noHBand="0" w:noVBand="1"/>
      </w:tblPr>
      <w:tblGrid>
        <w:gridCol w:w="1550"/>
        <w:gridCol w:w="2303"/>
        <w:gridCol w:w="1029"/>
        <w:gridCol w:w="4440"/>
      </w:tblGrid>
      <w:tr w:rsidR="00F67273" w:rsidRPr="00796BA8" w14:paraId="625D38C9" w14:textId="77777777" w:rsidTr="00420947">
        <w:tc>
          <w:tcPr>
            <w:tcW w:w="1550" w:type="dxa"/>
          </w:tcPr>
          <w:p w14:paraId="7EB833C7" w14:textId="77777777" w:rsidR="00F67273" w:rsidRPr="00796BA8" w:rsidRDefault="00F67273" w:rsidP="005A24A2">
            <w:pPr>
              <w:rPr>
                <w:b/>
              </w:rPr>
            </w:pPr>
            <w:r w:rsidRPr="00796BA8">
              <w:rPr>
                <w:b/>
              </w:rPr>
              <w:t>Parameter</w:t>
            </w:r>
          </w:p>
        </w:tc>
        <w:tc>
          <w:tcPr>
            <w:tcW w:w="2303" w:type="dxa"/>
          </w:tcPr>
          <w:p w14:paraId="7BA757FE" w14:textId="77777777" w:rsidR="00F67273" w:rsidRPr="00796BA8" w:rsidRDefault="00F67273" w:rsidP="005A24A2">
            <w:pPr>
              <w:rPr>
                <w:b/>
              </w:rPr>
            </w:pPr>
            <w:r>
              <w:rPr>
                <w:b/>
              </w:rPr>
              <w:t>T</w:t>
            </w:r>
            <w:r w:rsidRPr="00796BA8">
              <w:rPr>
                <w:b/>
              </w:rPr>
              <w:t>rue value included in 95% confidence limits</w:t>
            </w:r>
          </w:p>
        </w:tc>
        <w:tc>
          <w:tcPr>
            <w:tcW w:w="1029" w:type="dxa"/>
          </w:tcPr>
          <w:p w14:paraId="5DE7B178" w14:textId="77777777" w:rsidR="00F67273" w:rsidRPr="00796BA8" w:rsidRDefault="00F67273" w:rsidP="005A24A2">
            <w:pPr>
              <w:rPr>
                <w:b/>
              </w:rPr>
            </w:pPr>
            <w:r w:rsidRPr="00796BA8">
              <w:rPr>
                <w:b/>
              </w:rPr>
              <w:t>Percent</w:t>
            </w:r>
          </w:p>
        </w:tc>
        <w:tc>
          <w:tcPr>
            <w:tcW w:w="4440" w:type="dxa"/>
          </w:tcPr>
          <w:p w14:paraId="1C902EB9" w14:textId="77777777" w:rsidR="00F67273" w:rsidRPr="00796BA8" w:rsidRDefault="00F67273" w:rsidP="005A24A2">
            <w:pPr>
              <w:rPr>
                <w:b/>
              </w:rPr>
            </w:pPr>
            <w:r>
              <w:rPr>
                <w:b/>
              </w:rPr>
              <w:t>Missed stocks</w:t>
            </w:r>
          </w:p>
        </w:tc>
      </w:tr>
      <w:tr w:rsidR="00F67273" w14:paraId="42D6AE6B" w14:textId="77777777" w:rsidTr="00420947">
        <w:tc>
          <w:tcPr>
            <w:tcW w:w="1550" w:type="dxa"/>
          </w:tcPr>
          <w:p w14:paraId="2D585F19" w14:textId="77777777" w:rsidR="00F67273" w:rsidRDefault="00F67273" w:rsidP="005A24A2">
            <w:r w:rsidRPr="00DD6D7B">
              <w:rPr>
                <w:i/>
              </w:rPr>
              <w:t>r</w:t>
            </w:r>
            <w:r>
              <w:t xml:space="preserve"> CMSY</w:t>
            </w:r>
          </w:p>
        </w:tc>
        <w:tc>
          <w:tcPr>
            <w:tcW w:w="2303" w:type="dxa"/>
          </w:tcPr>
          <w:p w14:paraId="32450106" w14:textId="4A284CAA" w:rsidR="00F67273" w:rsidRDefault="00420947" w:rsidP="005A24A2">
            <w:pPr>
              <w:jc w:val="center"/>
            </w:pPr>
            <w:r>
              <w:t>18</w:t>
            </w:r>
          </w:p>
        </w:tc>
        <w:tc>
          <w:tcPr>
            <w:tcW w:w="1029" w:type="dxa"/>
          </w:tcPr>
          <w:p w14:paraId="1C450CD6" w14:textId="2C2B84F6" w:rsidR="00F67273" w:rsidRDefault="00420947" w:rsidP="005A24A2">
            <w:pPr>
              <w:jc w:val="center"/>
            </w:pPr>
            <w:r>
              <w:t>75.0</w:t>
            </w:r>
          </w:p>
        </w:tc>
        <w:tc>
          <w:tcPr>
            <w:tcW w:w="4440" w:type="dxa"/>
          </w:tcPr>
          <w:p w14:paraId="200A366D" w14:textId="5BC4A13F" w:rsidR="00F67273" w:rsidRDefault="00420947" w:rsidP="005A24A2">
            <w:pPr>
              <w:jc w:val="center"/>
            </w:pPr>
            <w:r>
              <w:t xml:space="preserve">HH_M, HLH_M, LH_H, </w:t>
            </w:r>
            <w:r w:rsidR="00F67273">
              <w:t>LH_VL</w:t>
            </w:r>
            <w:r>
              <w:t xml:space="preserve">, LHL_M, LHL_VL </w:t>
            </w:r>
          </w:p>
        </w:tc>
      </w:tr>
      <w:tr w:rsidR="00F67273" w14:paraId="79D6326C" w14:textId="77777777" w:rsidTr="00420947">
        <w:tc>
          <w:tcPr>
            <w:tcW w:w="1550" w:type="dxa"/>
          </w:tcPr>
          <w:p w14:paraId="40EE08E7" w14:textId="77777777" w:rsidR="00F67273" w:rsidRDefault="00F67273" w:rsidP="005A24A2">
            <w:r w:rsidRPr="00DD6D7B">
              <w:rPr>
                <w:i/>
              </w:rPr>
              <w:t>r</w:t>
            </w:r>
            <w:r>
              <w:t xml:space="preserve"> BSM</w:t>
            </w:r>
          </w:p>
        </w:tc>
        <w:tc>
          <w:tcPr>
            <w:tcW w:w="2303" w:type="dxa"/>
          </w:tcPr>
          <w:p w14:paraId="06D84B15" w14:textId="293F5F8A" w:rsidR="00F67273" w:rsidRDefault="00420947" w:rsidP="005A24A2">
            <w:pPr>
              <w:jc w:val="center"/>
            </w:pPr>
            <w:r>
              <w:t>19</w:t>
            </w:r>
          </w:p>
        </w:tc>
        <w:tc>
          <w:tcPr>
            <w:tcW w:w="1029" w:type="dxa"/>
          </w:tcPr>
          <w:p w14:paraId="32C50AD8" w14:textId="30614C49" w:rsidR="00F67273" w:rsidRDefault="00420947" w:rsidP="005A24A2">
            <w:pPr>
              <w:jc w:val="center"/>
            </w:pPr>
            <w:r>
              <w:t>79.2</w:t>
            </w:r>
          </w:p>
        </w:tc>
        <w:tc>
          <w:tcPr>
            <w:tcW w:w="4440" w:type="dxa"/>
          </w:tcPr>
          <w:p w14:paraId="4C3DCC5F" w14:textId="5B64BBD1" w:rsidR="00F67273" w:rsidRDefault="00420947" w:rsidP="005A24A2">
            <w:pPr>
              <w:jc w:val="center"/>
            </w:pPr>
            <w:r>
              <w:t>HH</w:t>
            </w:r>
            <w:r w:rsidR="00F67273">
              <w:t>_M</w:t>
            </w:r>
            <w:r>
              <w:t>, HL_H, HLH_M, LH_H, LH_M</w:t>
            </w:r>
          </w:p>
        </w:tc>
      </w:tr>
      <w:tr w:rsidR="00F67273" w14:paraId="54813D6F" w14:textId="77777777" w:rsidTr="00420947">
        <w:tc>
          <w:tcPr>
            <w:tcW w:w="1550" w:type="dxa"/>
          </w:tcPr>
          <w:p w14:paraId="2959583D" w14:textId="77777777" w:rsidR="00F67273" w:rsidRDefault="00F67273" w:rsidP="005A24A2">
            <w:r w:rsidRPr="00DD6D7B">
              <w:rPr>
                <w:i/>
              </w:rPr>
              <w:t>k</w:t>
            </w:r>
            <w:r>
              <w:t xml:space="preserve"> CMSY</w:t>
            </w:r>
          </w:p>
        </w:tc>
        <w:tc>
          <w:tcPr>
            <w:tcW w:w="2303" w:type="dxa"/>
          </w:tcPr>
          <w:p w14:paraId="639AF180" w14:textId="205D2E95" w:rsidR="00F67273" w:rsidRDefault="00420947" w:rsidP="005A24A2">
            <w:pPr>
              <w:jc w:val="center"/>
            </w:pPr>
            <w:r>
              <w:t>20</w:t>
            </w:r>
          </w:p>
        </w:tc>
        <w:tc>
          <w:tcPr>
            <w:tcW w:w="1029" w:type="dxa"/>
          </w:tcPr>
          <w:p w14:paraId="4A2FB76E" w14:textId="4B393B4D" w:rsidR="00F67273" w:rsidRDefault="00420947" w:rsidP="005A24A2">
            <w:pPr>
              <w:jc w:val="center"/>
            </w:pPr>
            <w:r>
              <w:t>83.3</w:t>
            </w:r>
          </w:p>
        </w:tc>
        <w:tc>
          <w:tcPr>
            <w:tcW w:w="4440" w:type="dxa"/>
          </w:tcPr>
          <w:p w14:paraId="239CE170" w14:textId="12BBCC73" w:rsidR="00F67273" w:rsidRDefault="00420947" w:rsidP="005A24A2">
            <w:pPr>
              <w:jc w:val="center"/>
            </w:pPr>
            <w:r>
              <w:t xml:space="preserve">HLH_M, LH_H, </w:t>
            </w:r>
            <w:r w:rsidR="005811D7">
              <w:t>LH_VL, LHL_M</w:t>
            </w:r>
          </w:p>
        </w:tc>
      </w:tr>
      <w:tr w:rsidR="00F67273" w:rsidRPr="00B22F78" w14:paraId="22499E8F" w14:textId="77777777" w:rsidTr="00420947">
        <w:tc>
          <w:tcPr>
            <w:tcW w:w="1550" w:type="dxa"/>
          </w:tcPr>
          <w:p w14:paraId="7D1EAA8E" w14:textId="77777777" w:rsidR="00F67273" w:rsidRDefault="00F67273" w:rsidP="005A24A2">
            <w:r w:rsidRPr="00DD6D7B">
              <w:rPr>
                <w:i/>
              </w:rPr>
              <w:t>k</w:t>
            </w:r>
            <w:r>
              <w:t xml:space="preserve"> BSM</w:t>
            </w:r>
          </w:p>
        </w:tc>
        <w:tc>
          <w:tcPr>
            <w:tcW w:w="2303" w:type="dxa"/>
          </w:tcPr>
          <w:p w14:paraId="1C82049F" w14:textId="68A5587D" w:rsidR="00F67273" w:rsidRDefault="005811D7" w:rsidP="005A24A2">
            <w:pPr>
              <w:jc w:val="center"/>
            </w:pPr>
            <w:r>
              <w:t>20</w:t>
            </w:r>
          </w:p>
        </w:tc>
        <w:tc>
          <w:tcPr>
            <w:tcW w:w="1029" w:type="dxa"/>
          </w:tcPr>
          <w:p w14:paraId="42F804FA" w14:textId="0F14905B" w:rsidR="00F67273" w:rsidRDefault="005811D7" w:rsidP="005A24A2">
            <w:pPr>
              <w:jc w:val="center"/>
            </w:pPr>
            <w:r>
              <w:t>83.3</w:t>
            </w:r>
          </w:p>
        </w:tc>
        <w:tc>
          <w:tcPr>
            <w:tcW w:w="4440" w:type="dxa"/>
          </w:tcPr>
          <w:p w14:paraId="3FE3D405" w14:textId="37E5DD66" w:rsidR="00F67273" w:rsidRPr="005811D7" w:rsidRDefault="005811D7" w:rsidP="005A24A2">
            <w:pPr>
              <w:jc w:val="center"/>
              <w:rPr>
                <w:lang w:val="de-DE"/>
              </w:rPr>
            </w:pPr>
            <w:r w:rsidRPr="005811D7">
              <w:rPr>
                <w:lang w:val="de-DE"/>
              </w:rPr>
              <w:t>HH_M, HL_M, LH_H, LHL,VL</w:t>
            </w:r>
          </w:p>
        </w:tc>
      </w:tr>
      <w:tr w:rsidR="00F67273" w14:paraId="4E8BD64E" w14:textId="77777777" w:rsidTr="00420947">
        <w:tc>
          <w:tcPr>
            <w:tcW w:w="1550" w:type="dxa"/>
          </w:tcPr>
          <w:p w14:paraId="7D548626" w14:textId="77777777" w:rsidR="00F67273" w:rsidRDefault="00F67273" w:rsidP="005A24A2">
            <w:r w:rsidRPr="00DD6D7B">
              <w:rPr>
                <w:i/>
              </w:rPr>
              <w:t>MSY</w:t>
            </w:r>
            <w:r>
              <w:t xml:space="preserve"> CMSY</w:t>
            </w:r>
          </w:p>
        </w:tc>
        <w:tc>
          <w:tcPr>
            <w:tcW w:w="2303" w:type="dxa"/>
          </w:tcPr>
          <w:p w14:paraId="2EAB5478" w14:textId="0449F093" w:rsidR="00F67273" w:rsidRDefault="005811D7" w:rsidP="005A24A2">
            <w:pPr>
              <w:jc w:val="center"/>
            </w:pPr>
            <w:r>
              <w:t>23</w:t>
            </w:r>
          </w:p>
        </w:tc>
        <w:tc>
          <w:tcPr>
            <w:tcW w:w="1029" w:type="dxa"/>
          </w:tcPr>
          <w:p w14:paraId="7DD45263" w14:textId="0EAB5898" w:rsidR="00F67273" w:rsidRDefault="005811D7" w:rsidP="005A24A2">
            <w:pPr>
              <w:jc w:val="center"/>
            </w:pPr>
            <w:r>
              <w:t>95.8</w:t>
            </w:r>
          </w:p>
        </w:tc>
        <w:tc>
          <w:tcPr>
            <w:tcW w:w="4440" w:type="dxa"/>
          </w:tcPr>
          <w:p w14:paraId="55699527" w14:textId="42572C3B" w:rsidR="00F67273" w:rsidRDefault="005811D7" w:rsidP="005A24A2">
            <w:pPr>
              <w:jc w:val="center"/>
            </w:pPr>
            <w:r>
              <w:t>LL_M</w:t>
            </w:r>
          </w:p>
        </w:tc>
      </w:tr>
      <w:tr w:rsidR="00F67273" w14:paraId="22B345BE" w14:textId="77777777" w:rsidTr="00420947">
        <w:tc>
          <w:tcPr>
            <w:tcW w:w="1550" w:type="dxa"/>
          </w:tcPr>
          <w:p w14:paraId="65A93FB5" w14:textId="77777777" w:rsidR="00F67273" w:rsidRDefault="00F67273" w:rsidP="005A24A2">
            <w:r w:rsidRPr="00DD6D7B">
              <w:rPr>
                <w:i/>
              </w:rPr>
              <w:t>MSY</w:t>
            </w:r>
            <w:r>
              <w:t xml:space="preserve"> BSM</w:t>
            </w:r>
          </w:p>
        </w:tc>
        <w:tc>
          <w:tcPr>
            <w:tcW w:w="2303" w:type="dxa"/>
          </w:tcPr>
          <w:p w14:paraId="28FDE6A3" w14:textId="15956287" w:rsidR="00F67273" w:rsidRDefault="005811D7" w:rsidP="005A24A2">
            <w:pPr>
              <w:jc w:val="center"/>
            </w:pPr>
            <w:r>
              <w:t>18</w:t>
            </w:r>
          </w:p>
        </w:tc>
        <w:tc>
          <w:tcPr>
            <w:tcW w:w="1029" w:type="dxa"/>
          </w:tcPr>
          <w:p w14:paraId="2F85B390" w14:textId="285972CC" w:rsidR="00F67273" w:rsidRDefault="005811D7" w:rsidP="005A24A2">
            <w:pPr>
              <w:jc w:val="center"/>
            </w:pPr>
            <w:r>
              <w:t>75.0</w:t>
            </w:r>
          </w:p>
        </w:tc>
        <w:tc>
          <w:tcPr>
            <w:tcW w:w="4440" w:type="dxa"/>
          </w:tcPr>
          <w:p w14:paraId="37466591" w14:textId="410EE89E" w:rsidR="00F67273" w:rsidRDefault="005811D7" w:rsidP="005A24A2">
            <w:pPr>
              <w:keepNext/>
              <w:jc w:val="center"/>
            </w:pPr>
            <w:r>
              <w:t>HH_M, HL_H, HL_M, HLH_VL, LH_M, LHL_VL</w:t>
            </w:r>
          </w:p>
        </w:tc>
      </w:tr>
      <w:tr w:rsidR="00F67273" w14:paraId="414B08ED" w14:textId="77777777" w:rsidTr="00420947">
        <w:tc>
          <w:tcPr>
            <w:tcW w:w="1550" w:type="dxa"/>
          </w:tcPr>
          <w:p w14:paraId="52874A3C" w14:textId="77777777" w:rsidR="00F67273" w:rsidRPr="00DD6D7B" w:rsidRDefault="00F67273" w:rsidP="005A24A2">
            <w:pPr>
              <w:rPr>
                <w:i/>
              </w:rPr>
            </w:pPr>
            <w:r w:rsidRPr="00F42BC3">
              <w:t>last</w:t>
            </w:r>
            <w:r>
              <w:rPr>
                <w:i/>
              </w:rPr>
              <w:t xml:space="preserve"> B/k</w:t>
            </w:r>
            <w:r w:rsidRPr="00F42BC3">
              <w:t xml:space="preserve"> CMSY</w:t>
            </w:r>
          </w:p>
        </w:tc>
        <w:tc>
          <w:tcPr>
            <w:tcW w:w="2303" w:type="dxa"/>
          </w:tcPr>
          <w:p w14:paraId="2B37D330" w14:textId="263F2A44" w:rsidR="00F67273" w:rsidRDefault="005811D7" w:rsidP="005A24A2">
            <w:pPr>
              <w:jc w:val="center"/>
            </w:pPr>
            <w:r>
              <w:t>22</w:t>
            </w:r>
          </w:p>
        </w:tc>
        <w:tc>
          <w:tcPr>
            <w:tcW w:w="1029" w:type="dxa"/>
          </w:tcPr>
          <w:p w14:paraId="17ADA7CA" w14:textId="070389D9" w:rsidR="00F67273" w:rsidRDefault="005811D7" w:rsidP="005A24A2">
            <w:pPr>
              <w:jc w:val="center"/>
            </w:pPr>
            <w:r>
              <w:t>91.7</w:t>
            </w:r>
          </w:p>
        </w:tc>
        <w:tc>
          <w:tcPr>
            <w:tcW w:w="4440" w:type="dxa"/>
          </w:tcPr>
          <w:p w14:paraId="7C0AB191" w14:textId="085225BF" w:rsidR="00F67273" w:rsidRDefault="005811D7" w:rsidP="005A24A2">
            <w:pPr>
              <w:keepNext/>
              <w:jc w:val="center"/>
            </w:pPr>
            <w:r>
              <w:t>HL_M, LHL_M</w:t>
            </w:r>
          </w:p>
        </w:tc>
      </w:tr>
    </w:tbl>
    <w:p w14:paraId="09CC6A4B" w14:textId="26A4E927" w:rsidR="00A71BC6" w:rsidRDefault="00A71BC6" w:rsidP="00A71BC6">
      <w:pPr>
        <w:jc w:val="both"/>
        <w:rPr>
          <w:b/>
        </w:rPr>
      </w:pPr>
    </w:p>
    <w:p w14:paraId="2E551A9B" w14:textId="77777777" w:rsidR="00BF671E" w:rsidRDefault="00BF671E" w:rsidP="00CB0CAF">
      <w:pPr>
        <w:spacing w:after="120" w:line="480" w:lineRule="auto"/>
      </w:pPr>
    </w:p>
    <w:p w14:paraId="78C22224" w14:textId="4A397560" w:rsidR="00CB0CAF" w:rsidRDefault="00CB0CAF" w:rsidP="00CB0CAF">
      <w:pPr>
        <w:spacing w:after="120" w:line="480" w:lineRule="auto"/>
      </w:pPr>
      <w:r>
        <w:t>Table 5. Comparison of the estimation of reference points with the B</w:t>
      </w:r>
      <w:r w:rsidR="001C1338">
        <w:t>SM</w:t>
      </w:r>
      <w:r>
        <w:t xml:space="preserve"> and with the CMSY method, applied to 24 simulated data sets where the true values of the reference points were known. [SimCatchResults</w:t>
      </w:r>
      <w:r w:rsidR="00EA458C">
        <w:t>_6</w:t>
      </w:r>
      <w:r>
        <w:t>.xlsx]</w:t>
      </w:r>
    </w:p>
    <w:tbl>
      <w:tblPr>
        <w:tblStyle w:val="Tabellenraster"/>
        <w:tblW w:w="7891" w:type="dxa"/>
        <w:tblLook w:val="04A0" w:firstRow="1" w:lastRow="0" w:firstColumn="1" w:lastColumn="0" w:noHBand="0" w:noVBand="1"/>
      </w:tblPr>
      <w:tblGrid>
        <w:gridCol w:w="3684"/>
        <w:gridCol w:w="1028"/>
        <w:gridCol w:w="1534"/>
        <w:gridCol w:w="1645"/>
      </w:tblGrid>
      <w:tr w:rsidR="00CB0CAF" w:rsidRPr="00F8285F" w14:paraId="04016B3B" w14:textId="77777777" w:rsidTr="004632C4">
        <w:tc>
          <w:tcPr>
            <w:tcW w:w="3684" w:type="dxa"/>
          </w:tcPr>
          <w:p w14:paraId="4AA4B64A" w14:textId="77777777" w:rsidR="00CB0CAF" w:rsidRPr="00F8285F" w:rsidRDefault="00CB0CAF" w:rsidP="004632C4">
            <w:pPr>
              <w:rPr>
                <w:b/>
              </w:rPr>
            </w:pPr>
            <w:r w:rsidRPr="00F8285F">
              <w:rPr>
                <w:b/>
              </w:rPr>
              <w:t>Ratio</w:t>
            </w:r>
          </w:p>
        </w:tc>
        <w:tc>
          <w:tcPr>
            <w:tcW w:w="1028" w:type="dxa"/>
          </w:tcPr>
          <w:p w14:paraId="2BF219D0" w14:textId="77777777" w:rsidR="00CB0CAF" w:rsidRPr="00F8285F" w:rsidRDefault="00CB0CAF" w:rsidP="004632C4">
            <w:pPr>
              <w:rPr>
                <w:b/>
              </w:rPr>
            </w:pPr>
            <w:r w:rsidRPr="00F8285F">
              <w:rPr>
                <w:b/>
              </w:rPr>
              <w:t>Median</w:t>
            </w:r>
          </w:p>
        </w:tc>
        <w:tc>
          <w:tcPr>
            <w:tcW w:w="1534" w:type="dxa"/>
          </w:tcPr>
          <w:p w14:paraId="01D50DBE" w14:textId="77777777" w:rsidR="00CB0CAF" w:rsidRPr="00F8285F" w:rsidRDefault="00CB0CAF" w:rsidP="004632C4">
            <w:pPr>
              <w:rPr>
                <w:b/>
              </w:rPr>
            </w:pPr>
            <w:r w:rsidRPr="00F8285F">
              <w:rPr>
                <w:b/>
              </w:rPr>
              <w:t>5</w:t>
            </w:r>
            <w:r w:rsidRPr="00F8285F">
              <w:rPr>
                <w:b/>
                <w:vertAlign w:val="superscript"/>
              </w:rPr>
              <w:t>th</w:t>
            </w:r>
            <w:r w:rsidRPr="00F8285F">
              <w:rPr>
                <w:b/>
              </w:rPr>
              <w:t xml:space="preserve"> percentile</w:t>
            </w:r>
          </w:p>
        </w:tc>
        <w:tc>
          <w:tcPr>
            <w:tcW w:w="1645" w:type="dxa"/>
          </w:tcPr>
          <w:p w14:paraId="657CE8F2" w14:textId="77777777" w:rsidR="00CB0CAF" w:rsidRPr="00F8285F" w:rsidRDefault="00CB0CAF" w:rsidP="004632C4">
            <w:pPr>
              <w:rPr>
                <w:b/>
              </w:rPr>
            </w:pPr>
            <w:r w:rsidRPr="00F8285F">
              <w:rPr>
                <w:b/>
              </w:rPr>
              <w:t>9</w:t>
            </w:r>
            <w:r>
              <w:rPr>
                <w:b/>
              </w:rPr>
              <w:t>5</w:t>
            </w:r>
            <w:r w:rsidRPr="00F8285F">
              <w:rPr>
                <w:b/>
                <w:vertAlign w:val="superscript"/>
              </w:rPr>
              <w:t>th</w:t>
            </w:r>
            <w:r w:rsidRPr="00F8285F">
              <w:rPr>
                <w:b/>
              </w:rPr>
              <w:t xml:space="preserve"> percentile</w:t>
            </w:r>
          </w:p>
        </w:tc>
      </w:tr>
      <w:tr w:rsidR="00CB0CAF" w14:paraId="5B9A3F22" w14:textId="77777777" w:rsidTr="004632C4">
        <w:tc>
          <w:tcPr>
            <w:tcW w:w="3684" w:type="dxa"/>
          </w:tcPr>
          <w:p w14:paraId="457B5C59" w14:textId="77777777" w:rsidR="00CB0CAF" w:rsidRDefault="00CB0CAF" w:rsidP="004632C4">
            <w:r w:rsidRPr="00F8285F">
              <w:rPr>
                <w:i/>
              </w:rPr>
              <w:t>MSY</w:t>
            </w:r>
            <w:r>
              <w:t xml:space="preserve"> BSM / true </w:t>
            </w:r>
            <w:r w:rsidRPr="00F8285F">
              <w:rPr>
                <w:i/>
              </w:rPr>
              <w:t>MSY</w:t>
            </w:r>
          </w:p>
        </w:tc>
        <w:tc>
          <w:tcPr>
            <w:tcW w:w="1028" w:type="dxa"/>
          </w:tcPr>
          <w:p w14:paraId="289298BA" w14:textId="77777777" w:rsidR="00CB0CAF" w:rsidRDefault="00CB0CAF" w:rsidP="004632C4">
            <w:pPr>
              <w:jc w:val="center"/>
            </w:pPr>
            <w:r>
              <w:t>1.01</w:t>
            </w:r>
          </w:p>
        </w:tc>
        <w:tc>
          <w:tcPr>
            <w:tcW w:w="1534" w:type="dxa"/>
          </w:tcPr>
          <w:p w14:paraId="1AF9DB9C" w14:textId="038FE7D5" w:rsidR="00CB0CAF" w:rsidRDefault="00FD5C81" w:rsidP="004632C4">
            <w:pPr>
              <w:jc w:val="center"/>
            </w:pPr>
            <w:r>
              <w:t>0.69</w:t>
            </w:r>
          </w:p>
        </w:tc>
        <w:tc>
          <w:tcPr>
            <w:tcW w:w="1645" w:type="dxa"/>
          </w:tcPr>
          <w:p w14:paraId="7E6AA072" w14:textId="19FE4987" w:rsidR="00CB0CAF" w:rsidRDefault="00FD5C81" w:rsidP="004632C4">
            <w:pPr>
              <w:jc w:val="center"/>
            </w:pPr>
            <w:r>
              <w:t>1.60</w:t>
            </w:r>
          </w:p>
        </w:tc>
      </w:tr>
      <w:tr w:rsidR="00CB0CAF" w14:paraId="649ED165" w14:textId="77777777" w:rsidTr="004632C4">
        <w:tc>
          <w:tcPr>
            <w:tcW w:w="3684" w:type="dxa"/>
          </w:tcPr>
          <w:p w14:paraId="4774CFA5" w14:textId="77777777" w:rsidR="00CB0CAF" w:rsidRDefault="00CB0CAF" w:rsidP="004632C4">
            <w:r w:rsidRPr="00F8285F">
              <w:rPr>
                <w:i/>
              </w:rPr>
              <w:t>MSY</w:t>
            </w:r>
            <w:r>
              <w:t xml:space="preserve"> CMSY / true </w:t>
            </w:r>
            <w:r w:rsidRPr="00F8285F">
              <w:rPr>
                <w:i/>
              </w:rPr>
              <w:t>MSY</w:t>
            </w:r>
          </w:p>
        </w:tc>
        <w:tc>
          <w:tcPr>
            <w:tcW w:w="1028" w:type="dxa"/>
          </w:tcPr>
          <w:p w14:paraId="674ED40A" w14:textId="61A87A52" w:rsidR="00CB0CAF" w:rsidRDefault="00FD5C81" w:rsidP="004632C4">
            <w:pPr>
              <w:jc w:val="center"/>
            </w:pPr>
            <w:r>
              <w:t>1.02</w:t>
            </w:r>
          </w:p>
        </w:tc>
        <w:tc>
          <w:tcPr>
            <w:tcW w:w="1534" w:type="dxa"/>
          </w:tcPr>
          <w:p w14:paraId="56298170" w14:textId="0697531A" w:rsidR="00CB0CAF" w:rsidRDefault="00FD5C81" w:rsidP="004632C4">
            <w:pPr>
              <w:jc w:val="center"/>
            </w:pPr>
            <w:r>
              <w:t>0.53</w:t>
            </w:r>
          </w:p>
        </w:tc>
        <w:tc>
          <w:tcPr>
            <w:tcW w:w="1645" w:type="dxa"/>
          </w:tcPr>
          <w:p w14:paraId="11577E8E" w14:textId="6CCC27D1" w:rsidR="00CB0CAF" w:rsidRDefault="00EA458C" w:rsidP="004632C4">
            <w:pPr>
              <w:jc w:val="center"/>
            </w:pPr>
            <w:r>
              <w:t>1.62</w:t>
            </w:r>
          </w:p>
        </w:tc>
      </w:tr>
      <w:tr w:rsidR="00CB0CAF" w14:paraId="0A116A6D" w14:textId="77777777" w:rsidTr="004632C4">
        <w:tc>
          <w:tcPr>
            <w:tcW w:w="3684" w:type="dxa"/>
          </w:tcPr>
          <w:p w14:paraId="3BD3F84B" w14:textId="77777777" w:rsidR="00CB0CAF" w:rsidRDefault="00CB0CAF" w:rsidP="004632C4">
            <w:r w:rsidRPr="00F8285F">
              <w:rPr>
                <w:i/>
              </w:rPr>
              <w:t>r</w:t>
            </w:r>
            <w:r>
              <w:t xml:space="preserve"> BSM / true </w:t>
            </w:r>
            <w:r w:rsidRPr="00F8285F">
              <w:rPr>
                <w:i/>
              </w:rPr>
              <w:t>r</w:t>
            </w:r>
          </w:p>
        </w:tc>
        <w:tc>
          <w:tcPr>
            <w:tcW w:w="1028" w:type="dxa"/>
          </w:tcPr>
          <w:p w14:paraId="4DE91E9A" w14:textId="4C072E19" w:rsidR="00CB0CAF" w:rsidRDefault="00EA458C" w:rsidP="004632C4">
            <w:pPr>
              <w:jc w:val="center"/>
            </w:pPr>
            <w:r>
              <w:t>1.05</w:t>
            </w:r>
          </w:p>
        </w:tc>
        <w:tc>
          <w:tcPr>
            <w:tcW w:w="1534" w:type="dxa"/>
          </w:tcPr>
          <w:p w14:paraId="0347CD1F" w14:textId="1EB7850D" w:rsidR="00CB0CAF" w:rsidRDefault="00EA458C" w:rsidP="004632C4">
            <w:pPr>
              <w:jc w:val="center"/>
            </w:pPr>
            <w:r>
              <w:t>0.93</w:t>
            </w:r>
          </w:p>
        </w:tc>
        <w:tc>
          <w:tcPr>
            <w:tcW w:w="1645" w:type="dxa"/>
          </w:tcPr>
          <w:p w14:paraId="7494C333" w14:textId="0CED8E3B" w:rsidR="00CB0CAF" w:rsidRDefault="00CB0CAF" w:rsidP="00EA458C">
            <w:pPr>
              <w:jc w:val="center"/>
            </w:pPr>
            <w:r>
              <w:t>1.</w:t>
            </w:r>
            <w:r w:rsidR="00EA458C">
              <w:t>31</w:t>
            </w:r>
          </w:p>
        </w:tc>
      </w:tr>
      <w:tr w:rsidR="00CB0CAF" w14:paraId="327DE4A7" w14:textId="77777777" w:rsidTr="004632C4">
        <w:tc>
          <w:tcPr>
            <w:tcW w:w="3684" w:type="dxa"/>
          </w:tcPr>
          <w:p w14:paraId="592C9B68" w14:textId="77777777" w:rsidR="00CB0CAF" w:rsidRDefault="00CB0CAF" w:rsidP="004632C4">
            <w:r w:rsidRPr="00F8285F">
              <w:rPr>
                <w:i/>
              </w:rPr>
              <w:t>r</w:t>
            </w:r>
            <w:r>
              <w:t xml:space="preserve"> CMSY / true </w:t>
            </w:r>
            <w:r w:rsidRPr="00F8285F">
              <w:rPr>
                <w:i/>
              </w:rPr>
              <w:t>r</w:t>
            </w:r>
          </w:p>
        </w:tc>
        <w:tc>
          <w:tcPr>
            <w:tcW w:w="1028" w:type="dxa"/>
          </w:tcPr>
          <w:p w14:paraId="1F52CD62" w14:textId="15C818D1" w:rsidR="00CB0CAF" w:rsidRDefault="00EA458C" w:rsidP="004632C4">
            <w:pPr>
              <w:jc w:val="center"/>
            </w:pPr>
            <w:r>
              <w:t>1.06</w:t>
            </w:r>
          </w:p>
        </w:tc>
        <w:tc>
          <w:tcPr>
            <w:tcW w:w="1534" w:type="dxa"/>
          </w:tcPr>
          <w:p w14:paraId="469DF1F5" w14:textId="7329708B" w:rsidR="00CB0CAF" w:rsidRDefault="00EA458C" w:rsidP="004632C4">
            <w:pPr>
              <w:jc w:val="center"/>
            </w:pPr>
            <w:r>
              <w:t>0.59</w:t>
            </w:r>
          </w:p>
        </w:tc>
        <w:tc>
          <w:tcPr>
            <w:tcW w:w="1645" w:type="dxa"/>
          </w:tcPr>
          <w:p w14:paraId="3458172D" w14:textId="6A3C1553" w:rsidR="00CB0CAF" w:rsidRDefault="00EA458C" w:rsidP="004632C4">
            <w:pPr>
              <w:jc w:val="center"/>
            </w:pPr>
            <w:r>
              <w:t>1.73</w:t>
            </w:r>
          </w:p>
        </w:tc>
      </w:tr>
      <w:tr w:rsidR="00CB0CAF" w14:paraId="37AEA498" w14:textId="77777777" w:rsidTr="004632C4">
        <w:tc>
          <w:tcPr>
            <w:tcW w:w="3684" w:type="dxa"/>
          </w:tcPr>
          <w:p w14:paraId="22B9A333" w14:textId="77777777" w:rsidR="00CB0CAF" w:rsidRDefault="00CB0CAF" w:rsidP="004632C4">
            <w:r>
              <w:rPr>
                <w:i/>
              </w:rPr>
              <w:t>k</w:t>
            </w:r>
            <w:r>
              <w:t xml:space="preserve"> BSM / true </w:t>
            </w:r>
            <w:r>
              <w:rPr>
                <w:i/>
              </w:rPr>
              <w:t>k</w:t>
            </w:r>
          </w:p>
        </w:tc>
        <w:tc>
          <w:tcPr>
            <w:tcW w:w="1028" w:type="dxa"/>
          </w:tcPr>
          <w:p w14:paraId="46B6AEC6" w14:textId="78B3EC21" w:rsidR="00CB0CAF" w:rsidRDefault="00EA458C" w:rsidP="004632C4">
            <w:pPr>
              <w:jc w:val="center"/>
            </w:pPr>
            <w:r>
              <w:t>0.98</w:t>
            </w:r>
          </w:p>
        </w:tc>
        <w:tc>
          <w:tcPr>
            <w:tcW w:w="1534" w:type="dxa"/>
          </w:tcPr>
          <w:p w14:paraId="695BB433" w14:textId="786F04A3" w:rsidR="00CB0CAF" w:rsidRDefault="00EA458C" w:rsidP="004632C4">
            <w:pPr>
              <w:jc w:val="center"/>
            </w:pPr>
            <w:r>
              <w:t>0.79</w:t>
            </w:r>
          </w:p>
        </w:tc>
        <w:tc>
          <w:tcPr>
            <w:tcW w:w="1645" w:type="dxa"/>
          </w:tcPr>
          <w:p w14:paraId="7E1CF34C" w14:textId="4414A420" w:rsidR="00CB0CAF" w:rsidRDefault="00EA458C" w:rsidP="004632C4">
            <w:pPr>
              <w:jc w:val="center"/>
            </w:pPr>
            <w:r>
              <w:t>1.29</w:t>
            </w:r>
          </w:p>
        </w:tc>
      </w:tr>
      <w:tr w:rsidR="00CB0CAF" w14:paraId="1FB92656" w14:textId="77777777" w:rsidTr="004632C4">
        <w:tc>
          <w:tcPr>
            <w:tcW w:w="3684" w:type="dxa"/>
          </w:tcPr>
          <w:p w14:paraId="41ED29F8" w14:textId="77777777" w:rsidR="00CB0CAF" w:rsidRDefault="00CB0CAF" w:rsidP="004632C4">
            <w:r>
              <w:rPr>
                <w:i/>
              </w:rPr>
              <w:t>k</w:t>
            </w:r>
            <w:r>
              <w:t xml:space="preserve"> CMSY / true </w:t>
            </w:r>
            <w:r>
              <w:rPr>
                <w:i/>
              </w:rPr>
              <w:t>k</w:t>
            </w:r>
          </w:p>
        </w:tc>
        <w:tc>
          <w:tcPr>
            <w:tcW w:w="1028" w:type="dxa"/>
          </w:tcPr>
          <w:p w14:paraId="426FE543" w14:textId="093A7B72" w:rsidR="00CB0CAF" w:rsidRDefault="00EA458C" w:rsidP="004632C4">
            <w:pPr>
              <w:jc w:val="center"/>
            </w:pPr>
            <w:r>
              <w:t>1.00</w:t>
            </w:r>
          </w:p>
        </w:tc>
        <w:tc>
          <w:tcPr>
            <w:tcW w:w="1534" w:type="dxa"/>
          </w:tcPr>
          <w:p w14:paraId="59BB10D5" w14:textId="1784DB5B" w:rsidR="00CB0CAF" w:rsidRDefault="00EA458C" w:rsidP="004632C4">
            <w:pPr>
              <w:jc w:val="center"/>
            </w:pPr>
            <w:r>
              <w:t>0.58</w:t>
            </w:r>
          </w:p>
        </w:tc>
        <w:tc>
          <w:tcPr>
            <w:tcW w:w="1645" w:type="dxa"/>
          </w:tcPr>
          <w:p w14:paraId="78819EE1" w14:textId="5A8A97BF" w:rsidR="00CB0CAF" w:rsidRDefault="00EA458C" w:rsidP="004632C4">
            <w:pPr>
              <w:jc w:val="center"/>
            </w:pPr>
            <w:r>
              <w:t>1.80</w:t>
            </w:r>
          </w:p>
        </w:tc>
      </w:tr>
      <w:tr w:rsidR="00CB0CAF" w14:paraId="6F6712D8" w14:textId="77777777" w:rsidTr="004632C4">
        <w:tc>
          <w:tcPr>
            <w:tcW w:w="3684" w:type="dxa"/>
          </w:tcPr>
          <w:p w14:paraId="68EA18FC" w14:textId="77777777" w:rsidR="00CB0CAF" w:rsidRDefault="00CB0CAF" w:rsidP="004632C4">
            <w:pPr>
              <w:rPr>
                <w:i/>
              </w:rPr>
            </w:pPr>
            <w:r w:rsidRPr="00F42BC3">
              <w:t>last</w:t>
            </w:r>
            <w:r>
              <w:rPr>
                <w:i/>
              </w:rPr>
              <w:t xml:space="preserve"> B/k</w:t>
            </w:r>
            <w:r w:rsidRPr="00F42BC3">
              <w:t xml:space="preserve"> CMSY</w:t>
            </w:r>
            <w:r>
              <w:rPr>
                <w:i/>
              </w:rPr>
              <w:t xml:space="preserve"> </w:t>
            </w:r>
            <w:r w:rsidRPr="00F42BC3">
              <w:t xml:space="preserve">/ </w:t>
            </w:r>
            <w:r>
              <w:t xml:space="preserve">last </w:t>
            </w:r>
            <w:r w:rsidRPr="00F42BC3">
              <w:t>true</w:t>
            </w:r>
            <w:r>
              <w:rPr>
                <w:i/>
              </w:rPr>
              <w:t xml:space="preserve"> b/k</w:t>
            </w:r>
          </w:p>
        </w:tc>
        <w:tc>
          <w:tcPr>
            <w:tcW w:w="1028" w:type="dxa"/>
          </w:tcPr>
          <w:p w14:paraId="77CD68B7" w14:textId="29730DFE" w:rsidR="00CB0CAF" w:rsidRDefault="00EA458C" w:rsidP="004632C4">
            <w:pPr>
              <w:jc w:val="center"/>
            </w:pPr>
            <w:r>
              <w:t>1.10</w:t>
            </w:r>
          </w:p>
        </w:tc>
        <w:tc>
          <w:tcPr>
            <w:tcW w:w="1534" w:type="dxa"/>
          </w:tcPr>
          <w:p w14:paraId="1E372746" w14:textId="227580DD" w:rsidR="00CB0CAF" w:rsidRDefault="00EA458C" w:rsidP="004632C4">
            <w:pPr>
              <w:jc w:val="center"/>
            </w:pPr>
            <w:r>
              <w:t>0.80</w:t>
            </w:r>
          </w:p>
        </w:tc>
        <w:tc>
          <w:tcPr>
            <w:tcW w:w="1645" w:type="dxa"/>
          </w:tcPr>
          <w:p w14:paraId="44EA6665" w14:textId="7B941C01" w:rsidR="00CB0CAF" w:rsidRDefault="00EA458C" w:rsidP="004632C4">
            <w:pPr>
              <w:jc w:val="center"/>
            </w:pPr>
            <w:r>
              <w:t>5.71</w:t>
            </w:r>
          </w:p>
        </w:tc>
      </w:tr>
      <w:tr w:rsidR="00CB0CAF" w14:paraId="438FE7CE" w14:textId="77777777" w:rsidTr="004632C4">
        <w:tc>
          <w:tcPr>
            <w:tcW w:w="3684" w:type="dxa"/>
          </w:tcPr>
          <w:p w14:paraId="604AE6B9" w14:textId="77777777" w:rsidR="00CB0CAF" w:rsidRPr="00F42BC3" w:rsidRDefault="00CB0CAF" w:rsidP="004632C4">
            <w:r>
              <w:t xml:space="preserve">last </w:t>
            </w:r>
            <w:r w:rsidRPr="007A6412">
              <w:rPr>
                <w:i/>
              </w:rPr>
              <w:t>u</w:t>
            </w:r>
            <w:r>
              <w:t xml:space="preserve"> CMSY / last true </w:t>
            </w:r>
            <w:r w:rsidRPr="007A6412">
              <w:rPr>
                <w:i/>
              </w:rPr>
              <w:t>u</w:t>
            </w:r>
          </w:p>
        </w:tc>
        <w:tc>
          <w:tcPr>
            <w:tcW w:w="1028" w:type="dxa"/>
          </w:tcPr>
          <w:p w14:paraId="34822398" w14:textId="5CE3B202" w:rsidR="00CB0CAF" w:rsidRDefault="00EA458C" w:rsidP="004632C4">
            <w:pPr>
              <w:jc w:val="center"/>
            </w:pPr>
            <w:r>
              <w:t>0.85</w:t>
            </w:r>
          </w:p>
        </w:tc>
        <w:tc>
          <w:tcPr>
            <w:tcW w:w="1534" w:type="dxa"/>
          </w:tcPr>
          <w:p w14:paraId="7F9C56A1" w14:textId="5D250DC4" w:rsidR="00CB0CAF" w:rsidRDefault="00EA458C" w:rsidP="004632C4">
            <w:pPr>
              <w:jc w:val="center"/>
            </w:pPr>
            <w:r>
              <w:t>0.20</w:t>
            </w:r>
          </w:p>
        </w:tc>
        <w:tc>
          <w:tcPr>
            <w:tcW w:w="1645" w:type="dxa"/>
          </w:tcPr>
          <w:p w14:paraId="2BB46B94" w14:textId="2E7DDBB5" w:rsidR="00CB0CAF" w:rsidRDefault="00EA458C" w:rsidP="004632C4">
            <w:pPr>
              <w:jc w:val="center"/>
            </w:pPr>
            <w:r>
              <w:t>1.72</w:t>
            </w:r>
          </w:p>
        </w:tc>
      </w:tr>
      <w:tr w:rsidR="00CB0CAF" w14:paraId="391EED4D" w14:textId="77777777" w:rsidTr="004632C4">
        <w:tc>
          <w:tcPr>
            <w:tcW w:w="3684" w:type="dxa"/>
          </w:tcPr>
          <w:p w14:paraId="02BC97EA" w14:textId="77777777" w:rsidR="00CB0CAF" w:rsidRPr="00F42BC3" w:rsidRDefault="00CB0CAF" w:rsidP="004632C4">
            <w:r>
              <w:t xml:space="preserve">last </w:t>
            </w:r>
            <w:r w:rsidRPr="00E87935">
              <w:rPr>
                <w:i/>
              </w:rPr>
              <w:t>u/u</w:t>
            </w:r>
            <w:r w:rsidRPr="00E87935">
              <w:rPr>
                <w:i/>
                <w:vertAlign w:val="subscript"/>
              </w:rPr>
              <w:t>msy</w:t>
            </w:r>
            <w:r>
              <w:t xml:space="preserve">  CMSY / last true </w:t>
            </w:r>
            <w:r w:rsidRPr="00E87935">
              <w:rPr>
                <w:i/>
              </w:rPr>
              <w:t>u/u</w:t>
            </w:r>
            <w:r w:rsidRPr="00E87935">
              <w:rPr>
                <w:i/>
                <w:vertAlign w:val="subscript"/>
              </w:rPr>
              <w:t>msy</w:t>
            </w:r>
            <w:r>
              <w:t xml:space="preserve"> </w:t>
            </w:r>
          </w:p>
        </w:tc>
        <w:tc>
          <w:tcPr>
            <w:tcW w:w="1028" w:type="dxa"/>
          </w:tcPr>
          <w:p w14:paraId="181CA9D4" w14:textId="5C9F2DF8" w:rsidR="00CB0CAF" w:rsidRDefault="00EA458C" w:rsidP="004632C4">
            <w:pPr>
              <w:jc w:val="center"/>
            </w:pPr>
            <w:r>
              <w:t>0.80</w:t>
            </w:r>
          </w:p>
        </w:tc>
        <w:tc>
          <w:tcPr>
            <w:tcW w:w="1534" w:type="dxa"/>
          </w:tcPr>
          <w:p w14:paraId="1EABD7E0" w14:textId="0F413632" w:rsidR="00CB0CAF" w:rsidRDefault="00EA458C" w:rsidP="004632C4">
            <w:pPr>
              <w:jc w:val="center"/>
            </w:pPr>
            <w:r>
              <w:t>0.22</w:t>
            </w:r>
          </w:p>
        </w:tc>
        <w:tc>
          <w:tcPr>
            <w:tcW w:w="1645" w:type="dxa"/>
          </w:tcPr>
          <w:p w14:paraId="41857D26" w14:textId="19727B49" w:rsidR="00CB0CAF" w:rsidRDefault="00EA458C" w:rsidP="004632C4">
            <w:pPr>
              <w:keepNext/>
              <w:jc w:val="center"/>
            </w:pPr>
            <w:r>
              <w:t>1.57</w:t>
            </w:r>
          </w:p>
        </w:tc>
      </w:tr>
    </w:tbl>
    <w:p w14:paraId="72827C49" w14:textId="77777777" w:rsidR="00CB0CAF" w:rsidRDefault="00CB0CAF" w:rsidP="00CB0CAF">
      <w:pPr>
        <w:jc w:val="both"/>
        <w:rPr>
          <w:b/>
        </w:rPr>
      </w:pPr>
    </w:p>
    <w:p w14:paraId="12E6EA25" w14:textId="77777777" w:rsidR="00CB0CAF" w:rsidRDefault="00CB0CAF" w:rsidP="00CB0CAF">
      <w:pPr>
        <w:jc w:val="both"/>
        <w:rPr>
          <w:b/>
        </w:rPr>
      </w:pPr>
    </w:p>
    <w:p w14:paraId="4C7CC77A" w14:textId="77777777" w:rsidR="00227E20" w:rsidRDefault="00227E20">
      <w:pPr>
        <w:rPr>
          <w:bCs/>
          <w:color w:val="000000" w:themeColor="text1"/>
        </w:rPr>
      </w:pPr>
      <w:r>
        <w:rPr>
          <w:b/>
          <w:color w:val="000000" w:themeColor="text1"/>
        </w:rPr>
        <w:br w:type="page"/>
      </w:r>
    </w:p>
    <w:p w14:paraId="48E0A6F5" w14:textId="70F02537" w:rsidR="00D4481F" w:rsidRPr="00D4481F" w:rsidRDefault="00CB0CAF" w:rsidP="00D4481F">
      <w:pPr>
        <w:pStyle w:val="Beschriftung"/>
        <w:keepNext/>
        <w:spacing w:line="480" w:lineRule="auto"/>
        <w:rPr>
          <w:b w:val="0"/>
          <w:sz w:val="22"/>
          <w:szCs w:val="22"/>
        </w:rPr>
      </w:pPr>
      <w:r>
        <w:rPr>
          <w:b w:val="0"/>
          <w:color w:val="000000" w:themeColor="text1"/>
          <w:sz w:val="22"/>
          <w:szCs w:val="22"/>
        </w:rPr>
        <w:lastRenderedPageBreak/>
        <w:t>Table 6</w:t>
      </w:r>
      <w:r w:rsidR="00D4481F" w:rsidRPr="00D4481F">
        <w:rPr>
          <w:b w:val="0"/>
          <w:color w:val="000000" w:themeColor="text1"/>
          <w:sz w:val="22"/>
          <w:szCs w:val="22"/>
        </w:rPr>
        <w:t xml:space="preserve">. Numbers and percentages of </w:t>
      </w:r>
      <w:r w:rsidR="005319D8">
        <w:rPr>
          <w:b w:val="0"/>
          <w:color w:val="000000" w:themeColor="text1"/>
          <w:sz w:val="22"/>
          <w:szCs w:val="22"/>
        </w:rPr>
        <w:t>1</w:t>
      </w:r>
      <w:r w:rsidR="00902574">
        <w:rPr>
          <w:b w:val="0"/>
          <w:color w:val="000000" w:themeColor="text1"/>
          <w:sz w:val="22"/>
          <w:szCs w:val="22"/>
        </w:rPr>
        <w:t>2</w:t>
      </w:r>
      <w:r w:rsidR="005319D8">
        <w:rPr>
          <w:b w:val="0"/>
          <w:color w:val="000000" w:themeColor="text1"/>
          <w:sz w:val="22"/>
          <w:szCs w:val="22"/>
        </w:rPr>
        <w:t>8</w:t>
      </w:r>
      <w:r w:rsidR="00902574">
        <w:rPr>
          <w:b w:val="0"/>
          <w:color w:val="000000" w:themeColor="text1"/>
          <w:sz w:val="22"/>
          <w:szCs w:val="22"/>
        </w:rPr>
        <w:t xml:space="preserve"> real stocks,</w:t>
      </w:r>
      <w:r w:rsidR="00D4481F" w:rsidRPr="00D4481F">
        <w:rPr>
          <w:b w:val="0"/>
          <w:color w:val="000000" w:themeColor="text1"/>
          <w:sz w:val="22"/>
          <w:szCs w:val="22"/>
        </w:rPr>
        <w:t xml:space="preserve"> where the 95% confidence limits of the CMSY estimate include the most probable estimate of </w:t>
      </w:r>
      <w:r w:rsidR="001C1338">
        <w:rPr>
          <w:b w:val="0"/>
          <w:color w:val="000000" w:themeColor="text1"/>
          <w:sz w:val="22"/>
          <w:szCs w:val="22"/>
        </w:rPr>
        <w:t>BSM</w:t>
      </w:r>
      <w:r w:rsidR="00D4481F" w:rsidRPr="00D4481F">
        <w:rPr>
          <w:b w:val="0"/>
          <w:color w:val="000000" w:themeColor="text1"/>
          <w:sz w:val="22"/>
          <w:szCs w:val="22"/>
        </w:rPr>
        <w:t xml:space="preserve">, indicating good agreement, and where the confidence limits of both methods overlap, indicating </w:t>
      </w:r>
      <w:r w:rsidR="00B112A5">
        <w:rPr>
          <w:b w:val="0"/>
          <w:color w:val="000000" w:themeColor="text1"/>
          <w:sz w:val="22"/>
          <w:szCs w:val="22"/>
        </w:rPr>
        <w:t>results that are</w:t>
      </w:r>
      <w:r w:rsidR="00D4481F" w:rsidRPr="00D4481F">
        <w:rPr>
          <w:b w:val="0"/>
          <w:color w:val="000000" w:themeColor="text1"/>
          <w:sz w:val="22"/>
          <w:szCs w:val="22"/>
        </w:rPr>
        <w:t xml:space="preserve"> significantly different. [AllStocks_Results</w:t>
      </w:r>
      <w:r w:rsidR="005319D8">
        <w:rPr>
          <w:b w:val="0"/>
          <w:color w:val="000000" w:themeColor="text1"/>
          <w:sz w:val="22"/>
          <w:szCs w:val="22"/>
        </w:rPr>
        <w:t>_6</w:t>
      </w:r>
      <w:r w:rsidR="00D4481F" w:rsidRPr="00D4481F">
        <w:rPr>
          <w:b w:val="0"/>
          <w:color w:val="000000" w:themeColor="text1"/>
          <w:sz w:val="22"/>
          <w:szCs w:val="22"/>
        </w:rPr>
        <w:t>.xlsx]</w:t>
      </w:r>
    </w:p>
    <w:tbl>
      <w:tblPr>
        <w:tblStyle w:val="Tabellenraster"/>
        <w:tblW w:w="0" w:type="auto"/>
        <w:tblLook w:val="04A0" w:firstRow="1" w:lastRow="0" w:firstColumn="1" w:lastColumn="0" w:noHBand="0" w:noVBand="1"/>
      </w:tblPr>
      <w:tblGrid>
        <w:gridCol w:w="2122"/>
        <w:gridCol w:w="2409"/>
        <w:gridCol w:w="1843"/>
      </w:tblGrid>
      <w:tr w:rsidR="00F67273" w:rsidRPr="005D7EE5" w14:paraId="6DD3EDC9" w14:textId="77777777" w:rsidTr="00A63074">
        <w:tc>
          <w:tcPr>
            <w:tcW w:w="2122" w:type="dxa"/>
          </w:tcPr>
          <w:p w14:paraId="0B10137D" w14:textId="77777777" w:rsidR="00F67273" w:rsidRPr="005D7EE5" w:rsidRDefault="00F67273" w:rsidP="005A24A2">
            <w:pPr>
              <w:rPr>
                <w:b/>
              </w:rPr>
            </w:pPr>
            <w:r w:rsidRPr="005D7EE5">
              <w:rPr>
                <w:b/>
              </w:rPr>
              <w:t>Parameter</w:t>
            </w:r>
          </w:p>
        </w:tc>
        <w:tc>
          <w:tcPr>
            <w:tcW w:w="2409" w:type="dxa"/>
          </w:tcPr>
          <w:p w14:paraId="02C862C7" w14:textId="77777777" w:rsidR="00F67273" w:rsidRDefault="00F67273" w:rsidP="005A24A2">
            <w:pPr>
              <w:jc w:val="center"/>
              <w:rPr>
                <w:b/>
              </w:rPr>
            </w:pPr>
            <w:r w:rsidRPr="00BC267B">
              <w:rPr>
                <w:b/>
              </w:rPr>
              <w:t>BSM</w:t>
            </w:r>
            <w:r w:rsidRPr="005D7EE5">
              <w:rPr>
                <w:b/>
              </w:rPr>
              <w:t xml:space="preserve"> estimate included</w:t>
            </w:r>
          </w:p>
          <w:p w14:paraId="5C8220E4" w14:textId="77777777" w:rsidR="00F67273" w:rsidRPr="005D7EE5" w:rsidRDefault="00F67273" w:rsidP="005A24A2">
            <w:pPr>
              <w:jc w:val="center"/>
              <w:rPr>
                <w:b/>
              </w:rPr>
            </w:pPr>
            <w:r>
              <w:rPr>
                <w:b/>
              </w:rPr>
              <w:t>n</w:t>
            </w:r>
            <w:r w:rsidRPr="005D7EE5">
              <w:rPr>
                <w:b/>
              </w:rPr>
              <w:t xml:space="preserve"> / </w:t>
            </w:r>
            <w:r>
              <w:rPr>
                <w:b/>
              </w:rPr>
              <w:t>%</w:t>
            </w:r>
          </w:p>
        </w:tc>
        <w:tc>
          <w:tcPr>
            <w:tcW w:w="1843" w:type="dxa"/>
          </w:tcPr>
          <w:p w14:paraId="0734B84E" w14:textId="443B7063" w:rsidR="00F67273" w:rsidRDefault="00A63074" w:rsidP="005A24A2">
            <w:pPr>
              <w:jc w:val="center"/>
              <w:rPr>
                <w:b/>
              </w:rPr>
            </w:pPr>
            <w:r>
              <w:rPr>
                <w:b/>
              </w:rPr>
              <w:t xml:space="preserve">No </w:t>
            </w:r>
            <w:r w:rsidR="00F67273">
              <w:rPr>
                <w:b/>
              </w:rPr>
              <w:t>overlap</w:t>
            </w:r>
          </w:p>
          <w:p w14:paraId="0C8F3AEA" w14:textId="77777777" w:rsidR="00F67273" w:rsidRPr="005D7EE5" w:rsidRDefault="00F67273" w:rsidP="005A24A2">
            <w:pPr>
              <w:jc w:val="center"/>
              <w:rPr>
                <w:b/>
              </w:rPr>
            </w:pPr>
            <w:r>
              <w:rPr>
                <w:b/>
              </w:rPr>
              <w:t>n / %</w:t>
            </w:r>
          </w:p>
        </w:tc>
      </w:tr>
      <w:tr w:rsidR="00F67273" w14:paraId="2EC13B74" w14:textId="77777777" w:rsidTr="00A63074">
        <w:tc>
          <w:tcPr>
            <w:tcW w:w="2122" w:type="dxa"/>
          </w:tcPr>
          <w:p w14:paraId="76561C7F" w14:textId="77777777" w:rsidR="00F67273" w:rsidRDefault="00F67273" w:rsidP="005A24A2">
            <w:r w:rsidRPr="005D7EE5">
              <w:rPr>
                <w:i/>
              </w:rPr>
              <w:t>r</w:t>
            </w:r>
            <w:r>
              <w:t xml:space="preserve"> CMSY</w:t>
            </w:r>
          </w:p>
        </w:tc>
        <w:tc>
          <w:tcPr>
            <w:tcW w:w="2409" w:type="dxa"/>
          </w:tcPr>
          <w:p w14:paraId="6090244D" w14:textId="0B6729BF" w:rsidR="00F67273" w:rsidRDefault="005319D8" w:rsidP="005319D8">
            <w:pPr>
              <w:jc w:val="center"/>
            </w:pPr>
            <w:r>
              <w:t>101</w:t>
            </w:r>
            <w:r w:rsidR="00F67273">
              <w:t xml:space="preserve"> / </w:t>
            </w:r>
            <w:r>
              <w:t>78.9</w:t>
            </w:r>
          </w:p>
        </w:tc>
        <w:tc>
          <w:tcPr>
            <w:tcW w:w="1843" w:type="dxa"/>
          </w:tcPr>
          <w:p w14:paraId="14CD9B08" w14:textId="0220C8BB" w:rsidR="00F67273" w:rsidRDefault="005319D8" w:rsidP="00A63074">
            <w:pPr>
              <w:jc w:val="center"/>
            </w:pPr>
            <w:r>
              <w:t>1</w:t>
            </w:r>
            <w:r w:rsidR="00F67273">
              <w:t xml:space="preserve">4 / </w:t>
            </w:r>
            <w:r w:rsidR="00A63074">
              <w:t>10.9</w:t>
            </w:r>
          </w:p>
        </w:tc>
      </w:tr>
      <w:tr w:rsidR="00F67273" w14:paraId="2EAF7698" w14:textId="77777777" w:rsidTr="00A63074">
        <w:tc>
          <w:tcPr>
            <w:tcW w:w="2122" w:type="dxa"/>
          </w:tcPr>
          <w:p w14:paraId="461297CC" w14:textId="77777777" w:rsidR="00F67273" w:rsidRDefault="00F67273" w:rsidP="005A24A2">
            <w:r w:rsidRPr="005D7EE5">
              <w:rPr>
                <w:i/>
              </w:rPr>
              <w:t>k</w:t>
            </w:r>
            <w:r>
              <w:t xml:space="preserve"> CMSY</w:t>
            </w:r>
          </w:p>
        </w:tc>
        <w:tc>
          <w:tcPr>
            <w:tcW w:w="2409" w:type="dxa"/>
          </w:tcPr>
          <w:p w14:paraId="525651F6" w14:textId="2B88B35C" w:rsidR="00F67273" w:rsidRDefault="005319D8" w:rsidP="005319D8">
            <w:pPr>
              <w:jc w:val="center"/>
            </w:pPr>
            <w:r>
              <w:t>101</w:t>
            </w:r>
            <w:r w:rsidR="00F67273">
              <w:t xml:space="preserve"> / </w:t>
            </w:r>
            <w:r>
              <w:t>78.9</w:t>
            </w:r>
          </w:p>
        </w:tc>
        <w:tc>
          <w:tcPr>
            <w:tcW w:w="1843" w:type="dxa"/>
          </w:tcPr>
          <w:p w14:paraId="549336F0" w14:textId="0A8496BD" w:rsidR="00F67273" w:rsidRDefault="00A63074" w:rsidP="00A63074">
            <w:pPr>
              <w:jc w:val="center"/>
            </w:pPr>
            <w:r>
              <w:t>20</w:t>
            </w:r>
            <w:r w:rsidR="00F67273">
              <w:t xml:space="preserve"> / </w:t>
            </w:r>
            <w:r>
              <w:t>15.6</w:t>
            </w:r>
          </w:p>
        </w:tc>
      </w:tr>
      <w:tr w:rsidR="00F67273" w14:paraId="7D0EBCC1" w14:textId="77777777" w:rsidTr="00A63074">
        <w:tc>
          <w:tcPr>
            <w:tcW w:w="2122" w:type="dxa"/>
          </w:tcPr>
          <w:p w14:paraId="1C658428" w14:textId="77777777" w:rsidR="00F67273" w:rsidRDefault="00F67273" w:rsidP="005A24A2">
            <w:r w:rsidRPr="005D7EE5">
              <w:rPr>
                <w:i/>
              </w:rPr>
              <w:t>MSY</w:t>
            </w:r>
            <w:r>
              <w:t xml:space="preserve"> CMSY</w:t>
            </w:r>
          </w:p>
        </w:tc>
        <w:tc>
          <w:tcPr>
            <w:tcW w:w="2409" w:type="dxa"/>
          </w:tcPr>
          <w:p w14:paraId="7D8BAB53" w14:textId="4C402777" w:rsidR="00F67273" w:rsidRDefault="005319D8" w:rsidP="005319D8">
            <w:pPr>
              <w:jc w:val="center"/>
            </w:pPr>
            <w:r>
              <w:t>97</w:t>
            </w:r>
            <w:r w:rsidR="00F67273">
              <w:t xml:space="preserve"> / </w:t>
            </w:r>
            <w:r>
              <w:t>75.8</w:t>
            </w:r>
          </w:p>
        </w:tc>
        <w:tc>
          <w:tcPr>
            <w:tcW w:w="1843" w:type="dxa"/>
          </w:tcPr>
          <w:p w14:paraId="72388337" w14:textId="3AD8DE92" w:rsidR="00F67273" w:rsidRDefault="00A63074" w:rsidP="00A63074">
            <w:pPr>
              <w:jc w:val="center"/>
            </w:pPr>
            <w:r>
              <w:t>6</w:t>
            </w:r>
            <w:r w:rsidR="005319D8">
              <w:t xml:space="preserve"> / </w:t>
            </w:r>
            <w:r>
              <w:t>4.7</w:t>
            </w:r>
          </w:p>
        </w:tc>
      </w:tr>
      <w:tr w:rsidR="00F67273" w14:paraId="64DE4666" w14:textId="77777777" w:rsidTr="00A63074">
        <w:tc>
          <w:tcPr>
            <w:tcW w:w="2122" w:type="dxa"/>
          </w:tcPr>
          <w:p w14:paraId="354BC997" w14:textId="77777777" w:rsidR="00F67273" w:rsidRDefault="00F67273" w:rsidP="005A24A2">
            <w:r>
              <w:t xml:space="preserve">last relative </w:t>
            </w:r>
            <w:r>
              <w:rPr>
                <w:i/>
              </w:rPr>
              <w:t>B</w:t>
            </w:r>
            <w:r>
              <w:t xml:space="preserve"> CMSY</w:t>
            </w:r>
          </w:p>
        </w:tc>
        <w:tc>
          <w:tcPr>
            <w:tcW w:w="2409" w:type="dxa"/>
          </w:tcPr>
          <w:p w14:paraId="378188C3" w14:textId="19C5F326" w:rsidR="00F67273" w:rsidRDefault="005319D8" w:rsidP="005A24A2">
            <w:pPr>
              <w:jc w:val="center"/>
            </w:pPr>
            <w:r>
              <w:t>91 / 71.1</w:t>
            </w:r>
          </w:p>
        </w:tc>
        <w:tc>
          <w:tcPr>
            <w:tcW w:w="1843" w:type="dxa"/>
          </w:tcPr>
          <w:p w14:paraId="7F6871AF" w14:textId="06535F85" w:rsidR="00F67273" w:rsidRDefault="005319D8" w:rsidP="00A63074">
            <w:pPr>
              <w:jc w:val="center"/>
            </w:pPr>
            <w:r>
              <w:t>1</w:t>
            </w:r>
            <w:r w:rsidR="00A63074">
              <w:t>3</w:t>
            </w:r>
            <w:r w:rsidR="00F67273">
              <w:t xml:space="preserve"> / </w:t>
            </w:r>
            <w:r w:rsidR="00A63074">
              <w:t>10.2</w:t>
            </w:r>
          </w:p>
        </w:tc>
      </w:tr>
    </w:tbl>
    <w:p w14:paraId="6E082743" w14:textId="77777777" w:rsidR="00F67273" w:rsidRDefault="00F67273">
      <w:pPr>
        <w:rPr>
          <w:b/>
        </w:rPr>
      </w:pPr>
    </w:p>
    <w:p w14:paraId="63DECAB7" w14:textId="1387C30D" w:rsidR="00F67273" w:rsidRDefault="00F67273">
      <w:bookmarkStart w:id="33" w:name="_Ref406772318"/>
    </w:p>
    <w:bookmarkEnd w:id="33"/>
    <w:p w14:paraId="47DE5C1F" w14:textId="6BC9F891" w:rsidR="00F67273" w:rsidRDefault="00CB0CAF" w:rsidP="00F67273">
      <w:pPr>
        <w:spacing w:after="120" w:line="480" w:lineRule="auto"/>
      </w:pPr>
      <w:r>
        <w:t>Table 7</w:t>
      </w:r>
      <w:r w:rsidR="00F67273">
        <w:t xml:space="preserve">. Comparison of the estimation of reference points with the CMSY method and with </w:t>
      </w:r>
      <w:r w:rsidR="001C1338">
        <w:t>BSM</w:t>
      </w:r>
      <w:r w:rsidR="00BC27BE">
        <w:t>, applied to 128</w:t>
      </w:r>
      <w:r w:rsidR="00F67273">
        <w:t xml:space="preserve"> fully assessed stocks.  [AllStocks_Results</w:t>
      </w:r>
      <w:r w:rsidR="005E3A84">
        <w:t>_6</w:t>
      </w:r>
      <w:r w:rsidR="00F67273">
        <w:t>.xlsx]</w:t>
      </w:r>
    </w:p>
    <w:tbl>
      <w:tblPr>
        <w:tblStyle w:val="Tabellenraster"/>
        <w:tblW w:w="8245" w:type="dxa"/>
        <w:tblLook w:val="04A0" w:firstRow="1" w:lastRow="0" w:firstColumn="1" w:lastColumn="0" w:noHBand="0" w:noVBand="1"/>
      </w:tblPr>
      <w:tblGrid>
        <w:gridCol w:w="4038"/>
        <w:gridCol w:w="1028"/>
        <w:gridCol w:w="1534"/>
        <w:gridCol w:w="1645"/>
      </w:tblGrid>
      <w:tr w:rsidR="00F67273" w:rsidRPr="00F64155" w14:paraId="056D53B6" w14:textId="77777777" w:rsidTr="005A24A2">
        <w:tc>
          <w:tcPr>
            <w:tcW w:w="4038" w:type="dxa"/>
          </w:tcPr>
          <w:p w14:paraId="3880F0F2" w14:textId="77777777" w:rsidR="00F67273" w:rsidRPr="00F64155" w:rsidRDefault="00F67273" w:rsidP="005A24A2">
            <w:pPr>
              <w:rPr>
                <w:b/>
              </w:rPr>
            </w:pPr>
            <w:r w:rsidRPr="00F64155">
              <w:rPr>
                <w:b/>
              </w:rPr>
              <w:t>Ratio</w:t>
            </w:r>
          </w:p>
        </w:tc>
        <w:tc>
          <w:tcPr>
            <w:tcW w:w="1028" w:type="dxa"/>
          </w:tcPr>
          <w:p w14:paraId="45A84C08" w14:textId="77777777" w:rsidR="00F67273" w:rsidRPr="00F64155" w:rsidRDefault="00F67273" w:rsidP="005A24A2">
            <w:pPr>
              <w:rPr>
                <w:b/>
              </w:rPr>
            </w:pPr>
            <w:r w:rsidRPr="00F64155">
              <w:rPr>
                <w:b/>
              </w:rPr>
              <w:t>Median</w:t>
            </w:r>
          </w:p>
        </w:tc>
        <w:tc>
          <w:tcPr>
            <w:tcW w:w="1534" w:type="dxa"/>
          </w:tcPr>
          <w:p w14:paraId="647999C2" w14:textId="77777777" w:rsidR="00F67273" w:rsidRPr="00F64155" w:rsidRDefault="00F67273" w:rsidP="005A24A2">
            <w:pPr>
              <w:rPr>
                <w:b/>
              </w:rPr>
            </w:pPr>
            <w:r w:rsidRPr="00F64155">
              <w:rPr>
                <w:b/>
              </w:rPr>
              <w:t>5</w:t>
            </w:r>
            <w:r w:rsidRPr="00F64155">
              <w:rPr>
                <w:b/>
                <w:vertAlign w:val="superscript"/>
              </w:rPr>
              <w:t>th</w:t>
            </w:r>
            <w:r w:rsidRPr="00F64155">
              <w:rPr>
                <w:b/>
              </w:rPr>
              <w:t xml:space="preserve"> percentile</w:t>
            </w:r>
          </w:p>
        </w:tc>
        <w:tc>
          <w:tcPr>
            <w:tcW w:w="1645" w:type="dxa"/>
          </w:tcPr>
          <w:p w14:paraId="280C92ED" w14:textId="77777777" w:rsidR="00F67273" w:rsidRPr="00F64155" w:rsidRDefault="00F67273" w:rsidP="005A24A2">
            <w:pPr>
              <w:rPr>
                <w:b/>
              </w:rPr>
            </w:pPr>
            <w:r w:rsidRPr="00F64155">
              <w:rPr>
                <w:b/>
              </w:rPr>
              <w:t>95</w:t>
            </w:r>
            <w:r w:rsidRPr="00F64155">
              <w:rPr>
                <w:b/>
                <w:vertAlign w:val="superscript"/>
              </w:rPr>
              <w:t>th</w:t>
            </w:r>
            <w:r w:rsidRPr="00F64155">
              <w:rPr>
                <w:b/>
              </w:rPr>
              <w:t xml:space="preserve"> percentile</w:t>
            </w:r>
          </w:p>
        </w:tc>
      </w:tr>
      <w:tr w:rsidR="00F67273" w14:paraId="753EDD73" w14:textId="77777777" w:rsidTr="005A24A2">
        <w:tc>
          <w:tcPr>
            <w:tcW w:w="4038" w:type="dxa"/>
          </w:tcPr>
          <w:p w14:paraId="4E3116C7" w14:textId="77777777" w:rsidR="00F67273" w:rsidRDefault="00F67273" w:rsidP="005A24A2">
            <w:r w:rsidRPr="00F64155">
              <w:rPr>
                <w:i/>
              </w:rPr>
              <w:t>r</w:t>
            </w:r>
            <w:r>
              <w:t xml:space="preserve"> CMSY / </w:t>
            </w:r>
            <w:r w:rsidRPr="00F64155">
              <w:rPr>
                <w:i/>
              </w:rPr>
              <w:t>r</w:t>
            </w:r>
            <w:r>
              <w:t xml:space="preserve"> BSM</w:t>
            </w:r>
          </w:p>
        </w:tc>
        <w:tc>
          <w:tcPr>
            <w:tcW w:w="1028" w:type="dxa"/>
          </w:tcPr>
          <w:p w14:paraId="4C43A9D5" w14:textId="77777777" w:rsidR="00F67273" w:rsidRDefault="00F67273" w:rsidP="005A24A2">
            <w:pPr>
              <w:jc w:val="center"/>
            </w:pPr>
            <w:r>
              <w:t>0.97</w:t>
            </w:r>
          </w:p>
        </w:tc>
        <w:tc>
          <w:tcPr>
            <w:tcW w:w="1534" w:type="dxa"/>
          </w:tcPr>
          <w:p w14:paraId="5AD72C8A" w14:textId="77777777" w:rsidR="00F67273" w:rsidRDefault="00F67273" w:rsidP="005A24A2">
            <w:pPr>
              <w:jc w:val="center"/>
            </w:pPr>
            <w:r>
              <w:t>0.58</w:t>
            </w:r>
          </w:p>
        </w:tc>
        <w:tc>
          <w:tcPr>
            <w:tcW w:w="1645" w:type="dxa"/>
          </w:tcPr>
          <w:p w14:paraId="0BD49403" w14:textId="7916ABDE" w:rsidR="00F67273" w:rsidRDefault="00F67273" w:rsidP="005E3A84">
            <w:pPr>
              <w:jc w:val="center"/>
            </w:pPr>
            <w:r>
              <w:t>1.</w:t>
            </w:r>
            <w:r w:rsidR="005E3A84">
              <w:t>62</w:t>
            </w:r>
          </w:p>
        </w:tc>
      </w:tr>
      <w:tr w:rsidR="00F67273" w14:paraId="61D02CD1" w14:textId="77777777" w:rsidTr="005A24A2">
        <w:tc>
          <w:tcPr>
            <w:tcW w:w="4038" w:type="dxa"/>
          </w:tcPr>
          <w:p w14:paraId="07C284FC" w14:textId="77777777" w:rsidR="00F67273" w:rsidRDefault="00F67273" w:rsidP="005A24A2">
            <w:r>
              <w:rPr>
                <w:i/>
              </w:rPr>
              <w:t>k</w:t>
            </w:r>
            <w:r>
              <w:t xml:space="preserve"> CMSY / </w:t>
            </w:r>
            <w:r>
              <w:rPr>
                <w:i/>
              </w:rPr>
              <w:t>k</w:t>
            </w:r>
            <w:r>
              <w:t xml:space="preserve"> BSM</w:t>
            </w:r>
          </w:p>
        </w:tc>
        <w:tc>
          <w:tcPr>
            <w:tcW w:w="1028" w:type="dxa"/>
          </w:tcPr>
          <w:p w14:paraId="4C7462EE" w14:textId="1F58FD50" w:rsidR="00F67273" w:rsidRDefault="005E3A84" w:rsidP="005A24A2">
            <w:pPr>
              <w:jc w:val="center"/>
            </w:pPr>
            <w:r>
              <w:t>1.00</w:t>
            </w:r>
          </w:p>
        </w:tc>
        <w:tc>
          <w:tcPr>
            <w:tcW w:w="1534" w:type="dxa"/>
          </w:tcPr>
          <w:p w14:paraId="280424D2" w14:textId="3017BDDA" w:rsidR="00F67273" w:rsidRDefault="005E3A84" w:rsidP="005A24A2">
            <w:pPr>
              <w:jc w:val="center"/>
            </w:pPr>
            <w:r>
              <w:t>0.47</w:t>
            </w:r>
          </w:p>
        </w:tc>
        <w:tc>
          <w:tcPr>
            <w:tcW w:w="1645" w:type="dxa"/>
          </w:tcPr>
          <w:p w14:paraId="42055665" w14:textId="02244180" w:rsidR="00F67273" w:rsidRDefault="005E3A84" w:rsidP="005A24A2">
            <w:pPr>
              <w:jc w:val="center"/>
            </w:pPr>
            <w:r>
              <w:t>2.16</w:t>
            </w:r>
          </w:p>
        </w:tc>
      </w:tr>
      <w:tr w:rsidR="00F67273" w14:paraId="65743108" w14:textId="77777777" w:rsidTr="005A24A2">
        <w:tc>
          <w:tcPr>
            <w:tcW w:w="4038" w:type="dxa"/>
          </w:tcPr>
          <w:p w14:paraId="0A543CC0" w14:textId="77777777" w:rsidR="00F67273" w:rsidRDefault="00F67273" w:rsidP="005A24A2">
            <w:r>
              <w:rPr>
                <w:i/>
              </w:rPr>
              <w:t>MSY</w:t>
            </w:r>
            <w:r>
              <w:t xml:space="preserve"> CMSY / </w:t>
            </w:r>
            <w:r>
              <w:rPr>
                <w:i/>
              </w:rPr>
              <w:t>MSY</w:t>
            </w:r>
            <w:r>
              <w:t xml:space="preserve"> BSM</w:t>
            </w:r>
          </w:p>
        </w:tc>
        <w:tc>
          <w:tcPr>
            <w:tcW w:w="1028" w:type="dxa"/>
          </w:tcPr>
          <w:p w14:paraId="5CAB37AA" w14:textId="30FB7FF1" w:rsidR="00F67273" w:rsidRDefault="005E3A84" w:rsidP="005A24A2">
            <w:pPr>
              <w:jc w:val="center"/>
            </w:pPr>
            <w:r>
              <w:t>1.02</w:t>
            </w:r>
          </w:p>
        </w:tc>
        <w:tc>
          <w:tcPr>
            <w:tcW w:w="1534" w:type="dxa"/>
          </w:tcPr>
          <w:p w14:paraId="2F834B27" w14:textId="2164FB8C" w:rsidR="00F67273" w:rsidRDefault="005E3A84" w:rsidP="005A24A2">
            <w:pPr>
              <w:jc w:val="center"/>
            </w:pPr>
            <w:r>
              <w:t>0.6</w:t>
            </w:r>
            <w:r w:rsidR="00F67273">
              <w:t>5</w:t>
            </w:r>
          </w:p>
        </w:tc>
        <w:tc>
          <w:tcPr>
            <w:tcW w:w="1645" w:type="dxa"/>
          </w:tcPr>
          <w:p w14:paraId="5AE6DB34" w14:textId="5D9CE4BE" w:rsidR="00F67273" w:rsidRDefault="005E3A84" w:rsidP="005A24A2">
            <w:pPr>
              <w:jc w:val="center"/>
            </w:pPr>
            <w:r>
              <w:t>1.</w:t>
            </w:r>
            <w:r w:rsidR="00F67273">
              <w:t>5</w:t>
            </w:r>
            <w:r>
              <w:t>8</w:t>
            </w:r>
          </w:p>
        </w:tc>
      </w:tr>
      <w:tr w:rsidR="00F67273" w14:paraId="15A5C47F" w14:textId="77777777" w:rsidTr="005A24A2">
        <w:tc>
          <w:tcPr>
            <w:tcW w:w="4038" w:type="dxa"/>
          </w:tcPr>
          <w:p w14:paraId="3589E343" w14:textId="555CA5DE" w:rsidR="00F67273" w:rsidRDefault="00F67273" w:rsidP="0045110B">
            <w:r>
              <w:t xml:space="preserve">last </w:t>
            </w:r>
            <w:r w:rsidR="0045110B">
              <w:rPr>
                <w:i/>
              </w:rPr>
              <w:t>B</w:t>
            </w:r>
            <w:r>
              <w:t xml:space="preserve"> CMSY / last observed </w:t>
            </w:r>
            <w:r w:rsidR="0045110B">
              <w:rPr>
                <w:i/>
              </w:rPr>
              <w:t>B</w:t>
            </w:r>
          </w:p>
        </w:tc>
        <w:tc>
          <w:tcPr>
            <w:tcW w:w="1028" w:type="dxa"/>
          </w:tcPr>
          <w:p w14:paraId="05E055A3" w14:textId="1B9452FE" w:rsidR="00F67273" w:rsidRDefault="005E3A84" w:rsidP="005A24A2">
            <w:pPr>
              <w:jc w:val="center"/>
            </w:pPr>
            <w:r>
              <w:t>0.93</w:t>
            </w:r>
          </w:p>
        </w:tc>
        <w:tc>
          <w:tcPr>
            <w:tcW w:w="1534" w:type="dxa"/>
          </w:tcPr>
          <w:p w14:paraId="0A420EF5" w14:textId="5B09763D" w:rsidR="00F67273" w:rsidRDefault="00F67273" w:rsidP="005A24A2">
            <w:pPr>
              <w:jc w:val="center"/>
            </w:pPr>
            <w:r>
              <w:t>0</w:t>
            </w:r>
            <w:r w:rsidR="005E3A84">
              <w:t>.3</w:t>
            </w:r>
            <w:r>
              <w:t>4</w:t>
            </w:r>
          </w:p>
        </w:tc>
        <w:tc>
          <w:tcPr>
            <w:tcW w:w="1645" w:type="dxa"/>
          </w:tcPr>
          <w:p w14:paraId="23447E16" w14:textId="3B03E73A" w:rsidR="00F67273" w:rsidRDefault="005E3A84" w:rsidP="005A24A2">
            <w:pPr>
              <w:jc w:val="center"/>
            </w:pPr>
            <w:r>
              <w:t>2.68</w:t>
            </w:r>
          </w:p>
        </w:tc>
      </w:tr>
      <w:tr w:rsidR="00F67273" w14:paraId="27367F51" w14:textId="77777777" w:rsidTr="005A24A2">
        <w:tc>
          <w:tcPr>
            <w:tcW w:w="4038" w:type="dxa"/>
          </w:tcPr>
          <w:p w14:paraId="136FFFF3" w14:textId="7A673048" w:rsidR="00F67273" w:rsidRDefault="00F67273" w:rsidP="0045110B">
            <w:r>
              <w:t xml:space="preserve">last </w:t>
            </w:r>
            <w:r w:rsidR="0045110B">
              <w:rPr>
                <w:i/>
              </w:rPr>
              <w:t>B</w:t>
            </w:r>
            <w:r>
              <w:rPr>
                <w:i/>
              </w:rPr>
              <w:t>/k</w:t>
            </w:r>
            <w:r>
              <w:t xml:space="preserve"> CMSY / last observed </w:t>
            </w:r>
            <w:r w:rsidR="0045110B">
              <w:rPr>
                <w:i/>
              </w:rPr>
              <w:t>B</w:t>
            </w:r>
            <w:r>
              <w:rPr>
                <w:i/>
              </w:rPr>
              <w:t>/k</w:t>
            </w:r>
          </w:p>
        </w:tc>
        <w:tc>
          <w:tcPr>
            <w:tcW w:w="1028" w:type="dxa"/>
          </w:tcPr>
          <w:p w14:paraId="4ABACF83" w14:textId="2B67190C" w:rsidR="00F67273" w:rsidRDefault="005E3A84" w:rsidP="005A24A2">
            <w:pPr>
              <w:jc w:val="center"/>
            </w:pPr>
            <w:r>
              <w:t>0.92</w:t>
            </w:r>
          </w:p>
        </w:tc>
        <w:tc>
          <w:tcPr>
            <w:tcW w:w="1534" w:type="dxa"/>
          </w:tcPr>
          <w:p w14:paraId="7BB7C44E" w14:textId="0F6A9A09" w:rsidR="00F67273" w:rsidRDefault="005E3A84" w:rsidP="005A24A2">
            <w:pPr>
              <w:jc w:val="center"/>
            </w:pPr>
            <w:r>
              <w:t>0.47</w:t>
            </w:r>
          </w:p>
        </w:tc>
        <w:tc>
          <w:tcPr>
            <w:tcW w:w="1645" w:type="dxa"/>
          </w:tcPr>
          <w:p w14:paraId="53F2DDDE" w14:textId="5F3A5050" w:rsidR="00F67273" w:rsidRDefault="005E3A84" w:rsidP="005A24A2">
            <w:pPr>
              <w:jc w:val="center"/>
            </w:pPr>
            <w:r>
              <w:t>1.53</w:t>
            </w:r>
          </w:p>
        </w:tc>
      </w:tr>
      <w:tr w:rsidR="00F67273" w14:paraId="0FFFF5BD" w14:textId="77777777" w:rsidTr="005A24A2">
        <w:tc>
          <w:tcPr>
            <w:tcW w:w="4038" w:type="dxa"/>
          </w:tcPr>
          <w:p w14:paraId="70BF0EF4" w14:textId="77777777" w:rsidR="00F67273" w:rsidRDefault="00F67273" w:rsidP="005A24A2">
            <w:r>
              <w:t xml:space="preserve">last </w:t>
            </w:r>
            <w:r w:rsidRPr="000459AB">
              <w:rPr>
                <w:i/>
              </w:rPr>
              <w:t>u</w:t>
            </w:r>
            <w:r>
              <w:t xml:space="preserve"> CMSY / last observed </w:t>
            </w:r>
            <w:r w:rsidRPr="000459AB">
              <w:rPr>
                <w:i/>
              </w:rPr>
              <w:t>u</w:t>
            </w:r>
          </w:p>
        </w:tc>
        <w:tc>
          <w:tcPr>
            <w:tcW w:w="1028" w:type="dxa"/>
          </w:tcPr>
          <w:p w14:paraId="6CADA03F" w14:textId="2CCE2C8C" w:rsidR="00F67273" w:rsidRDefault="005E3A84" w:rsidP="005A24A2">
            <w:pPr>
              <w:jc w:val="center"/>
            </w:pPr>
            <w:r>
              <w:t>1.08</w:t>
            </w:r>
          </w:p>
        </w:tc>
        <w:tc>
          <w:tcPr>
            <w:tcW w:w="1534" w:type="dxa"/>
          </w:tcPr>
          <w:p w14:paraId="5BE98998" w14:textId="500D99FC" w:rsidR="00F67273" w:rsidRDefault="005E3A84" w:rsidP="005A24A2">
            <w:pPr>
              <w:jc w:val="center"/>
            </w:pPr>
            <w:r>
              <w:t>0.37</w:t>
            </w:r>
          </w:p>
        </w:tc>
        <w:tc>
          <w:tcPr>
            <w:tcW w:w="1645" w:type="dxa"/>
          </w:tcPr>
          <w:p w14:paraId="29507E09" w14:textId="4A781D6A" w:rsidR="00F67273" w:rsidRDefault="005E3A84" w:rsidP="005A24A2">
            <w:pPr>
              <w:jc w:val="center"/>
            </w:pPr>
            <w:r>
              <w:t>2.91</w:t>
            </w:r>
          </w:p>
        </w:tc>
      </w:tr>
      <w:tr w:rsidR="00F67273" w14:paraId="5B546123" w14:textId="77777777" w:rsidTr="005A24A2">
        <w:tc>
          <w:tcPr>
            <w:tcW w:w="4038" w:type="dxa"/>
          </w:tcPr>
          <w:p w14:paraId="69831EA9" w14:textId="77777777" w:rsidR="00F67273" w:rsidRDefault="00F67273" w:rsidP="005A24A2">
            <w:r>
              <w:t xml:space="preserve">last </w:t>
            </w:r>
            <w:r w:rsidRPr="004E255A">
              <w:rPr>
                <w:i/>
              </w:rPr>
              <w:t>u/umsy</w:t>
            </w:r>
            <w:r>
              <w:t xml:space="preserve"> CMSY / last observed </w:t>
            </w:r>
            <w:r w:rsidRPr="004E255A">
              <w:rPr>
                <w:i/>
              </w:rPr>
              <w:t>u/umsy</w:t>
            </w:r>
          </w:p>
        </w:tc>
        <w:tc>
          <w:tcPr>
            <w:tcW w:w="1028" w:type="dxa"/>
          </w:tcPr>
          <w:p w14:paraId="663C32C7" w14:textId="034296C9" w:rsidR="00F67273" w:rsidRDefault="005E3A84" w:rsidP="005A24A2">
            <w:pPr>
              <w:jc w:val="center"/>
            </w:pPr>
            <w:r>
              <w:t>1.06</w:t>
            </w:r>
          </w:p>
        </w:tc>
        <w:tc>
          <w:tcPr>
            <w:tcW w:w="1534" w:type="dxa"/>
          </w:tcPr>
          <w:p w14:paraId="2E74E006" w14:textId="76FF8863" w:rsidR="00F67273" w:rsidRDefault="005E3A84" w:rsidP="005A24A2">
            <w:pPr>
              <w:jc w:val="center"/>
            </w:pPr>
            <w:r>
              <w:t>0.48</w:t>
            </w:r>
          </w:p>
        </w:tc>
        <w:tc>
          <w:tcPr>
            <w:tcW w:w="1645" w:type="dxa"/>
          </w:tcPr>
          <w:p w14:paraId="54C316F4" w14:textId="207836B1" w:rsidR="00F67273" w:rsidRDefault="005E3A84" w:rsidP="005A24A2">
            <w:pPr>
              <w:keepNext/>
              <w:jc w:val="center"/>
            </w:pPr>
            <w:r>
              <w:t>2.45</w:t>
            </w:r>
          </w:p>
        </w:tc>
      </w:tr>
    </w:tbl>
    <w:p w14:paraId="2C7AE28D" w14:textId="010F6F57" w:rsidR="00F67273" w:rsidRDefault="00F67273" w:rsidP="00F67273">
      <w:pPr>
        <w:jc w:val="both"/>
        <w:rPr>
          <w:b/>
        </w:rPr>
      </w:pPr>
    </w:p>
    <w:p w14:paraId="7545BD48" w14:textId="77777777" w:rsidR="00F67273" w:rsidRDefault="00F67273" w:rsidP="00F67273">
      <w:pPr>
        <w:jc w:val="both"/>
        <w:rPr>
          <w:b/>
        </w:rPr>
      </w:pPr>
    </w:p>
    <w:p w14:paraId="4D223BE1" w14:textId="2402D64B" w:rsidR="00F67273" w:rsidRDefault="00F67273">
      <w:pPr>
        <w:rPr>
          <w:b/>
        </w:rPr>
      </w:pPr>
    </w:p>
    <w:p w14:paraId="1732BBA9" w14:textId="77777777" w:rsidR="00BF671E" w:rsidRDefault="00BF671E">
      <w:r>
        <w:br w:type="page"/>
      </w:r>
    </w:p>
    <w:p w14:paraId="7D7D0320" w14:textId="1C6E5590" w:rsidR="00F67273" w:rsidRDefault="00CB0CAF" w:rsidP="00F67273">
      <w:pPr>
        <w:spacing w:line="480" w:lineRule="auto"/>
      </w:pPr>
      <w:r>
        <w:lastRenderedPageBreak/>
        <w:t>Table 8</w:t>
      </w:r>
      <w:r w:rsidR="00F67273">
        <w:t xml:space="preserve">. Numbers and percentages of </w:t>
      </w:r>
      <w:r w:rsidR="00902574">
        <w:t>24</w:t>
      </w:r>
      <w:r w:rsidR="00F67273">
        <w:t xml:space="preserve"> stocks</w:t>
      </w:r>
      <w:r w:rsidR="00902574">
        <w:t xml:space="preserve"> with simulated catch and </w:t>
      </w:r>
      <w:r w:rsidR="00B112A5">
        <w:t xml:space="preserve">CPUE </w:t>
      </w:r>
      <w:r w:rsidR="00902574">
        <w:t>data,</w:t>
      </w:r>
      <w:r w:rsidR="00F67273">
        <w:t xml:space="preserve"> where the 95% confidence limits of </w:t>
      </w:r>
      <w:r w:rsidR="001C1338">
        <w:t>BSM</w:t>
      </w:r>
      <w:r w:rsidR="00F67273">
        <w:t xml:space="preserve"> or CMSY include the </w:t>
      </w:r>
      <w:r w:rsidR="001C1338">
        <w:t>“</w:t>
      </w:r>
      <w:r w:rsidR="00F67273">
        <w:t>true</w:t>
      </w:r>
      <w:r w:rsidR="001C1338">
        <w:t>”</w:t>
      </w:r>
      <w:r w:rsidR="00F67273">
        <w:t xml:space="preserve"> value. The acronyms of the stocks where the confidence limits of the respective parameters do not include the </w:t>
      </w:r>
      <w:r w:rsidR="001C1338">
        <w:t>“</w:t>
      </w:r>
      <w:r w:rsidR="00F67273">
        <w:t>true</w:t>
      </w:r>
      <w:r w:rsidR="001C1338">
        <w:t>”</w:t>
      </w:r>
      <w:r w:rsidR="00F67273">
        <w:t xml:space="preserve"> value are given in the column “Missed stocks”</w:t>
      </w:r>
      <w:r w:rsidR="00D17A5D">
        <w:t xml:space="preserve"> (see Appendix III in online Supplement)</w:t>
      </w:r>
      <w:r w:rsidR="00F67273">
        <w:t>. [SimCatchCPUE_Results</w:t>
      </w:r>
      <w:r w:rsidR="00944634">
        <w:t>_6</w:t>
      </w:r>
      <w:r w:rsidR="00F67273">
        <w:t>.xlsx]</w:t>
      </w:r>
    </w:p>
    <w:p w14:paraId="4B955412" w14:textId="77777777" w:rsidR="00F67273" w:rsidRDefault="00F67273" w:rsidP="00F67273"/>
    <w:tbl>
      <w:tblPr>
        <w:tblStyle w:val="Tabellenraster"/>
        <w:tblW w:w="0" w:type="auto"/>
        <w:tblLook w:val="04A0" w:firstRow="1" w:lastRow="0" w:firstColumn="1" w:lastColumn="0" w:noHBand="0" w:noVBand="1"/>
      </w:tblPr>
      <w:tblGrid>
        <w:gridCol w:w="1550"/>
        <w:gridCol w:w="2303"/>
        <w:gridCol w:w="1029"/>
        <w:gridCol w:w="4440"/>
      </w:tblGrid>
      <w:tr w:rsidR="00F67273" w:rsidRPr="00796BA8" w14:paraId="79B1C838" w14:textId="77777777" w:rsidTr="00944634">
        <w:tc>
          <w:tcPr>
            <w:tcW w:w="1550" w:type="dxa"/>
          </w:tcPr>
          <w:p w14:paraId="3FEDD989" w14:textId="77777777" w:rsidR="00F67273" w:rsidRPr="00796BA8" w:rsidRDefault="00F67273" w:rsidP="005A24A2">
            <w:pPr>
              <w:rPr>
                <w:b/>
              </w:rPr>
            </w:pPr>
            <w:r w:rsidRPr="00796BA8">
              <w:rPr>
                <w:b/>
              </w:rPr>
              <w:t>Parameter</w:t>
            </w:r>
          </w:p>
        </w:tc>
        <w:tc>
          <w:tcPr>
            <w:tcW w:w="2303" w:type="dxa"/>
          </w:tcPr>
          <w:p w14:paraId="22BF40CD" w14:textId="77777777" w:rsidR="00F67273" w:rsidRPr="00796BA8" w:rsidRDefault="00F67273" w:rsidP="005A24A2">
            <w:pPr>
              <w:rPr>
                <w:b/>
              </w:rPr>
            </w:pPr>
            <w:r>
              <w:rPr>
                <w:b/>
              </w:rPr>
              <w:t>T</w:t>
            </w:r>
            <w:r w:rsidRPr="00796BA8">
              <w:rPr>
                <w:b/>
              </w:rPr>
              <w:t>rue value included in 95% confidence limits</w:t>
            </w:r>
          </w:p>
        </w:tc>
        <w:tc>
          <w:tcPr>
            <w:tcW w:w="1029" w:type="dxa"/>
          </w:tcPr>
          <w:p w14:paraId="1E25BEC2" w14:textId="77777777" w:rsidR="00F67273" w:rsidRPr="00796BA8" w:rsidRDefault="00F67273" w:rsidP="005A24A2">
            <w:pPr>
              <w:rPr>
                <w:b/>
              </w:rPr>
            </w:pPr>
            <w:r w:rsidRPr="00796BA8">
              <w:rPr>
                <w:b/>
              </w:rPr>
              <w:t>Percent</w:t>
            </w:r>
          </w:p>
        </w:tc>
        <w:tc>
          <w:tcPr>
            <w:tcW w:w="4440" w:type="dxa"/>
          </w:tcPr>
          <w:p w14:paraId="2913DA7D" w14:textId="77777777" w:rsidR="00F67273" w:rsidRPr="00796BA8" w:rsidRDefault="00F67273" w:rsidP="005A24A2">
            <w:pPr>
              <w:rPr>
                <w:b/>
              </w:rPr>
            </w:pPr>
            <w:r>
              <w:rPr>
                <w:b/>
              </w:rPr>
              <w:t>Missed stocks</w:t>
            </w:r>
          </w:p>
        </w:tc>
      </w:tr>
      <w:tr w:rsidR="00F67273" w14:paraId="73422150" w14:textId="77777777" w:rsidTr="00944634">
        <w:tc>
          <w:tcPr>
            <w:tcW w:w="1550" w:type="dxa"/>
          </w:tcPr>
          <w:p w14:paraId="345B123E" w14:textId="77777777" w:rsidR="00F67273" w:rsidRPr="00DD6D7B" w:rsidRDefault="00F67273" w:rsidP="005A24A2">
            <w:pPr>
              <w:rPr>
                <w:i/>
              </w:rPr>
            </w:pPr>
            <w:r w:rsidRPr="00D34D21">
              <w:t xml:space="preserve">prior for </w:t>
            </w:r>
            <w:r>
              <w:rPr>
                <w:i/>
              </w:rPr>
              <w:t>q</w:t>
            </w:r>
          </w:p>
        </w:tc>
        <w:tc>
          <w:tcPr>
            <w:tcW w:w="2303" w:type="dxa"/>
          </w:tcPr>
          <w:p w14:paraId="24D79EC8" w14:textId="1697A413" w:rsidR="00F67273" w:rsidRDefault="00944634" w:rsidP="005A24A2">
            <w:pPr>
              <w:jc w:val="center"/>
            </w:pPr>
            <w:r>
              <w:t>19</w:t>
            </w:r>
          </w:p>
        </w:tc>
        <w:tc>
          <w:tcPr>
            <w:tcW w:w="1029" w:type="dxa"/>
          </w:tcPr>
          <w:p w14:paraId="7EF3125A" w14:textId="7374BAC5" w:rsidR="00F67273" w:rsidRDefault="00944634" w:rsidP="005A24A2">
            <w:pPr>
              <w:jc w:val="center"/>
            </w:pPr>
            <w:r>
              <w:t>79.2</w:t>
            </w:r>
          </w:p>
        </w:tc>
        <w:tc>
          <w:tcPr>
            <w:tcW w:w="4440" w:type="dxa"/>
          </w:tcPr>
          <w:p w14:paraId="4E1413A3" w14:textId="5085FD3E" w:rsidR="00F67273" w:rsidRDefault="00944634" w:rsidP="005A24A2">
            <w:pPr>
              <w:jc w:val="center"/>
            </w:pPr>
            <w:r>
              <w:t>HH_M, HLH_M, HLH_VL, LH_H, LH_VL</w:t>
            </w:r>
          </w:p>
        </w:tc>
      </w:tr>
      <w:tr w:rsidR="00F67273" w14:paraId="730E71DE" w14:textId="77777777" w:rsidTr="00944634">
        <w:tc>
          <w:tcPr>
            <w:tcW w:w="1550" w:type="dxa"/>
          </w:tcPr>
          <w:p w14:paraId="4B04F6BE" w14:textId="77777777" w:rsidR="00F67273" w:rsidRPr="00DD6D7B" w:rsidRDefault="00F67273" w:rsidP="005A24A2">
            <w:pPr>
              <w:rPr>
                <w:i/>
              </w:rPr>
            </w:pPr>
            <w:r>
              <w:rPr>
                <w:i/>
              </w:rPr>
              <w:t>q</w:t>
            </w:r>
            <w:r w:rsidRPr="00D34D21">
              <w:t xml:space="preserve"> </w:t>
            </w:r>
            <w:r>
              <w:t>BSM</w:t>
            </w:r>
          </w:p>
        </w:tc>
        <w:tc>
          <w:tcPr>
            <w:tcW w:w="2303" w:type="dxa"/>
          </w:tcPr>
          <w:p w14:paraId="187ABA75" w14:textId="74B1D1EB" w:rsidR="00F67273" w:rsidRDefault="00944634" w:rsidP="005A24A2">
            <w:pPr>
              <w:jc w:val="center"/>
            </w:pPr>
            <w:r>
              <w:t>8</w:t>
            </w:r>
          </w:p>
        </w:tc>
        <w:tc>
          <w:tcPr>
            <w:tcW w:w="1029" w:type="dxa"/>
          </w:tcPr>
          <w:p w14:paraId="374FCF67" w14:textId="47F2BD23" w:rsidR="00F67273" w:rsidRDefault="00944634" w:rsidP="005A24A2">
            <w:pPr>
              <w:jc w:val="center"/>
            </w:pPr>
            <w:r>
              <w:t>33.3</w:t>
            </w:r>
          </w:p>
        </w:tc>
        <w:tc>
          <w:tcPr>
            <w:tcW w:w="4440" w:type="dxa"/>
          </w:tcPr>
          <w:p w14:paraId="0BD48567" w14:textId="0B652C85" w:rsidR="00F67273" w:rsidRDefault="00944634" w:rsidP="005A24A2">
            <w:pPr>
              <w:jc w:val="center"/>
            </w:pPr>
            <w:r>
              <w:t>many</w:t>
            </w:r>
          </w:p>
        </w:tc>
      </w:tr>
      <w:tr w:rsidR="00F67273" w14:paraId="4A02ADBD" w14:textId="77777777" w:rsidTr="00944634">
        <w:tc>
          <w:tcPr>
            <w:tcW w:w="1550" w:type="dxa"/>
          </w:tcPr>
          <w:p w14:paraId="0C334D5C" w14:textId="77777777" w:rsidR="00F67273" w:rsidRDefault="00F67273" w:rsidP="005A24A2">
            <w:r w:rsidRPr="00DD6D7B">
              <w:rPr>
                <w:i/>
              </w:rPr>
              <w:t>r</w:t>
            </w:r>
            <w:r>
              <w:t xml:space="preserve"> CMSY</w:t>
            </w:r>
          </w:p>
        </w:tc>
        <w:tc>
          <w:tcPr>
            <w:tcW w:w="2303" w:type="dxa"/>
          </w:tcPr>
          <w:p w14:paraId="272B71B4" w14:textId="738C712A" w:rsidR="00F67273" w:rsidRDefault="00944634" w:rsidP="005A24A2">
            <w:pPr>
              <w:jc w:val="center"/>
            </w:pPr>
            <w:r>
              <w:t>18</w:t>
            </w:r>
          </w:p>
        </w:tc>
        <w:tc>
          <w:tcPr>
            <w:tcW w:w="1029" w:type="dxa"/>
          </w:tcPr>
          <w:p w14:paraId="48B5D178" w14:textId="7F088922" w:rsidR="00F67273" w:rsidRDefault="00944634" w:rsidP="005A24A2">
            <w:pPr>
              <w:jc w:val="center"/>
            </w:pPr>
            <w:r>
              <w:t>75.0</w:t>
            </w:r>
          </w:p>
        </w:tc>
        <w:tc>
          <w:tcPr>
            <w:tcW w:w="4440" w:type="dxa"/>
          </w:tcPr>
          <w:p w14:paraId="0231C296" w14:textId="1C3007B0" w:rsidR="00F67273" w:rsidRDefault="00944634" w:rsidP="005A24A2">
            <w:pPr>
              <w:jc w:val="center"/>
            </w:pPr>
            <w:r>
              <w:t>HH_M, HLH_M, LH_H, LH_VL, LHL_M, LHL_VL</w:t>
            </w:r>
          </w:p>
        </w:tc>
      </w:tr>
      <w:tr w:rsidR="00F67273" w14:paraId="3301E3B8" w14:textId="77777777" w:rsidTr="00944634">
        <w:tc>
          <w:tcPr>
            <w:tcW w:w="1550" w:type="dxa"/>
          </w:tcPr>
          <w:p w14:paraId="63CFFCCF" w14:textId="77777777" w:rsidR="00F67273" w:rsidRDefault="00F67273" w:rsidP="005A24A2">
            <w:r w:rsidRPr="00DD6D7B">
              <w:rPr>
                <w:i/>
              </w:rPr>
              <w:t>r</w:t>
            </w:r>
            <w:r>
              <w:t xml:space="preserve"> BSM</w:t>
            </w:r>
          </w:p>
        </w:tc>
        <w:tc>
          <w:tcPr>
            <w:tcW w:w="2303" w:type="dxa"/>
          </w:tcPr>
          <w:p w14:paraId="3D22772D" w14:textId="2DD5755D" w:rsidR="00F67273" w:rsidRDefault="00944634" w:rsidP="005A24A2">
            <w:pPr>
              <w:jc w:val="center"/>
            </w:pPr>
            <w:r>
              <w:t>12</w:t>
            </w:r>
          </w:p>
        </w:tc>
        <w:tc>
          <w:tcPr>
            <w:tcW w:w="1029" w:type="dxa"/>
          </w:tcPr>
          <w:p w14:paraId="6E42DB5A" w14:textId="506451F3" w:rsidR="00F67273" w:rsidRDefault="00944634" w:rsidP="005A24A2">
            <w:pPr>
              <w:jc w:val="center"/>
            </w:pPr>
            <w:r>
              <w:t>50.0</w:t>
            </w:r>
          </w:p>
        </w:tc>
        <w:tc>
          <w:tcPr>
            <w:tcW w:w="4440" w:type="dxa"/>
          </w:tcPr>
          <w:p w14:paraId="15E5FC04" w14:textId="576A0CDA" w:rsidR="00F67273" w:rsidRDefault="00944634" w:rsidP="005A24A2">
            <w:pPr>
              <w:jc w:val="center"/>
            </w:pPr>
            <w:r>
              <w:t>many</w:t>
            </w:r>
          </w:p>
        </w:tc>
      </w:tr>
      <w:tr w:rsidR="00F67273" w14:paraId="0AAA33DF" w14:textId="77777777" w:rsidTr="00944634">
        <w:tc>
          <w:tcPr>
            <w:tcW w:w="1550" w:type="dxa"/>
          </w:tcPr>
          <w:p w14:paraId="6A89E182" w14:textId="77777777" w:rsidR="00F67273" w:rsidRDefault="00F67273" w:rsidP="005A24A2">
            <w:r w:rsidRPr="00DD6D7B">
              <w:rPr>
                <w:i/>
              </w:rPr>
              <w:t>k</w:t>
            </w:r>
            <w:r>
              <w:t xml:space="preserve"> CMSY</w:t>
            </w:r>
          </w:p>
        </w:tc>
        <w:tc>
          <w:tcPr>
            <w:tcW w:w="2303" w:type="dxa"/>
          </w:tcPr>
          <w:p w14:paraId="469D25FF" w14:textId="13C1E529" w:rsidR="00F67273" w:rsidRDefault="00F67273" w:rsidP="00944634">
            <w:pPr>
              <w:jc w:val="center"/>
            </w:pPr>
            <w:r>
              <w:t>2</w:t>
            </w:r>
            <w:r w:rsidR="00944634">
              <w:t>0</w:t>
            </w:r>
          </w:p>
        </w:tc>
        <w:tc>
          <w:tcPr>
            <w:tcW w:w="1029" w:type="dxa"/>
          </w:tcPr>
          <w:p w14:paraId="15C78573" w14:textId="55947D8D" w:rsidR="00F67273" w:rsidRDefault="00944634" w:rsidP="005A24A2">
            <w:pPr>
              <w:jc w:val="center"/>
            </w:pPr>
            <w:r>
              <w:t>83.3</w:t>
            </w:r>
          </w:p>
        </w:tc>
        <w:tc>
          <w:tcPr>
            <w:tcW w:w="4440" w:type="dxa"/>
          </w:tcPr>
          <w:p w14:paraId="22575024" w14:textId="39AFF2B0" w:rsidR="00F67273" w:rsidRDefault="00944634" w:rsidP="005A24A2">
            <w:pPr>
              <w:jc w:val="center"/>
            </w:pPr>
            <w:r>
              <w:t>HLH_M, LH_H, LH_VL, LHL_M</w:t>
            </w:r>
          </w:p>
        </w:tc>
      </w:tr>
      <w:tr w:rsidR="00F67273" w14:paraId="05813F58" w14:textId="77777777" w:rsidTr="00944634">
        <w:tc>
          <w:tcPr>
            <w:tcW w:w="1550" w:type="dxa"/>
          </w:tcPr>
          <w:p w14:paraId="3E94ADBB" w14:textId="77777777" w:rsidR="00F67273" w:rsidRDefault="00F67273" w:rsidP="005A24A2">
            <w:r w:rsidRPr="00DD6D7B">
              <w:rPr>
                <w:i/>
              </w:rPr>
              <w:t>k</w:t>
            </w:r>
            <w:r>
              <w:t xml:space="preserve"> BSM</w:t>
            </w:r>
          </w:p>
        </w:tc>
        <w:tc>
          <w:tcPr>
            <w:tcW w:w="2303" w:type="dxa"/>
          </w:tcPr>
          <w:p w14:paraId="68D9AFDB" w14:textId="7C5D2EED" w:rsidR="00F67273" w:rsidRDefault="00944634" w:rsidP="005A24A2">
            <w:pPr>
              <w:jc w:val="center"/>
            </w:pPr>
            <w:r>
              <w:t>13</w:t>
            </w:r>
          </w:p>
        </w:tc>
        <w:tc>
          <w:tcPr>
            <w:tcW w:w="1029" w:type="dxa"/>
          </w:tcPr>
          <w:p w14:paraId="023C44FF" w14:textId="2031F9A7" w:rsidR="00F67273" w:rsidRDefault="00944634" w:rsidP="005A24A2">
            <w:pPr>
              <w:jc w:val="center"/>
            </w:pPr>
            <w:r>
              <w:t>54.2</w:t>
            </w:r>
          </w:p>
        </w:tc>
        <w:tc>
          <w:tcPr>
            <w:tcW w:w="4440" w:type="dxa"/>
          </w:tcPr>
          <w:p w14:paraId="5D2F9558" w14:textId="72986D2C" w:rsidR="00944634" w:rsidRDefault="00944634" w:rsidP="00944634">
            <w:pPr>
              <w:jc w:val="center"/>
            </w:pPr>
            <w:r>
              <w:t>many</w:t>
            </w:r>
          </w:p>
        </w:tc>
      </w:tr>
      <w:tr w:rsidR="00F67273" w14:paraId="69687D49" w14:textId="77777777" w:rsidTr="00944634">
        <w:tc>
          <w:tcPr>
            <w:tcW w:w="1550" w:type="dxa"/>
          </w:tcPr>
          <w:p w14:paraId="4A67CC70" w14:textId="52B4784C" w:rsidR="00F67273" w:rsidRDefault="00F67273" w:rsidP="005A24A2">
            <w:r w:rsidRPr="00DD6D7B">
              <w:rPr>
                <w:i/>
              </w:rPr>
              <w:t>MSY</w:t>
            </w:r>
            <w:r>
              <w:t xml:space="preserve"> CMSY</w:t>
            </w:r>
          </w:p>
        </w:tc>
        <w:tc>
          <w:tcPr>
            <w:tcW w:w="2303" w:type="dxa"/>
          </w:tcPr>
          <w:p w14:paraId="0B1ACABE" w14:textId="6AF3BDCB" w:rsidR="00F67273" w:rsidRDefault="00944634" w:rsidP="005A24A2">
            <w:pPr>
              <w:jc w:val="center"/>
            </w:pPr>
            <w:r>
              <w:t>23</w:t>
            </w:r>
          </w:p>
        </w:tc>
        <w:tc>
          <w:tcPr>
            <w:tcW w:w="1029" w:type="dxa"/>
          </w:tcPr>
          <w:p w14:paraId="1DE09DA3" w14:textId="358805B4" w:rsidR="00F67273" w:rsidRDefault="00944634" w:rsidP="005A24A2">
            <w:pPr>
              <w:jc w:val="center"/>
            </w:pPr>
            <w:r>
              <w:t>95.8</w:t>
            </w:r>
          </w:p>
        </w:tc>
        <w:tc>
          <w:tcPr>
            <w:tcW w:w="4440" w:type="dxa"/>
          </w:tcPr>
          <w:p w14:paraId="4D0C3C0C" w14:textId="3927E280" w:rsidR="00F67273" w:rsidRDefault="00944634" w:rsidP="005A24A2">
            <w:pPr>
              <w:jc w:val="center"/>
            </w:pPr>
            <w:r>
              <w:t>LL_M</w:t>
            </w:r>
          </w:p>
        </w:tc>
      </w:tr>
      <w:tr w:rsidR="00F67273" w14:paraId="13B3D060" w14:textId="77777777" w:rsidTr="00944634">
        <w:tc>
          <w:tcPr>
            <w:tcW w:w="1550" w:type="dxa"/>
          </w:tcPr>
          <w:p w14:paraId="689B4D0F" w14:textId="77777777" w:rsidR="00F67273" w:rsidRDefault="00F67273" w:rsidP="005A24A2">
            <w:r w:rsidRPr="00DD6D7B">
              <w:rPr>
                <w:i/>
              </w:rPr>
              <w:t>MSY</w:t>
            </w:r>
            <w:r>
              <w:t xml:space="preserve"> BSM</w:t>
            </w:r>
          </w:p>
        </w:tc>
        <w:tc>
          <w:tcPr>
            <w:tcW w:w="2303" w:type="dxa"/>
          </w:tcPr>
          <w:p w14:paraId="28E815BD" w14:textId="760A4AC2" w:rsidR="00F67273" w:rsidRDefault="00944634" w:rsidP="005A24A2">
            <w:pPr>
              <w:jc w:val="center"/>
            </w:pPr>
            <w:r>
              <w:t>21</w:t>
            </w:r>
          </w:p>
        </w:tc>
        <w:tc>
          <w:tcPr>
            <w:tcW w:w="1029" w:type="dxa"/>
          </w:tcPr>
          <w:p w14:paraId="6A96AC9A" w14:textId="51B89DBC" w:rsidR="00F67273" w:rsidRDefault="00944634" w:rsidP="005A24A2">
            <w:pPr>
              <w:jc w:val="center"/>
            </w:pPr>
            <w:r>
              <w:t>87.5</w:t>
            </w:r>
          </w:p>
        </w:tc>
        <w:tc>
          <w:tcPr>
            <w:tcW w:w="4440" w:type="dxa"/>
          </w:tcPr>
          <w:p w14:paraId="316891F2" w14:textId="1FF4611E" w:rsidR="00F67273" w:rsidRDefault="00944634" w:rsidP="005A24A2">
            <w:pPr>
              <w:keepNext/>
              <w:jc w:val="center"/>
            </w:pPr>
            <w:r>
              <w:t>HLH_VL, LH_VL, LL_L</w:t>
            </w:r>
          </w:p>
        </w:tc>
      </w:tr>
      <w:tr w:rsidR="00F67273" w14:paraId="29D7FFAA" w14:textId="77777777" w:rsidTr="00944634">
        <w:tc>
          <w:tcPr>
            <w:tcW w:w="1550" w:type="dxa"/>
          </w:tcPr>
          <w:p w14:paraId="744DB615" w14:textId="77777777" w:rsidR="00F67273" w:rsidRPr="00DD6D7B" w:rsidRDefault="00F67273" w:rsidP="005A24A2">
            <w:pPr>
              <w:rPr>
                <w:i/>
              </w:rPr>
            </w:pPr>
            <w:r w:rsidRPr="00D34D21">
              <w:t xml:space="preserve">last </w:t>
            </w:r>
            <w:r>
              <w:rPr>
                <w:i/>
              </w:rPr>
              <w:t>B</w:t>
            </w:r>
            <w:r w:rsidRPr="00D34D21">
              <w:t xml:space="preserve"> CMSY</w:t>
            </w:r>
          </w:p>
        </w:tc>
        <w:tc>
          <w:tcPr>
            <w:tcW w:w="2303" w:type="dxa"/>
          </w:tcPr>
          <w:p w14:paraId="644F4135" w14:textId="04F6679B" w:rsidR="00F67273" w:rsidRDefault="00944634" w:rsidP="005A24A2">
            <w:pPr>
              <w:jc w:val="center"/>
            </w:pPr>
            <w:r>
              <w:t>16</w:t>
            </w:r>
          </w:p>
        </w:tc>
        <w:tc>
          <w:tcPr>
            <w:tcW w:w="1029" w:type="dxa"/>
          </w:tcPr>
          <w:p w14:paraId="4F857894" w14:textId="2D010E4D" w:rsidR="00F67273" w:rsidRDefault="00D26E57" w:rsidP="005A24A2">
            <w:pPr>
              <w:jc w:val="center"/>
            </w:pPr>
            <w:r>
              <w:t>66.7</w:t>
            </w:r>
          </w:p>
        </w:tc>
        <w:tc>
          <w:tcPr>
            <w:tcW w:w="4440" w:type="dxa"/>
          </w:tcPr>
          <w:p w14:paraId="4E6F95F0" w14:textId="7C0C4F97" w:rsidR="00F67273" w:rsidRDefault="00D26E57" w:rsidP="005A24A2">
            <w:pPr>
              <w:keepNext/>
              <w:jc w:val="center"/>
            </w:pPr>
            <w:r>
              <w:t>many</w:t>
            </w:r>
          </w:p>
        </w:tc>
      </w:tr>
      <w:tr w:rsidR="00F67273" w14:paraId="7079BA74" w14:textId="77777777" w:rsidTr="00944634">
        <w:tc>
          <w:tcPr>
            <w:tcW w:w="1550" w:type="dxa"/>
          </w:tcPr>
          <w:p w14:paraId="5E77F0AD" w14:textId="77777777" w:rsidR="00F67273" w:rsidRPr="00DD6D7B" w:rsidRDefault="00F67273" w:rsidP="005A24A2">
            <w:pPr>
              <w:rPr>
                <w:i/>
              </w:rPr>
            </w:pPr>
            <w:r w:rsidRPr="00D34D21">
              <w:t xml:space="preserve">last </w:t>
            </w:r>
            <w:r>
              <w:rPr>
                <w:i/>
              </w:rPr>
              <w:t>B/k</w:t>
            </w:r>
            <w:r w:rsidRPr="00D34D21">
              <w:t xml:space="preserve"> CMSY</w:t>
            </w:r>
          </w:p>
        </w:tc>
        <w:tc>
          <w:tcPr>
            <w:tcW w:w="2303" w:type="dxa"/>
          </w:tcPr>
          <w:p w14:paraId="3A590779" w14:textId="3EEE4CAE" w:rsidR="00F67273" w:rsidRDefault="00D26E57" w:rsidP="005A24A2">
            <w:pPr>
              <w:jc w:val="center"/>
            </w:pPr>
            <w:r>
              <w:t>22</w:t>
            </w:r>
          </w:p>
        </w:tc>
        <w:tc>
          <w:tcPr>
            <w:tcW w:w="1029" w:type="dxa"/>
          </w:tcPr>
          <w:p w14:paraId="048072A5" w14:textId="29A6B0BC" w:rsidR="00F67273" w:rsidRDefault="00D26E57" w:rsidP="005A24A2">
            <w:pPr>
              <w:jc w:val="center"/>
            </w:pPr>
            <w:r>
              <w:t>91.7</w:t>
            </w:r>
          </w:p>
        </w:tc>
        <w:tc>
          <w:tcPr>
            <w:tcW w:w="4440" w:type="dxa"/>
          </w:tcPr>
          <w:p w14:paraId="4EBAD492" w14:textId="2A563A3D" w:rsidR="00F67273" w:rsidRDefault="00D26E57" w:rsidP="005A24A2">
            <w:pPr>
              <w:keepNext/>
              <w:jc w:val="center"/>
            </w:pPr>
            <w:r>
              <w:t>HL_M, LHL_M</w:t>
            </w:r>
          </w:p>
        </w:tc>
      </w:tr>
    </w:tbl>
    <w:p w14:paraId="29F0BC79" w14:textId="17C2B0DC" w:rsidR="00F67273" w:rsidRDefault="00F67273" w:rsidP="00F67273">
      <w:pPr>
        <w:jc w:val="both"/>
        <w:rPr>
          <w:b/>
        </w:rPr>
      </w:pPr>
    </w:p>
    <w:p w14:paraId="4D20BE94" w14:textId="77777777" w:rsidR="00D4481F" w:rsidRDefault="00D4481F" w:rsidP="00F67273">
      <w:pPr>
        <w:spacing w:after="120" w:line="480" w:lineRule="auto"/>
      </w:pPr>
      <w:bookmarkStart w:id="34" w:name="_Ref406772370"/>
    </w:p>
    <w:bookmarkEnd w:id="34"/>
    <w:p w14:paraId="30BE1D0C" w14:textId="4FD548EF" w:rsidR="00F67273" w:rsidRDefault="00CB0CAF" w:rsidP="00F67273">
      <w:pPr>
        <w:spacing w:after="120" w:line="480" w:lineRule="auto"/>
      </w:pPr>
      <w:r>
        <w:t>Table 9</w:t>
      </w:r>
      <w:r w:rsidR="00F67273">
        <w:t xml:space="preserve">. Comparison of the estimation of reference points with </w:t>
      </w:r>
      <w:r w:rsidR="001C1338">
        <w:t>BSM</w:t>
      </w:r>
      <w:r w:rsidR="00F67273">
        <w:t xml:space="preserve"> and with CMSY, applied to 24 data sets </w:t>
      </w:r>
      <w:r>
        <w:t xml:space="preserve">with simulated </w:t>
      </w:r>
      <w:r w:rsidR="00B112A5">
        <w:t>CPUE</w:t>
      </w:r>
      <w:r>
        <w:t xml:space="preserve">, </w:t>
      </w:r>
      <w:r w:rsidR="00F67273">
        <w:t xml:space="preserve">where the </w:t>
      </w:r>
      <w:r w:rsidR="001C1338">
        <w:t>“</w:t>
      </w:r>
      <w:r w:rsidR="00F67273">
        <w:t>true</w:t>
      </w:r>
      <w:r w:rsidR="001C1338">
        <w:t>”</w:t>
      </w:r>
      <w:r w:rsidR="00F67273">
        <w:t xml:space="preserve"> values of the reference points are known. [SimCatchCPUE_Results</w:t>
      </w:r>
      <w:r w:rsidR="006310DD">
        <w:t>_6</w:t>
      </w:r>
      <w:r w:rsidR="00F67273">
        <w:t>.xlsx]</w:t>
      </w:r>
    </w:p>
    <w:tbl>
      <w:tblPr>
        <w:tblStyle w:val="Tabellenraster"/>
        <w:tblW w:w="7891" w:type="dxa"/>
        <w:tblLook w:val="04A0" w:firstRow="1" w:lastRow="0" w:firstColumn="1" w:lastColumn="0" w:noHBand="0" w:noVBand="1"/>
      </w:tblPr>
      <w:tblGrid>
        <w:gridCol w:w="3684"/>
        <w:gridCol w:w="1028"/>
        <w:gridCol w:w="1534"/>
        <w:gridCol w:w="1645"/>
      </w:tblGrid>
      <w:tr w:rsidR="00F67273" w:rsidRPr="00F8285F" w14:paraId="1AC1FADF" w14:textId="77777777" w:rsidTr="005A24A2">
        <w:tc>
          <w:tcPr>
            <w:tcW w:w="3684" w:type="dxa"/>
          </w:tcPr>
          <w:p w14:paraId="086D3053" w14:textId="77777777" w:rsidR="00F67273" w:rsidRPr="00F8285F" w:rsidRDefault="00F67273" w:rsidP="005A24A2">
            <w:pPr>
              <w:rPr>
                <w:b/>
              </w:rPr>
            </w:pPr>
            <w:r w:rsidRPr="00F8285F">
              <w:rPr>
                <w:b/>
              </w:rPr>
              <w:t>Ratio</w:t>
            </w:r>
          </w:p>
        </w:tc>
        <w:tc>
          <w:tcPr>
            <w:tcW w:w="1028" w:type="dxa"/>
          </w:tcPr>
          <w:p w14:paraId="5FE3A742" w14:textId="77777777" w:rsidR="00F67273" w:rsidRPr="00F8285F" w:rsidRDefault="00F67273" w:rsidP="005A24A2">
            <w:pPr>
              <w:rPr>
                <w:b/>
              </w:rPr>
            </w:pPr>
            <w:r w:rsidRPr="00F8285F">
              <w:rPr>
                <w:b/>
              </w:rPr>
              <w:t>Median</w:t>
            </w:r>
          </w:p>
        </w:tc>
        <w:tc>
          <w:tcPr>
            <w:tcW w:w="1534" w:type="dxa"/>
          </w:tcPr>
          <w:p w14:paraId="3B947747" w14:textId="77777777" w:rsidR="00F67273" w:rsidRPr="00F8285F" w:rsidRDefault="00F67273" w:rsidP="005A24A2">
            <w:pPr>
              <w:rPr>
                <w:b/>
              </w:rPr>
            </w:pPr>
            <w:r w:rsidRPr="00F8285F">
              <w:rPr>
                <w:b/>
              </w:rPr>
              <w:t>5</w:t>
            </w:r>
            <w:r w:rsidRPr="00F8285F">
              <w:rPr>
                <w:b/>
                <w:vertAlign w:val="superscript"/>
              </w:rPr>
              <w:t>th</w:t>
            </w:r>
            <w:r w:rsidRPr="00F8285F">
              <w:rPr>
                <w:b/>
              </w:rPr>
              <w:t xml:space="preserve"> percentile</w:t>
            </w:r>
          </w:p>
        </w:tc>
        <w:tc>
          <w:tcPr>
            <w:tcW w:w="1645" w:type="dxa"/>
          </w:tcPr>
          <w:p w14:paraId="49B0B2A3" w14:textId="77777777" w:rsidR="00F67273" w:rsidRPr="00F8285F" w:rsidRDefault="00F67273" w:rsidP="005A24A2">
            <w:pPr>
              <w:rPr>
                <w:b/>
              </w:rPr>
            </w:pPr>
            <w:r w:rsidRPr="00F8285F">
              <w:rPr>
                <w:b/>
              </w:rPr>
              <w:t>9</w:t>
            </w:r>
            <w:r>
              <w:rPr>
                <w:b/>
              </w:rPr>
              <w:t>5</w:t>
            </w:r>
            <w:r w:rsidRPr="00F8285F">
              <w:rPr>
                <w:b/>
                <w:vertAlign w:val="superscript"/>
              </w:rPr>
              <w:t>th</w:t>
            </w:r>
            <w:r w:rsidRPr="00F8285F">
              <w:rPr>
                <w:b/>
              </w:rPr>
              <w:t xml:space="preserve"> percentile</w:t>
            </w:r>
          </w:p>
        </w:tc>
      </w:tr>
      <w:tr w:rsidR="00F67273" w14:paraId="01C6A3B7" w14:textId="77777777" w:rsidTr="005A24A2">
        <w:tc>
          <w:tcPr>
            <w:tcW w:w="3684" w:type="dxa"/>
          </w:tcPr>
          <w:p w14:paraId="1EC206D2" w14:textId="77777777" w:rsidR="00F67273" w:rsidRPr="00F8285F" w:rsidRDefault="00F67273" w:rsidP="005A24A2">
            <w:pPr>
              <w:rPr>
                <w:i/>
              </w:rPr>
            </w:pPr>
            <w:r>
              <w:rPr>
                <w:i/>
              </w:rPr>
              <w:t>q</w:t>
            </w:r>
            <w:r w:rsidRPr="00AF577D">
              <w:t xml:space="preserve"> </w:t>
            </w:r>
            <w:r>
              <w:t>BSM</w:t>
            </w:r>
            <w:r w:rsidRPr="00AF577D">
              <w:t xml:space="preserve"> / true </w:t>
            </w:r>
            <w:r>
              <w:rPr>
                <w:i/>
              </w:rPr>
              <w:t>q</w:t>
            </w:r>
          </w:p>
        </w:tc>
        <w:tc>
          <w:tcPr>
            <w:tcW w:w="1028" w:type="dxa"/>
          </w:tcPr>
          <w:p w14:paraId="148C568C" w14:textId="58C2A087" w:rsidR="00F67273" w:rsidRDefault="00D26E57" w:rsidP="005A24A2">
            <w:pPr>
              <w:jc w:val="center"/>
            </w:pPr>
            <w:r>
              <w:t>1.07</w:t>
            </w:r>
          </w:p>
        </w:tc>
        <w:tc>
          <w:tcPr>
            <w:tcW w:w="1534" w:type="dxa"/>
          </w:tcPr>
          <w:p w14:paraId="66E0EB6F" w14:textId="5FE00F7B" w:rsidR="00F67273" w:rsidRDefault="00D26E57" w:rsidP="005A24A2">
            <w:pPr>
              <w:jc w:val="center"/>
            </w:pPr>
            <w:r>
              <w:t>0.61</w:t>
            </w:r>
          </w:p>
        </w:tc>
        <w:tc>
          <w:tcPr>
            <w:tcW w:w="1645" w:type="dxa"/>
          </w:tcPr>
          <w:p w14:paraId="5DB4F277" w14:textId="2FBA0085" w:rsidR="00F67273" w:rsidRDefault="00D26E57" w:rsidP="005A24A2">
            <w:pPr>
              <w:jc w:val="center"/>
            </w:pPr>
            <w:r>
              <w:t>6.22</w:t>
            </w:r>
          </w:p>
        </w:tc>
      </w:tr>
      <w:tr w:rsidR="00F67273" w14:paraId="5E06FBD1" w14:textId="77777777" w:rsidTr="005A24A2">
        <w:tc>
          <w:tcPr>
            <w:tcW w:w="3684" w:type="dxa"/>
          </w:tcPr>
          <w:p w14:paraId="3C8346D9" w14:textId="77777777" w:rsidR="00F67273" w:rsidRDefault="00F67273" w:rsidP="005A24A2">
            <w:r w:rsidRPr="00F8285F">
              <w:rPr>
                <w:i/>
              </w:rPr>
              <w:t>MSY</w:t>
            </w:r>
            <w:r>
              <w:t xml:space="preserve"> BSM / true </w:t>
            </w:r>
            <w:r w:rsidRPr="00F8285F">
              <w:rPr>
                <w:i/>
              </w:rPr>
              <w:t>MSY</w:t>
            </w:r>
          </w:p>
        </w:tc>
        <w:tc>
          <w:tcPr>
            <w:tcW w:w="1028" w:type="dxa"/>
          </w:tcPr>
          <w:p w14:paraId="1341C27C" w14:textId="2BE6C1B3" w:rsidR="00F67273" w:rsidRDefault="00D26E57" w:rsidP="005A24A2">
            <w:pPr>
              <w:jc w:val="center"/>
            </w:pPr>
            <w:r>
              <w:t>0.97</w:t>
            </w:r>
          </w:p>
        </w:tc>
        <w:tc>
          <w:tcPr>
            <w:tcW w:w="1534" w:type="dxa"/>
          </w:tcPr>
          <w:p w14:paraId="5CCEDCBF" w14:textId="68A1B828" w:rsidR="00F67273" w:rsidRDefault="00D26E57" w:rsidP="005A24A2">
            <w:pPr>
              <w:jc w:val="center"/>
            </w:pPr>
            <w:r>
              <w:t>0.39</w:t>
            </w:r>
          </w:p>
        </w:tc>
        <w:tc>
          <w:tcPr>
            <w:tcW w:w="1645" w:type="dxa"/>
          </w:tcPr>
          <w:p w14:paraId="06F77317" w14:textId="275124C3" w:rsidR="00D26E57" w:rsidRDefault="00D26E57" w:rsidP="00D26E57">
            <w:pPr>
              <w:jc w:val="center"/>
            </w:pPr>
            <w:r>
              <w:t>2.03</w:t>
            </w:r>
          </w:p>
        </w:tc>
      </w:tr>
      <w:tr w:rsidR="00F67273" w14:paraId="1D5BE77D" w14:textId="77777777" w:rsidTr="005A24A2">
        <w:tc>
          <w:tcPr>
            <w:tcW w:w="3684" w:type="dxa"/>
          </w:tcPr>
          <w:p w14:paraId="4CF75F2F" w14:textId="7ACAED95" w:rsidR="00F67273" w:rsidRDefault="00F67273" w:rsidP="005A24A2">
            <w:r w:rsidRPr="00F8285F">
              <w:rPr>
                <w:i/>
              </w:rPr>
              <w:t>MSY</w:t>
            </w:r>
            <w:r>
              <w:t xml:space="preserve"> CMSY / true </w:t>
            </w:r>
            <w:r w:rsidRPr="00F8285F">
              <w:rPr>
                <w:i/>
              </w:rPr>
              <w:t>MSY</w:t>
            </w:r>
          </w:p>
        </w:tc>
        <w:tc>
          <w:tcPr>
            <w:tcW w:w="1028" w:type="dxa"/>
          </w:tcPr>
          <w:p w14:paraId="490B7B3F" w14:textId="3E6103CD" w:rsidR="00F67273" w:rsidRDefault="00D26E57" w:rsidP="005A24A2">
            <w:pPr>
              <w:jc w:val="center"/>
            </w:pPr>
            <w:r>
              <w:t>1.02</w:t>
            </w:r>
          </w:p>
        </w:tc>
        <w:tc>
          <w:tcPr>
            <w:tcW w:w="1534" w:type="dxa"/>
          </w:tcPr>
          <w:p w14:paraId="5883EC50" w14:textId="088B3E81" w:rsidR="00F67273" w:rsidRDefault="00D26E57" w:rsidP="005A24A2">
            <w:pPr>
              <w:jc w:val="center"/>
            </w:pPr>
            <w:r>
              <w:t>0.51</w:t>
            </w:r>
          </w:p>
        </w:tc>
        <w:tc>
          <w:tcPr>
            <w:tcW w:w="1645" w:type="dxa"/>
          </w:tcPr>
          <w:p w14:paraId="580D9D64" w14:textId="1588779D" w:rsidR="00F67273" w:rsidRDefault="00D26E57" w:rsidP="005A24A2">
            <w:pPr>
              <w:jc w:val="center"/>
            </w:pPr>
            <w:r>
              <w:t>1.61</w:t>
            </w:r>
          </w:p>
        </w:tc>
      </w:tr>
      <w:tr w:rsidR="00F67273" w14:paraId="01DE266F" w14:textId="77777777" w:rsidTr="005A24A2">
        <w:tc>
          <w:tcPr>
            <w:tcW w:w="3684" w:type="dxa"/>
          </w:tcPr>
          <w:p w14:paraId="69CC57EF" w14:textId="77777777" w:rsidR="00F67273" w:rsidRDefault="00F67273" w:rsidP="005A24A2">
            <w:r w:rsidRPr="00F8285F">
              <w:rPr>
                <w:i/>
              </w:rPr>
              <w:t>r</w:t>
            </w:r>
            <w:r>
              <w:t xml:space="preserve"> BSM / true </w:t>
            </w:r>
            <w:r w:rsidRPr="00F8285F">
              <w:rPr>
                <w:i/>
              </w:rPr>
              <w:t>r</w:t>
            </w:r>
          </w:p>
        </w:tc>
        <w:tc>
          <w:tcPr>
            <w:tcW w:w="1028" w:type="dxa"/>
          </w:tcPr>
          <w:p w14:paraId="5F566E7F" w14:textId="4FE7070B" w:rsidR="00F67273" w:rsidRDefault="00D26E57" w:rsidP="005A24A2">
            <w:pPr>
              <w:jc w:val="center"/>
            </w:pPr>
            <w:r>
              <w:t>1.02</w:t>
            </w:r>
          </w:p>
        </w:tc>
        <w:tc>
          <w:tcPr>
            <w:tcW w:w="1534" w:type="dxa"/>
          </w:tcPr>
          <w:p w14:paraId="11D9F5F3" w14:textId="1743B145" w:rsidR="00F67273" w:rsidRDefault="00F67273" w:rsidP="00D26E57">
            <w:pPr>
              <w:jc w:val="center"/>
            </w:pPr>
            <w:r>
              <w:t>0.</w:t>
            </w:r>
            <w:r w:rsidR="00D26E57">
              <w:t>76</w:t>
            </w:r>
          </w:p>
        </w:tc>
        <w:tc>
          <w:tcPr>
            <w:tcW w:w="1645" w:type="dxa"/>
          </w:tcPr>
          <w:p w14:paraId="71BD2FC2" w14:textId="0F37C8FE" w:rsidR="00F67273" w:rsidRDefault="00D26E57" w:rsidP="005A24A2">
            <w:pPr>
              <w:jc w:val="center"/>
            </w:pPr>
            <w:r>
              <w:t>1.56</w:t>
            </w:r>
          </w:p>
        </w:tc>
      </w:tr>
      <w:tr w:rsidR="00F67273" w14:paraId="1F050FF6" w14:textId="77777777" w:rsidTr="005A24A2">
        <w:tc>
          <w:tcPr>
            <w:tcW w:w="3684" w:type="dxa"/>
          </w:tcPr>
          <w:p w14:paraId="427514AA" w14:textId="77777777" w:rsidR="00F67273" w:rsidRDefault="00F67273" w:rsidP="005A24A2">
            <w:r w:rsidRPr="00F8285F">
              <w:rPr>
                <w:i/>
              </w:rPr>
              <w:t>r</w:t>
            </w:r>
            <w:r>
              <w:t xml:space="preserve"> CMSY / true </w:t>
            </w:r>
            <w:r w:rsidRPr="00F8285F">
              <w:rPr>
                <w:i/>
              </w:rPr>
              <w:t>r</w:t>
            </w:r>
          </w:p>
        </w:tc>
        <w:tc>
          <w:tcPr>
            <w:tcW w:w="1028" w:type="dxa"/>
          </w:tcPr>
          <w:p w14:paraId="20A69B46" w14:textId="1F53B311" w:rsidR="00F67273" w:rsidRDefault="00D26E57" w:rsidP="005A24A2">
            <w:pPr>
              <w:jc w:val="center"/>
            </w:pPr>
            <w:r>
              <w:t>1.03</w:t>
            </w:r>
          </w:p>
        </w:tc>
        <w:tc>
          <w:tcPr>
            <w:tcW w:w="1534" w:type="dxa"/>
          </w:tcPr>
          <w:p w14:paraId="329F8AEC" w14:textId="50289650" w:rsidR="00F67273" w:rsidRDefault="00D26E57" w:rsidP="005A24A2">
            <w:pPr>
              <w:jc w:val="center"/>
            </w:pPr>
            <w:r>
              <w:t>0.63</w:t>
            </w:r>
          </w:p>
        </w:tc>
        <w:tc>
          <w:tcPr>
            <w:tcW w:w="1645" w:type="dxa"/>
          </w:tcPr>
          <w:p w14:paraId="2DA145F2" w14:textId="2FC1E04B" w:rsidR="00F67273" w:rsidRDefault="00D26E57" w:rsidP="005A24A2">
            <w:pPr>
              <w:jc w:val="center"/>
            </w:pPr>
            <w:r>
              <w:t>1.74</w:t>
            </w:r>
          </w:p>
        </w:tc>
      </w:tr>
      <w:tr w:rsidR="00F67273" w14:paraId="6F7E8F21" w14:textId="77777777" w:rsidTr="005A24A2">
        <w:tc>
          <w:tcPr>
            <w:tcW w:w="3684" w:type="dxa"/>
          </w:tcPr>
          <w:p w14:paraId="204208F1" w14:textId="77777777" w:rsidR="00F67273" w:rsidRDefault="00F67273" w:rsidP="005A24A2">
            <w:r>
              <w:rPr>
                <w:i/>
              </w:rPr>
              <w:t>k</w:t>
            </w:r>
            <w:r>
              <w:t xml:space="preserve"> BSM / true </w:t>
            </w:r>
            <w:r>
              <w:rPr>
                <w:i/>
              </w:rPr>
              <w:t>k</w:t>
            </w:r>
          </w:p>
        </w:tc>
        <w:tc>
          <w:tcPr>
            <w:tcW w:w="1028" w:type="dxa"/>
          </w:tcPr>
          <w:p w14:paraId="205DBE59" w14:textId="143651CB" w:rsidR="00F67273" w:rsidRDefault="00D26E57" w:rsidP="005A24A2">
            <w:pPr>
              <w:jc w:val="center"/>
            </w:pPr>
            <w:r>
              <w:t>0.93</w:t>
            </w:r>
          </w:p>
        </w:tc>
        <w:tc>
          <w:tcPr>
            <w:tcW w:w="1534" w:type="dxa"/>
          </w:tcPr>
          <w:p w14:paraId="475C2A08" w14:textId="6FF4FFA1" w:rsidR="00F67273" w:rsidRDefault="00D26E57" w:rsidP="005A24A2">
            <w:pPr>
              <w:jc w:val="center"/>
            </w:pPr>
            <w:r>
              <w:t>0.36</w:t>
            </w:r>
          </w:p>
        </w:tc>
        <w:tc>
          <w:tcPr>
            <w:tcW w:w="1645" w:type="dxa"/>
          </w:tcPr>
          <w:p w14:paraId="35C55C9C" w14:textId="481E746E" w:rsidR="00F67273" w:rsidRDefault="00D26E57" w:rsidP="005A24A2">
            <w:pPr>
              <w:jc w:val="center"/>
            </w:pPr>
            <w:r>
              <w:t>1.86</w:t>
            </w:r>
          </w:p>
        </w:tc>
      </w:tr>
      <w:tr w:rsidR="00F67273" w14:paraId="4B4CC579" w14:textId="77777777" w:rsidTr="005A24A2">
        <w:tc>
          <w:tcPr>
            <w:tcW w:w="3684" w:type="dxa"/>
          </w:tcPr>
          <w:p w14:paraId="6545E99C" w14:textId="77777777" w:rsidR="00F67273" w:rsidRDefault="00F67273" w:rsidP="005A24A2">
            <w:r>
              <w:rPr>
                <w:i/>
              </w:rPr>
              <w:t>k</w:t>
            </w:r>
            <w:r>
              <w:t xml:space="preserve"> CMSY / true </w:t>
            </w:r>
            <w:r>
              <w:rPr>
                <w:i/>
              </w:rPr>
              <w:t>k</w:t>
            </w:r>
          </w:p>
        </w:tc>
        <w:tc>
          <w:tcPr>
            <w:tcW w:w="1028" w:type="dxa"/>
          </w:tcPr>
          <w:p w14:paraId="461FF2D8" w14:textId="63A37C23" w:rsidR="00F67273" w:rsidRDefault="00D26E57" w:rsidP="005A24A2">
            <w:pPr>
              <w:jc w:val="center"/>
            </w:pPr>
            <w:r>
              <w:t>0.99</w:t>
            </w:r>
          </w:p>
        </w:tc>
        <w:tc>
          <w:tcPr>
            <w:tcW w:w="1534" w:type="dxa"/>
          </w:tcPr>
          <w:p w14:paraId="52B414E5" w14:textId="48A1CE36" w:rsidR="00F67273" w:rsidRDefault="00D26E57" w:rsidP="005A24A2">
            <w:pPr>
              <w:jc w:val="center"/>
            </w:pPr>
            <w:r>
              <w:t>0.60</w:t>
            </w:r>
          </w:p>
        </w:tc>
        <w:tc>
          <w:tcPr>
            <w:tcW w:w="1645" w:type="dxa"/>
          </w:tcPr>
          <w:p w14:paraId="61927985" w14:textId="308E02EA" w:rsidR="00F67273" w:rsidRDefault="00D26E57" w:rsidP="005A24A2">
            <w:pPr>
              <w:jc w:val="center"/>
            </w:pPr>
            <w:r>
              <w:t>1.64</w:t>
            </w:r>
          </w:p>
        </w:tc>
      </w:tr>
      <w:tr w:rsidR="00F67273" w14:paraId="0BD775A8" w14:textId="77777777" w:rsidTr="005A24A2">
        <w:tc>
          <w:tcPr>
            <w:tcW w:w="3684" w:type="dxa"/>
          </w:tcPr>
          <w:p w14:paraId="5B408AD9" w14:textId="37B9403B" w:rsidR="00F67273" w:rsidRDefault="00F67273" w:rsidP="0045110B">
            <w:pPr>
              <w:rPr>
                <w:i/>
              </w:rPr>
            </w:pPr>
            <w:r w:rsidRPr="00F42BC3">
              <w:t>last</w:t>
            </w:r>
            <w:r>
              <w:rPr>
                <w:i/>
              </w:rPr>
              <w:t xml:space="preserve"> B</w:t>
            </w:r>
            <w:r w:rsidRPr="00F42BC3">
              <w:t xml:space="preserve"> CMSY</w:t>
            </w:r>
            <w:r>
              <w:rPr>
                <w:i/>
              </w:rPr>
              <w:t xml:space="preserve"> </w:t>
            </w:r>
            <w:r w:rsidRPr="00F42BC3">
              <w:t xml:space="preserve">/ </w:t>
            </w:r>
            <w:r>
              <w:t xml:space="preserve">last </w:t>
            </w:r>
            <w:r w:rsidRPr="00F42BC3">
              <w:t>true</w:t>
            </w:r>
            <w:r>
              <w:rPr>
                <w:i/>
              </w:rPr>
              <w:t xml:space="preserve"> </w:t>
            </w:r>
            <w:r w:rsidR="0045110B">
              <w:rPr>
                <w:i/>
              </w:rPr>
              <w:t>B</w:t>
            </w:r>
          </w:p>
        </w:tc>
        <w:tc>
          <w:tcPr>
            <w:tcW w:w="1028" w:type="dxa"/>
          </w:tcPr>
          <w:p w14:paraId="561B8325" w14:textId="4D7F90B4" w:rsidR="00F67273" w:rsidRDefault="00D26E57" w:rsidP="005A24A2">
            <w:pPr>
              <w:jc w:val="center"/>
            </w:pPr>
            <w:r>
              <w:t>1.15</w:t>
            </w:r>
          </w:p>
        </w:tc>
        <w:tc>
          <w:tcPr>
            <w:tcW w:w="1534" w:type="dxa"/>
          </w:tcPr>
          <w:p w14:paraId="7882F3E3" w14:textId="64907F3F" w:rsidR="00F67273" w:rsidRDefault="00D26E57" w:rsidP="005A24A2">
            <w:pPr>
              <w:jc w:val="center"/>
            </w:pPr>
            <w:r>
              <w:t>0.60</w:t>
            </w:r>
          </w:p>
        </w:tc>
        <w:tc>
          <w:tcPr>
            <w:tcW w:w="1645" w:type="dxa"/>
          </w:tcPr>
          <w:p w14:paraId="52D33650" w14:textId="423FDC1D" w:rsidR="00F67273" w:rsidRDefault="00D26E57" w:rsidP="005A24A2">
            <w:pPr>
              <w:jc w:val="center"/>
            </w:pPr>
            <w:r>
              <w:t>5.05</w:t>
            </w:r>
          </w:p>
        </w:tc>
      </w:tr>
    </w:tbl>
    <w:p w14:paraId="0465E3D2" w14:textId="5C81BE03" w:rsidR="00F67273" w:rsidRDefault="00F67273" w:rsidP="00F67273">
      <w:pPr>
        <w:jc w:val="both"/>
        <w:rPr>
          <w:b/>
        </w:rPr>
      </w:pPr>
    </w:p>
    <w:p w14:paraId="2A707726" w14:textId="77777777" w:rsidR="00F67273" w:rsidRDefault="00F67273" w:rsidP="00F67273">
      <w:pPr>
        <w:jc w:val="both"/>
        <w:rPr>
          <w:b/>
        </w:rPr>
      </w:pPr>
    </w:p>
    <w:p w14:paraId="75BC5440" w14:textId="7A64ACBA" w:rsidR="00F67273" w:rsidRDefault="00F67273">
      <w:pPr>
        <w:rPr>
          <w:b/>
        </w:rPr>
      </w:pPr>
      <w:r>
        <w:rPr>
          <w:b/>
        </w:rPr>
        <w:br w:type="page"/>
      </w:r>
    </w:p>
    <w:p w14:paraId="22979394" w14:textId="4F2ACA0A" w:rsidR="00F67273" w:rsidRDefault="00CB0CAF" w:rsidP="00F67273">
      <w:pPr>
        <w:spacing w:after="120" w:line="480" w:lineRule="auto"/>
      </w:pPr>
      <w:r>
        <w:lastRenderedPageBreak/>
        <w:t>Table 10</w:t>
      </w:r>
      <w:r w:rsidR="00F67273">
        <w:t xml:space="preserve">. Numbers and percentages of </w:t>
      </w:r>
      <w:r w:rsidR="00B112A5">
        <w:t xml:space="preserve">the </w:t>
      </w:r>
      <w:r w:rsidR="00D12B1E">
        <w:t xml:space="preserve">28 </w:t>
      </w:r>
      <w:r w:rsidR="00902574">
        <w:t xml:space="preserve">data-limited </w:t>
      </w:r>
      <w:r w:rsidR="00F67273">
        <w:t>stocks</w:t>
      </w:r>
      <w:r w:rsidR="00B112A5">
        <w:t xml:space="preserve"> </w:t>
      </w:r>
      <w:r w:rsidR="00F67273">
        <w:t>where the 95% confidence limits of the CMSY estimate</w:t>
      </w:r>
      <w:r w:rsidR="00B112A5">
        <w:t>s</w:t>
      </w:r>
      <w:r w:rsidR="00F67273">
        <w:t xml:space="preserve"> include the most probable estimate of </w:t>
      </w:r>
      <w:r w:rsidR="001C1338">
        <w:t>BSM</w:t>
      </w:r>
      <w:r w:rsidR="00F67273">
        <w:t xml:space="preserve">, and where the confidence limits of both methods </w:t>
      </w:r>
      <w:r w:rsidR="00C42753">
        <w:t xml:space="preserve">did not </w:t>
      </w:r>
      <w:r w:rsidR="00F67273">
        <w:t xml:space="preserve">overlap, indicating </w:t>
      </w:r>
      <w:r w:rsidR="00B112A5">
        <w:t xml:space="preserve">results that are </w:t>
      </w:r>
      <w:r w:rsidR="00F67273">
        <w:t>significantly different. [CPUEStocks_Results</w:t>
      </w:r>
      <w:r w:rsidR="0045110B">
        <w:t>_6</w:t>
      </w:r>
      <w:r w:rsidR="00F67273">
        <w:t>.xlsx]</w:t>
      </w:r>
    </w:p>
    <w:p w14:paraId="2C055668" w14:textId="77777777" w:rsidR="00F67273" w:rsidRDefault="00F67273" w:rsidP="00F67273"/>
    <w:tbl>
      <w:tblPr>
        <w:tblStyle w:val="Tabellenraster"/>
        <w:tblW w:w="0" w:type="auto"/>
        <w:tblLook w:val="04A0" w:firstRow="1" w:lastRow="0" w:firstColumn="1" w:lastColumn="0" w:noHBand="0" w:noVBand="1"/>
      </w:tblPr>
      <w:tblGrid>
        <w:gridCol w:w="2122"/>
        <w:gridCol w:w="2409"/>
        <w:gridCol w:w="1843"/>
      </w:tblGrid>
      <w:tr w:rsidR="00F67273" w:rsidRPr="005D7EE5" w14:paraId="1191537F" w14:textId="77777777" w:rsidTr="00C42753">
        <w:tc>
          <w:tcPr>
            <w:tcW w:w="2122" w:type="dxa"/>
          </w:tcPr>
          <w:p w14:paraId="63D08BC0" w14:textId="77777777" w:rsidR="00F67273" w:rsidRPr="005D7EE5" w:rsidRDefault="00F67273" w:rsidP="005A24A2">
            <w:pPr>
              <w:rPr>
                <w:b/>
              </w:rPr>
            </w:pPr>
            <w:r w:rsidRPr="005D7EE5">
              <w:rPr>
                <w:b/>
              </w:rPr>
              <w:t>Parameter</w:t>
            </w:r>
          </w:p>
        </w:tc>
        <w:tc>
          <w:tcPr>
            <w:tcW w:w="2409" w:type="dxa"/>
          </w:tcPr>
          <w:p w14:paraId="528E38E3" w14:textId="77777777" w:rsidR="00F67273" w:rsidRDefault="00F67273" w:rsidP="005A24A2">
            <w:pPr>
              <w:jc w:val="center"/>
              <w:rPr>
                <w:b/>
              </w:rPr>
            </w:pPr>
            <w:r>
              <w:rPr>
                <w:b/>
              </w:rPr>
              <w:t>BSM</w:t>
            </w:r>
            <w:r w:rsidRPr="005D7EE5">
              <w:rPr>
                <w:b/>
              </w:rPr>
              <w:t xml:space="preserve"> estimate included</w:t>
            </w:r>
            <w:r>
              <w:rPr>
                <w:b/>
              </w:rPr>
              <w:t xml:space="preserve"> </w:t>
            </w:r>
          </w:p>
          <w:p w14:paraId="35294B23" w14:textId="77777777" w:rsidR="00F67273" w:rsidRPr="005D7EE5" w:rsidRDefault="00F67273" w:rsidP="005A24A2">
            <w:pPr>
              <w:jc w:val="center"/>
              <w:rPr>
                <w:b/>
              </w:rPr>
            </w:pPr>
            <w:r>
              <w:rPr>
                <w:b/>
              </w:rPr>
              <w:t>n</w:t>
            </w:r>
            <w:r w:rsidRPr="005D7EE5">
              <w:rPr>
                <w:b/>
              </w:rPr>
              <w:t xml:space="preserve"> / </w:t>
            </w:r>
            <w:r>
              <w:rPr>
                <w:b/>
              </w:rPr>
              <w:t>%</w:t>
            </w:r>
          </w:p>
        </w:tc>
        <w:tc>
          <w:tcPr>
            <w:tcW w:w="1843" w:type="dxa"/>
          </w:tcPr>
          <w:p w14:paraId="0C343C0F" w14:textId="4F181B18" w:rsidR="00F67273" w:rsidRDefault="000B1521" w:rsidP="005A24A2">
            <w:pPr>
              <w:jc w:val="center"/>
              <w:rPr>
                <w:b/>
              </w:rPr>
            </w:pPr>
            <w:r>
              <w:rPr>
                <w:b/>
              </w:rPr>
              <w:t>No</w:t>
            </w:r>
            <w:r w:rsidR="00F67273">
              <w:rPr>
                <w:b/>
              </w:rPr>
              <w:t xml:space="preserve"> overlap</w:t>
            </w:r>
          </w:p>
          <w:p w14:paraId="4AF0C3B8" w14:textId="77777777" w:rsidR="00F67273" w:rsidRPr="005D7EE5" w:rsidRDefault="00F67273" w:rsidP="005A24A2">
            <w:pPr>
              <w:jc w:val="center"/>
              <w:rPr>
                <w:b/>
              </w:rPr>
            </w:pPr>
            <w:r>
              <w:rPr>
                <w:b/>
              </w:rPr>
              <w:t>n / %</w:t>
            </w:r>
          </w:p>
        </w:tc>
      </w:tr>
      <w:tr w:rsidR="00F67273" w14:paraId="16197C6E" w14:textId="77777777" w:rsidTr="00C42753">
        <w:tc>
          <w:tcPr>
            <w:tcW w:w="2122" w:type="dxa"/>
          </w:tcPr>
          <w:p w14:paraId="0F3CE6F6" w14:textId="77777777" w:rsidR="00F67273" w:rsidRDefault="00F67273" w:rsidP="005A24A2">
            <w:r w:rsidRPr="005D7EE5">
              <w:rPr>
                <w:i/>
              </w:rPr>
              <w:t>r</w:t>
            </w:r>
            <w:r>
              <w:t xml:space="preserve"> CMSY</w:t>
            </w:r>
          </w:p>
        </w:tc>
        <w:tc>
          <w:tcPr>
            <w:tcW w:w="2409" w:type="dxa"/>
          </w:tcPr>
          <w:p w14:paraId="2E752B35" w14:textId="024A8EB2" w:rsidR="00F67273" w:rsidRDefault="00D12B1E" w:rsidP="005A24A2">
            <w:pPr>
              <w:jc w:val="center"/>
            </w:pPr>
            <w:r>
              <w:t>27 / 96.4</w:t>
            </w:r>
          </w:p>
        </w:tc>
        <w:tc>
          <w:tcPr>
            <w:tcW w:w="1843" w:type="dxa"/>
          </w:tcPr>
          <w:p w14:paraId="600760CD" w14:textId="45A548CC" w:rsidR="00F67273" w:rsidRDefault="000B1521" w:rsidP="000B1521">
            <w:pPr>
              <w:jc w:val="center"/>
            </w:pPr>
            <w:r>
              <w:t xml:space="preserve">1 </w:t>
            </w:r>
            <w:r w:rsidR="00F67273">
              <w:t xml:space="preserve">/ </w:t>
            </w:r>
            <w:r>
              <w:t>3.6</w:t>
            </w:r>
          </w:p>
        </w:tc>
      </w:tr>
      <w:tr w:rsidR="00D12B1E" w:rsidRPr="00C42753" w14:paraId="58EA64E6" w14:textId="77777777" w:rsidTr="00C42753">
        <w:tc>
          <w:tcPr>
            <w:tcW w:w="2122" w:type="dxa"/>
          </w:tcPr>
          <w:p w14:paraId="6AC74746" w14:textId="77777777" w:rsidR="00D12B1E" w:rsidRDefault="00D12B1E" w:rsidP="00D12B1E">
            <w:r w:rsidRPr="005D7EE5">
              <w:rPr>
                <w:i/>
              </w:rPr>
              <w:t>k</w:t>
            </w:r>
            <w:r>
              <w:t xml:space="preserve"> CMSY</w:t>
            </w:r>
          </w:p>
        </w:tc>
        <w:tc>
          <w:tcPr>
            <w:tcW w:w="2409" w:type="dxa"/>
          </w:tcPr>
          <w:p w14:paraId="7A0634EC" w14:textId="7643B56A" w:rsidR="00D12B1E" w:rsidRDefault="00D12B1E" w:rsidP="00D12B1E">
            <w:pPr>
              <w:jc w:val="center"/>
            </w:pPr>
            <w:r>
              <w:t>27 / 96.4</w:t>
            </w:r>
          </w:p>
        </w:tc>
        <w:tc>
          <w:tcPr>
            <w:tcW w:w="1843" w:type="dxa"/>
          </w:tcPr>
          <w:p w14:paraId="5B294289" w14:textId="70E68AA8" w:rsidR="00D12B1E" w:rsidRPr="00C42753" w:rsidRDefault="00D12B1E" w:rsidP="000B1521">
            <w:pPr>
              <w:jc w:val="center"/>
            </w:pPr>
            <w:r w:rsidRPr="00C42753">
              <w:t>27</w:t>
            </w:r>
            <w:r w:rsidR="000B1521" w:rsidRPr="00C42753">
              <w:t xml:space="preserve"> </w:t>
            </w:r>
            <w:r w:rsidRPr="00C42753">
              <w:t xml:space="preserve">/ </w:t>
            </w:r>
            <w:r w:rsidR="000B1521" w:rsidRPr="00C42753">
              <w:t>3.6</w:t>
            </w:r>
          </w:p>
        </w:tc>
      </w:tr>
      <w:tr w:rsidR="00D12B1E" w:rsidRPr="00C42753" w14:paraId="19ED2ED1" w14:textId="77777777" w:rsidTr="00C42753">
        <w:tc>
          <w:tcPr>
            <w:tcW w:w="2122" w:type="dxa"/>
          </w:tcPr>
          <w:p w14:paraId="332DB14F" w14:textId="77777777" w:rsidR="00D12B1E" w:rsidRDefault="00D12B1E" w:rsidP="00D12B1E">
            <w:r w:rsidRPr="005D7EE5">
              <w:rPr>
                <w:i/>
              </w:rPr>
              <w:t>MSY</w:t>
            </w:r>
            <w:r>
              <w:t xml:space="preserve"> CMSY</w:t>
            </w:r>
          </w:p>
        </w:tc>
        <w:tc>
          <w:tcPr>
            <w:tcW w:w="2409" w:type="dxa"/>
          </w:tcPr>
          <w:p w14:paraId="7AF7F0CC" w14:textId="2239F204" w:rsidR="00D12B1E" w:rsidRDefault="00D12B1E" w:rsidP="00D12B1E">
            <w:pPr>
              <w:jc w:val="center"/>
            </w:pPr>
            <w:r>
              <w:t>25 / 89.3</w:t>
            </w:r>
          </w:p>
        </w:tc>
        <w:tc>
          <w:tcPr>
            <w:tcW w:w="1843" w:type="dxa"/>
          </w:tcPr>
          <w:p w14:paraId="14DDBECB" w14:textId="241B5627" w:rsidR="00D12B1E" w:rsidRPr="00C42753" w:rsidRDefault="00D12B1E" w:rsidP="000B1521">
            <w:pPr>
              <w:jc w:val="center"/>
            </w:pPr>
            <w:r w:rsidRPr="00C42753">
              <w:t xml:space="preserve">27 / </w:t>
            </w:r>
            <w:r w:rsidR="000B1521" w:rsidRPr="00C42753">
              <w:t>3.6</w:t>
            </w:r>
          </w:p>
        </w:tc>
      </w:tr>
      <w:tr w:rsidR="00D12B1E" w14:paraId="20F55077" w14:textId="77777777" w:rsidTr="00C42753">
        <w:tc>
          <w:tcPr>
            <w:tcW w:w="2122" w:type="dxa"/>
          </w:tcPr>
          <w:p w14:paraId="3B29BCD3" w14:textId="2F7BE224" w:rsidR="00D12B1E" w:rsidRDefault="00D12B1E" w:rsidP="00D12B1E">
            <w:r>
              <w:t xml:space="preserve">last </w:t>
            </w:r>
            <w:r>
              <w:rPr>
                <w:i/>
              </w:rPr>
              <w:t>B</w:t>
            </w:r>
            <w:r>
              <w:t xml:space="preserve"> CMSY</w:t>
            </w:r>
          </w:p>
        </w:tc>
        <w:tc>
          <w:tcPr>
            <w:tcW w:w="2409" w:type="dxa"/>
          </w:tcPr>
          <w:p w14:paraId="4B3DCDA2" w14:textId="5605990D" w:rsidR="00D12B1E" w:rsidRDefault="00697AA2" w:rsidP="00D12B1E">
            <w:pPr>
              <w:jc w:val="center"/>
            </w:pPr>
            <w:r>
              <w:t>20 / 71.4</w:t>
            </w:r>
          </w:p>
        </w:tc>
        <w:tc>
          <w:tcPr>
            <w:tcW w:w="1843" w:type="dxa"/>
          </w:tcPr>
          <w:p w14:paraId="1D0697AC" w14:textId="6D4AD35F" w:rsidR="00D12B1E" w:rsidRDefault="00697AA2" w:rsidP="000B1521">
            <w:pPr>
              <w:jc w:val="center"/>
            </w:pPr>
            <w:r>
              <w:t>24 /</w:t>
            </w:r>
            <w:r w:rsidR="000B1521">
              <w:t xml:space="preserve"> 14.3</w:t>
            </w:r>
          </w:p>
        </w:tc>
      </w:tr>
      <w:tr w:rsidR="00D12B1E" w14:paraId="59DE0B43" w14:textId="77777777" w:rsidTr="00C42753">
        <w:tc>
          <w:tcPr>
            <w:tcW w:w="2122" w:type="dxa"/>
          </w:tcPr>
          <w:p w14:paraId="7E1CBACC" w14:textId="0228C0CA" w:rsidR="00D12B1E" w:rsidRDefault="00D12B1E" w:rsidP="00D12B1E">
            <w:r>
              <w:t xml:space="preserve">last relative </w:t>
            </w:r>
            <w:r>
              <w:rPr>
                <w:i/>
              </w:rPr>
              <w:t>B</w:t>
            </w:r>
            <w:r>
              <w:t xml:space="preserve"> CMSY</w:t>
            </w:r>
          </w:p>
        </w:tc>
        <w:tc>
          <w:tcPr>
            <w:tcW w:w="2409" w:type="dxa"/>
          </w:tcPr>
          <w:p w14:paraId="2F370E95" w14:textId="14B4E3C2" w:rsidR="00D12B1E" w:rsidRDefault="00D12B1E" w:rsidP="00D12B1E">
            <w:pPr>
              <w:jc w:val="center"/>
            </w:pPr>
            <w:r>
              <w:t>1</w:t>
            </w:r>
            <w:r w:rsidR="00697AA2">
              <w:t>9 / 67.9</w:t>
            </w:r>
          </w:p>
        </w:tc>
        <w:tc>
          <w:tcPr>
            <w:tcW w:w="1843" w:type="dxa"/>
          </w:tcPr>
          <w:p w14:paraId="6E374850" w14:textId="576232FC" w:rsidR="00D12B1E" w:rsidRDefault="00697AA2" w:rsidP="000B1521">
            <w:pPr>
              <w:jc w:val="center"/>
            </w:pPr>
            <w:r>
              <w:t>24</w:t>
            </w:r>
            <w:r w:rsidR="000B1521">
              <w:t xml:space="preserve"> </w:t>
            </w:r>
            <w:r>
              <w:t xml:space="preserve">/ </w:t>
            </w:r>
            <w:r w:rsidR="000B1521">
              <w:t>14.3</w:t>
            </w:r>
          </w:p>
        </w:tc>
      </w:tr>
      <w:tr w:rsidR="00D12B1E" w14:paraId="0E2B2A2D" w14:textId="77777777" w:rsidTr="00C42753">
        <w:tc>
          <w:tcPr>
            <w:tcW w:w="2122" w:type="dxa"/>
          </w:tcPr>
          <w:p w14:paraId="36630040" w14:textId="77777777" w:rsidR="00D12B1E" w:rsidRDefault="00D12B1E" w:rsidP="00D12B1E">
            <w:r w:rsidRPr="00D9726B">
              <w:rPr>
                <w:i/>
              </w:rPr>
              <w:t>u</w:t>
            </w:r>
            <w:r>
              <w:t xml:space="preserve"> CMSY</w:t>
            </w:r>
          </w:p>
        </w:tc>
        <w:tc>
          <w:tcPr>
            <w:tcW w:w="2409" w:type="dxa"/>
          </w:tcPr>
          <w:p w14:paraId="0F0D7B35" w14:textId="605284B6" w:rsidR="00D12B1E" w:rsidRDefault="00697AA2" w:rsidP="00697AA2">
            <w:pPr>
              <w:jc w:val="center"/>
            </w:pPr>
            <w:r>
              <w:t>20/ 71.4</w:t>
            </w:r>
          </w:p>
        </w:tc>
        <w:tc>
          <w:tcPr>
            <w:tcW w:w="1843" w:type="dxa"/>
          </w:tcPr>
          <w:p w14:paraId="133C5F92" w14:textId="7A37B19A" w:rsidR="00D12B1E" w:rsidRDefault="00D12B1E" w:rsidP="000B1521">
            <w:pPr>
              <w:keepNext/>
              <w:jc w:val="center"/>
            </w:pPr>
            <w:r>
              <w:t>2</w:t>
            </w:r>
            <w:r w:rsidR="00697AA2">
              <w:t>4</w:t>
            </w:r>
            <w:r>
              <w:t xml:space="preserve"> / </w:t>
            </w:r>
            <w:r w:rsidR="000B1521">
              <w:t>14.3</w:t>
            </w:r>
          </w:p>
        </w:tc>
      </w:tr>
    </w:tbl>
    <w:p w14:paraId="03434AEB" w14:textId="3D193168" w:rsidR="00F67273" w:rsidRDefault="00F67273" w:rsidP="00F67273">
      <w:pPr>
        <w:jc w:val="both"/>
        <w:rPr>
          <w:b/>
        </w:rPr>
      </w:pPr>
    </w:p>
    <w:p w14:paraId="49C54302" w14:textId="77777777" w:rsidR="00DE4D38" w:rsidRDefault="00DE4D38" w:rsidP="00F67273">
      <w:pPr>
        <w:spacing w:after="120" w:line="480" w:lineRule="auto"/>
      </w:pPr>
      <w:bookmarkStart w:id="35" w:name="_Ref406772465"/>
    </w:p>
    <w:bookmarkEnd w:id="35"/>
    <w:p w14:paraId="0EF4C3E3" w14:textId="756AF2BB" w:rsidR="00F67273" w:rsidRDefault="00CB0CAF" w:rsidP="00F67273">
      <w:pPr>
        <w:spacing w:after="120" w:line="480" w:lineRule="auto"/>
      </w:pPr>
      <w:r>
        <w:t>Table 11</w:t>
      </w:r>
      <w:r w:rsidR="00DE4D38">
        <w:t>. Comparison of the estimat</w:t>
      </w:r>
      <w:r w:rsidR="00243EFF">
        <w:t>ed</w:t>
      </w:r>
      <w:r w:rsidR="00DE4D38">
        <w:t xml:space="preserve"> reference points </w:t>
      </w:r>
      <w:r w:rsidR="00243EFF">
        <w:t xml:space="preserve">from </w:t>
      </w:r>
      <w:r w:rsidR="00B251BE">
        <w:t xml:space="preserve">the CMSY method and </w:t>
      </w:r>
      <w:r w:rsidR="00243EFF">
        <w:t xml:space="preserve">from </w:t>
      </w:r>
      <w:r w:rsidR="00DE4D38">
        <w:t xml:space="preserve">the Bayesian Schaefer model, applied to </w:t>
      </w:r>
      <w:r w:rsidR="00CD6F09">
        <w:t>28</w:t>
      </w:r>
      <w:r w:rsidR="00DE4D38">
        <w:t xml:space="preserve"> data-limited stocks. [CPUEStocks_Results</w:t>
      </w:r>
      <w:r w:rsidR="00D7227A">
        <w:t>_6</w:t>
      </w:r>
      <w:r w:rsidR="00DE4D38">
        <w:t>.xlsx]</w:t>
      </w:r>
    </w:p>
    <w:tbl>
      <w:tblPr>
        <w:tblStyle w:val="Tabellenraster"/>
        <w:tblW w:w="8245" w:type="dxa"/>
        <w:tblLook w:val="04A0" w:firstRow="1" w:lastRow="0" w:firstColumn="1" w:lastColumn="0" w:noHBand="0" w:noVBand="1"/>
      </w:tblPr>
      <w:tblGrid>
        <w:gridCol w:w="4038"/>
        <w:gridCol w:w="1028"/>
        <w:gridCol w:w="1534"/>
        <w:gridCol w:w="1645"/>
      </w:tblGrid>
      <w:tr w:rsidR="00F67273" w:rsidRPr="00F64155" w14:paraId="077E86CA" w14:textId="77777777" w:rsidTr="005A24A2">
        <w:tc>
          <w:tcPr>
            <w:tcW w:w="4038" w:type="dxa"/>
          </w:tcPr>
          <w:p w14:paraId="5F0B9109" w14:textId="77777777" w:rsidR="00F67273" w:rsidRPr="00F64155" w:rsidRDefault="00F67273" w:rsidP="005A24A2">
            <w:pPr>
              <w:rPr>
                <w:b/>
              </w:rPr>
            </w:pPr>
            <w:r w:rsidRPr="00F64155">
              <w:rPr>
                <w:b/>
              </w:rPr>
              <w:t>Ratio</w:t>
            </w:r>
          </w:p>
        </w:tc>
        <w:tc>
          <w:tcPr>
            <w:tcW w:w="1028" w:type="dxa"/>
          </w:tcPr>
          <w:p w14:paraId="59C8019A" w14:textId="77777777" w:rsidR="00F67273" w:rsidRPr="00F64155" w:rsidRDefault="00F67273" w:rsidP="005A24A2">
            <w:pPr>
              <w:rPr>
                <w:b/>
              </w:rPr>
            </w:pPr>
            <w:r w:rsidRPr="00F64155">
              <w:rPr>
                <w:b/>
              </w:rPr>
              <w:t>Median</w:t>
            </w:r>
          </w:p>
        </w:tc>
        <w:tc>
          <w:tcPr>
            <w:tcW w:w="1534" w:type="dxa"/>
          </w:tcPr>
          <w:p w14:paraId="68F24A08" w14:textId="77777777" w:rsidR="00F67273" w:rsidRPr="00F64155" w:rsidRDefault="00F67273" w:rsidP="005A24A2">
            <w:pPr>
              <w:rPr>
                <w:b/>
              </w:rPr>
            </w:pPr>
            <w:r w:rsidRPr="00F64155">
              <w:rPr>
                <w:b/>
              </w:rPr>
              <w:t>5</w:t>
            </w:r>
            <w:r w:rsidRPr="00F64155">
              <w:rPr>
                <w:b/>
                <w:vertAlign w:val="superscript"/>
              </w:rPr>
              <w:t>th</w:t>
            </w:r>
            <w:r w:rsidRPr="00F64155">
              <w:rPr>
                <w:b/>
              </w:rPr>
              <w:t xml:space="preserve"> percentile</w:t>
            </w:r>
          </w:p>
        </w:tc>
        <w:tc>
          <w:tcPr>
            <w:tcW w:w="1645" w:type="dxa"/>
          </w:tcPr>
          <w:p w14:paraId="320F13FC" w14:textId="77777777" w:rsidR="00F67273" w:rsidRPr="00F64155" w:rsidRDefault="00F67273" w:rsidP="005A24A2">
            <w:pPr>
              <w:rPr>
                <w:b/>
              </w:rPr>
            </w:pPr>
            <w:r w:rsidRPr="00F64155">
              <w:rPr>
                <w:b/>
              </w:rPr>
              <w:t>95</w:t>
            </w:r>
            <w:r w:rsidRPr="00F64155">
              <w:rPr>
                <w:b/>
                <w:vertAlign w:val="superscript"/>
              </w:rPr>
              <w:t>th</w:t>
            </w:r>
            <w:r w:rsidRPr="00F64155">
              <w:rPr>
                <w:b/>
              </w:rPr>
              <w:t xml:space="preserve"> percentile</w:t>
            </w:r>
          </w:p>
        </w:tc>
      </w:tr>
      <w:tr w:rsidR="00F67273" w14:paraId="61C795BC" w14:textId="77777777" w:rsidTr="005A24A2">
        <w:tc>
          <w:tcPr>
            <w:tcW w:w="4038" w:type="dxa"/>
          </w:tcPr>
          <w:p w14:paraId="1C059780" w14:textId="0EB34996" w:rsidR="00F67273" w:rsidRDefault="00F67273" w:rsidP="0045110B">
            <w:r w:rsidRPr="00F64155">
              <w:rPr>
                <w:i/>
              </w:rPr>
              <w:t>r</w:t>
            </w:r>
            <w:r>
              <w:t xml:space="preserve"> CMSY / </w:t>
            </w:r>
            <w:r w:rsidRPr="00F64155">
              <w:rPr>
                <w:i/>
              </w:rPr>
              <w:t>r</w:t>
            </w:r>
            <w:r>
              <w:t xml:space="preserve"> </w:t>
            </w:r>
            <w:r w:rsidR="0045110B">
              <w:t>BSM</w:t>
            </w:r>
          </w:p>
        </w:tc>
        <w:tc>
          <w:tcPr>
            <w:tcW w:w="1028" w:type="dxa"/>
          </w:tcPr>
          <w:p w14:paraId="1D91D21C" w14:textId="77777777" w:rsidR="00F67273" w:rsidRDefault="00F67273" w:rsidP="005A24A2">
            <w:pPr>
              <w:jc w:val="center"/>
            </w:pPr>
            <w:r>
              <w:t>1.06</w:t>
            </w:r>
          </w:p>
        </w:tc>
        <w:tc>
          <w:tcPr>
            <w:tcW w:w="1534" w:type="dxa"/>
          </w:tcPr>
          <w:p w14:paraId="7E363005" w14:textId="3BE233D7" w:rsidR="00F67273" w:rsidRDefault="00B251BE" w:rsidP="005A24A2">
            <w:pPr>
              <w:jc w:val="center"/>
            </w:pPr>
            <w:r>
              <w:t>0.75</w:t>
            </w:r>
          </w:p>
        </w:tc>
        <w:tc>
          <w:tcPr>
            <w:tcW w:w="1645" w:type="dxa"/>
          </w:tcPr>
          <w:p w14:paraId="7FDD2454" w14:textId="4E179F67" w:rsidR="00F67273" w:rsidRDefault="00B251BE" w:rsidP="005A24A2">
            <w:pPr>
              <w:jc w:val="center"/>
            </w:pPr>
            <w:r>
              <w:t>1.17</w:t>
            </w:r>
          </w:p>
        </w:tc>
      </w:tr>
      <w:tr w:rsidR="00F67273" w14:paraId="1C6BCAEB" w14:textId="77777777" w:rsidTr="005A24A2">
        <w:tc>
          <w:tcPr>
            <w:tcW w:w="4038" w:type="dxa"/>
          </w:tcPr>
          <w:p w14:paraId="40C84ACD" w14:textId="185B259D" w:rsidR="00F67273" w:rsidRDefault="00F67273" w:rsidP="0045110B">
            <w:r>
              <w:rPr>
                <w:i/>
              </w:rPr>
              <w:t>k</w:t>
            </w:r>
            <w:r>
              <w:t xml:space="preserve"> CMSY / </w:t>
            </w:r>
            <w:r>
              <w:rPr>
                <w:i/>
              </w:rPr>
              <w:t>k</w:t>
            </w:r>
            <w:r>
              <w:t xml:space="preserve"> </w:t>
            </w:r>
            <w:r w:rsidR="0045110B">
              <w:t>BSM</w:t>
            </w:r>
          </w:p>
        </w:tc>
        <w:tc>
          <w:tcPr>
            <w:tcW w:w="1028" w:type="dxa"/>
          </w:tcPr>
          <w:p w14:paraId="5EEA7DD3" w14:textId="24853289" w:rsidR="00F67273" w:rsidRDefault="00B251BE" w:rsidP="005A24A2">
            <w:pPr>
              <w:jc w:val="center"/>
            </w:pPr>
            <w:r>
              <w:t>1.07</w:t>
            </w:r>
          </w:p>
        </w:tc>
        <w:tc>
          <w:tcPr>
            <w:tcW w:w="1534" w:type="dxa"/>
          </w:tcPr>
          <w:p w14:paraId="64EA024F" w14:textId="36765064" w:rsidR="00F67273" w:rsidRDefault="00B251BE" w:rsidP="005A24A2">
            <w:pPr>
              <w:jc w:val="center"/>
            </w:pPr>
            <w:r>
              <w:t>0.63</w:t>
            </w:r>
          </w:p>
        </w:tc>
        <w:tc>
          <w:tcPr>
            <w:tcW w:w="1645" w:type="dxa"/>
          </w:tcPr>
          <w:p w14:paraId="006777CE" w14:textId="7C1FF222" w:rsidR="00F67273" w:rsidRDefault="00B251BE" w:rsidP="005A24A2">
            <w:pPr>
              <w:jc w:val="center"/>
            </w:pPr>
            <w:r>
              <w:t>1.60</w:t>
            </w:r>
          </w:p>
        </w:tc>
      </w:tr>
      <w:tr w:rsidR="00F67273" w14:paraId="0F09FBE3" w14:textId="77777777" w:rsidTr="005A24A2">
        <w:tc>
          <w:tcPr>
            <w:tcW w:w="4038" w:type="dxa"/>
          </w:tcPr>
          <w:p w14:paraId="6E544BDF" w14:textId="5A825968" w:rsidR="00F67273" w:rsidRDefault="00F67273" w:rsidP="0045110B">
            <w:r>
              <w:rPr>
                <w:i/>
              </w:rPr>
              <w:t>MSY</w:t>
            </w:r>
            <w:r>
              <w:t xml:space="preserve"> CMSY / </w:t>
            </w:r>
            <w:r>
              <w:rPr>
                <w:i/>
              </w:rPr>
              <w:t>MSY</w:t>
            </w:r>
            <w:r>
              <w:t xml:space="preserve"> </w:t>
            </w:r>
            <w:r w:rsidR="0045110B">
              <w:t>BSM</w:t>
            </w:r>
          </w:p>
        </w:tc>
        <w:tc>
          <w:tcPr>
            <w:tcW w:w="1028" w:type="dxa"/>
          </w:tcPr>
          <w:p w14:paraId="32EFA293" w14:textId="63669D9E" w:rsidR="00F67273" w:rsidRDefault="00F67273" w:rsidP="005A24A2">
            <w:pPr>
              <w:jc w:val="center"/>
            </w:pPr>
            <w:r>
              <w:t>1</w:t>
            </w:r>
            <w:r w:rsidR="00B251BE">
              <w:t>.05</w:t>
            </w:r>
          </w:p>
        </w:tc>
        <w:tc>
          <w:tcPr>
            <w:tcW w:w="1534" w:type="dxa"/>
          </w:tcPr>
          <w:p w14:paraId="2E3C9EEB" w14:textId="3FCBBCCD" w:rsidR="00F67273" w:rsidRDefault="00B251BE" w:rsidP="005A24A2">
            <w:pPr>
              <w:jc w:val="center"/>
            </w:pPr>
            <w:r>
              <w:t>0.70</w:t>
            </w:r>
          </w:p>
        </w:tc>
        <w:tc>
          <w:tcPr>
            <w:tcW w:w="1645" w:type="dxa"/>
          </w:tcPr>
          <w:p w14:paraId="66A97C14" w14:textId="208C3A6B" w:rsidR="00F67273" w:rsidRDefault="00F67273" w:rsidP="00B251BE">
            <w:pPr>
              <w:jc w:val="center"/>
            </w:pPr>
            <w:r>
              <w:t>1.</w:t>
            </w:r>
            <w:r w:rsidR="00B251BE">
              <w:t>68</w:t>
            </w:r>
          </w:p>
        </w:tc>
      </w:tr>
      <w:tr w:rsidR="00F67273" w14:paraId="1A8E5690" w14:textId="77777777" w:rsidTr="005A24A2">
        <w:tc>
          <w:tcPr>
            <w:tcW w:w="4038" w:type="dxa"/>
          </w:tcPr>
          <w:p w14:paraId="0D10E72B" w14:textId="6C220883" w:rsidR="00F67273" w:rsidRDefault="00F67273" w:rsidP="0045110B">
            <w:r>
              <w:t xml:space="preserve">last </w:t>
            </w:r>
            <w:r w:rsidR="0045110B">
              <w:rPr>
                <w:i/>
              </w:rPr>
              <w:t>B</w:t>
            </w:r>
            <w:r>
              <w:t xml:space="preserve"> CMSY / last </w:t>
            </w:r>
            <w:r w:rsidR="0045110B">
              <w:rPr>
                <w:i/>
              </w:rPr>
              <w:t>B</w:t>
            </w:r>
            <w:r>
              <w:t xml:space="preserve"> </w:t>
            </w:r>
            <w:r w:rsidR="0045110B">
              <w:t>BSM</w:t>
            </w:r>
          </w:p>
        </w:tc>
        <w:tc>
          <w:tcPr>
            <w:tcW w:w="1028" w:type="dxa"/>
          </w:tcPr>
          <w:p w14:paraId="5C811CD5" w14:textId="65CAC251" w:rsidR="00F67273" w:rsidRDefault="00F67273" w:rsidP="005A24A2">
            <w:pPr>
              <w:jc w:val="center"/>
            </w:pPr>
            <w:r>
              <w:t>1</w:t>
            </w:r>
            <w:r w:rsidR="00B251BE">
              <w:t>.37</w:t>
            </w:r>
          </w:p>
        </w:tc>
        <w:tc>
          <w:tcPr>
            <w:tcW w:w="1534" w:type="dxa"/>
          </w:tcPr>
          <w:p w14:paraId="603C0AC4" w14:textId="1CEDD5BA" w:rsidR="00F67273" w:rsidRDefault="00B251BE" w:rsidP="005A24A2">
            <w:pPr>
              <w:jc w:val="center"/>
            </w:pPr>
            <w:r>
              <w:t>0.62</w:t>
            </w:r>
          </w:p>
        </w:tc>
        <w:tc>
          <w:tcPr>
            <w:tcW w:w="1645" w:type="dxa"/>
          </w:tcPr>
          <w:p w14:paraId="7A75F6EA" w14:textId="49E05EE1" w:rsidR="00F67273" w:rsidRDefault="00B251BE" w:rsidP="00B251BE">
            <w:pPr>
              <w:jc w:val="center"/>
            </w:pPr>
            <w:r>
              <w:t>7.84</w:t>
            </w:r>
          </w:p>
        </w:tc>
      </w:tr>
      <w:tr w:rsidR="00F67273" w14:paraId="4E2C95C7" w14:textId="77777777" w:rsidTr="005A24A2">
        <w:tc>
          <w:tcPr>
            <w:tcW w:w="4038" w:type="dxa"/>
          </w:tcPr>
          <w:p w14:paraId="619B86D6" w14:textId="1FEF3900" w:rsidR="00F67273" w:rsidRDefault="00F67273" w:rsidP="0045110B">
            <w:r>
              <w:t xml:space="preserve">last </w:t>
            </w:r>
            <w:r w:rsidR="0045110B">
              <w:rPr>
                <w:i/>
              </w:rPr>
              <w:t>B</w:t>
            </w:r>
            <w:r>
              <w:rPr>
                <w:i/>
              </w:rPr>
              <w:t>/k</w:t>
            </w:r>
            <w:r>
              <w:t xml:space="preserve"> CMSY / last observed </w:t>
            </w:r>
            <w:r w:rsidR="0045110B">
              <w:rPr>
                <w:i/>
              </w:rPr>
              <w:t>B</w:t>
            </w:r>
            <w:r>
              <w:rPr>
                <w:i/>
              </w:rPr>
              <w:t>/k</w:t>
            </w:r>
          </w:p>
        </w:tc>
        <w:tc>
          <w:tcPr>
            <w:tcW w:w="1028" w:type="dxa"/>
          </w:tcPr>
          <w:p w14:paraId="2690A63F" w14:textId="52C15B33" w:rsidR="00F67273" w:rsidRDefault="00F67273" w:rsidP="005A24A2">
            <w:pPr>
              <w:jc w:val="center"/>
            </w:pPr>
            <w:r>
              <w:t>1</w:t>
            </w:r>
            <w:r w:rsidR="00B251BE">
              <w:t>.26</w:t>
            </w:r>
          </w:p>
        </w:tc>
        <w:tc>
          <w:tcPr>
            <w:tcW w:w="1534" w:type="dxa"/>
          </w:tcPr>
          <w:p w14:paraId="164684F3" w14:textId="53EB4EE4" w:rsidR="00F67273" w:rsidRDefault="00B251BE" w:rsidP="005A24A2">
            <w:pPr>
              <w:jc w:val="center"/>
            </w:pPr>
            <w:r>
              <w:t>0.51</w:t>
            </w:r>
          </w:p>
        </w:tc>
        <w:tc>
          <w:tcPr>
            <w:tcW w:w="1645" w:type="dxa"/>
          </w:tcPr>
          <w:p w14:paraId="2A670B63" w14:textId="08668ECB" w:rsidR="00F67273" w:rsidRDefault="00B251BE" w:rsidP="005A24A2">
            <w:pPr>
              <w:jc w:val="center"/>
            </w:pPr>
            <w:r>
              <w:t>12.8</w:t>
            </w:r>
          </w:p>
        </w:tc>
      </w:tr>
    </w:tbl>
    <w:p w14:paraId="3B9C563B" w14:textId="5AB1F59B" w:rsidR="00F67273" w:rsidRDefault="00F67273" w:rsidP="00F67273">
      <w:pPr>
        <w:jc w:val="both"/>
        <w:rPr>
          <w:b/>
        </w:rPr>
      </w:pPr>
    </w:p>
    <w:p w14:paraId="32E7DEA5" w14:textId="77777777" w:rsidR="00D4481F" w:rsidRDefault="00D4481F">
      <w:pPr>
        <w:rPr>
          <w:b/>
        </w:rPr>
      </w:pPr>
    </w:p>
    <w:p w14:paraId="105EEEEC" w14:textId="77777777" w:rsidR="00D4481F" w:rsidRDefault="00D4481F" w:rsidP="00D4481F"/>
    <w:p w14:paraId="122AE237" w14:textId="63F08171" w:rsidR="00D4481F" w:rsidRDefault="00D4481F">
      <w:pPr>
        <w:rPr>
          <w:bCs/>
          <w:color w:val="000000" w:themeColor="text1"/>
        </w:rPr>
      </w:pPr>
    </w:p>
    <w:p w14:paraId="52BAD444" w14:textId="5B95DD91" w:rsidR="00DE4D38" w:rsidRDefault="00DE4D38">
      <w:pPr>
        <w:rPr>
          <w:b/>
        </w:rPr>
      </w:pPr>
      <w:r>
        <w:rPr>
          <w:b/>
        </w:rPr>
        <w:br w:type="page"/>
      </w:r>
    </w:p>
    <w:p w14:paraId="1F61DF51" w14:textId="76125BB2" w:rsidR="00F67273" w:rsidRDefault="00DE4D38" w:rsidP="00DE4D38">
      <w:pPr>
        <w:spacing w:line="480" w:lineRule="auto"/>
        <w:jc w:val="both"/>
        <w:rPr>
          <w:b/>
        </w:rPr>
      </w:pPr>
      <w:r>
        <w:rPr>
          <w:b/>
        </w:rPr>
        <w:lastRenderedPageBreak/>
        <w:t>Figure legends</w:t>
      </w:r>
    </w:p>
    <w:p w14:paraId="4FE467A9" w14:textId="09D03F3A" w:rsidR="00DE4D38" w:rsidRDefault="00DE4D38" w:rsidP="00DE4D38">
      <w:pPr>
        <w:spacing w:line="480" w:lineRule="auto"/>
      </w:pPr>
      <w:bookmarkStart w:id="36" w:name="_Ref428274605"/>
      <w:r>
        <w:t xml:space="preserve">Figure </w:t>
      </w:r>
      <w:r w:rsidR="004375DE">
        <w:fldChar w:fldCharType="begin"/>
      </w:r>
      <w:r w:rsidR="004375DE">
        <w:instrText xml:space="preserve"> SEQ Figure \* ARABIC </w:instrText>
      </w:r>
      <w:r w:rsidR="004375DE">
        <w:fldChar w:fldCharType="separate"/>
      </w:r>
      <w:r w:rsidR="00B806B6">
        <w:rPr>
          <w:noProof/>
        </w:rPr>
        <w:t>1</w:t>
      </w:r>
      <w:r w:rsidR="004375DE">
        <w:rPr>
          <w:noProof/>
        </w:rPr>
        <w:fldChar w:fldCharType="end"/>
      </w:r>
      <w:bookmarkEnd w:id="36"/>
      <w:r>
        <w:t xml:space="preserve">. Viable </w:t>
      </w:r>
      <w:r w:rsidRPr="00FE6256">
        <w:rPr>
          <w:i/>
        </w:rPr>
        <w:t>r-k</w:t>
      </w:r>
      <w:r>
        <w:t xml:space="preserve"> pairs for Pacific Bluefin tuna (</w:t>
      </w:r>
      <w:r>
        <w:rPr>
          <w:i/>
        </w:rPr>
        <w:t>Thunnus orientalis</w:t>
      </w:r>
      <w:r w:rsidRPr="00571057">
        <w:t xml:space="preserve">, </w:t>
      </w:r>
      <w:r w:rsidR="00571057" w:rsidRPr="00571057">
        <w:t xml:space="preserve">Scombridae, </w:t>
      </w:r>
      <w:r w:rsidRPr="00872969">
        <w:t>BFTuna_P</w:t>
      </w:r>
      <w:r>
        <w:t xml:space="preserve">). The </w:t>
      </w:r>
      <w:r w:rsidR="000C6BD6">
        <w:t xml:space="preserve">viable </w:t>
      </w:r>
      <w:r w:rsidRPr="00C0397C">
        <w:rPr>
          <w:i/>
        </w:rPr>
        <w:t>r-k</w:t>
      </w:r>
      <w:r>
        <w:t xml:space="preserve"> pairs that fulfilled the CMSY conditions are shown in gr</w:t>
      </w:r>
      <w:r w:rsidR="00864F7E">
        <w:t>e</w:t>
      </w:r>
      <w:r>
        <w:t xml:space="preserve">y. The most probable </w:t>
      </w:r>
      <w:r w:rsidRPr="00F07CA3">
        <w:rPr>
          <w:i/>
        </w:rPr>
        <w:t>r-k</w:t>
      </w:r>
      <w:r>
        <w:t xml:space="preserve"> pair is marked by the black </w:t>
      </w:r>
      <w:r w:rsidR="00864F7E">
        <w:t>cross</w:t>
      </w:r>
      <w:r>
        <w:t>, with indication of approximate 95% confidence limits.</w:t>
      </w:r>
      <w:r w:rsidR="00864F7E">
        <w:t xml:space="preserve"> The black dots show the estimates of the BSM method, with the white cross indicating the 95% confidence limits. The overlapping confidence intervals indicate that the estimates of CMSY and BSM for the most probable </w:t>
      </w:r>
      <w:r w:rsidR="00864F7E" w:rsidRPr="00864F7E">
        <w:rPr>
          <w:i/>
        </w:rPr>
        <w:t>r-k</w:t>
      </w:r>
      <w:r w:rsidR="00864F7E">
        <w:t xml:space="preserve"> pair are not significantly different </w:t>
      </w:r>
      <w:r>
        <w:t>[</w:t>
      </w:r>
      <w:r w:rsidRPr="00436B17">
        <w:t>CMSY_4</w:t>
      </w:r>
      <w:r w:rsidR="00864F7E">
        <w:t>6e</w:t>
      </w:r>
      <w:r w:rsidRPr="00436B17">
        <w:t>Fig1.R</w:t>
      </w:r>
      <w:r>
        <w:t>]</w:t>
      </w:r>
    </w:p>
    <w:p w14:paraId="4214C01F" w14:textId="77777777" w:rsidR="00DE4D38" w:rsidRDefault="00DE4D38" w:rsidP="00DE4D38">
      <w:pPr>
        <w:spacing w:line="480" w:lineRule="auto"/>
      </w:pPr>
    </w:p>
    <w:p w14:paraId="33F80E69" w14:textId="435E0AC7" w:rsidR="00DE4D38" w:rsidRDefault="00DE4D38" w:rsidP="00DE4D38">
      <w:pPr>
        <w:spacing w:line="480" w:lineRule="auto"/>
      </w:pPr>
      <w:r>
        <w:t xml:space="preserve">Figure </w:t>
      </w:r>
      <w:r w:rsidR="004375DE">
        <w:fldChar w:fldCharType="begin"/>
      </w:r>
      <w:r w:rsidR="004375DE">
        <w:instrText xml:space="preserve"> SEQ Figure \* ARABIC </w:instrText>
      </w:r>
      <w:r w:rsidR="004375DE">
        <w:fldChar w:fldCharType="separate"/>
      </w:r>
      <w:r w:rsidR="00B806B6">
        <w:rPr>
          <w:noProof/>
        </w:rPr>
        <w:t>2</w:t>
      </w:r>
      <w:r w:rsidR="004375DE">
        <w:rPr>
          <w:noProof/>
        </w:rPr>
        <w:fldChar w:fldCharType="end"/>
      </w:r>
      <w:r>
        <w:t>. Results of CMSY analysis for North</w:t>
      </w:r>
      <w:r w:rsidR="00571057">
        <w:t xml:space="preserve"> Sea herring (her-47d3). Panel (a)</w:t>
      </w:r>
      <w:r>
        <w:t xml:space="preserve"> shows the biomass trajectory predicted by CMSY</w:t>
      </w:r>
      <w:r w:rsidR="005E269F">
        <w:t xml:space="preserve"> in bold</w:t>
      </w:r>
      <w:r>
        <w:t xml:space="preserve">, </w:t>
      </w:r>
      <w:r w:rsidR="000C6BD6">
        <w:t xml:space="preserve">together </w:t>
      </w:r>
      <w:r>
        <w:t>with</w:t>
      </w:r>
      <w:r w:rsidR="000C6BD6">
        <w:t xml:space="preserve"> the</w:t>
      </w:r>
      <w:r>
        <w:t xml:space="preserve"> 2.5</w:t>
      </w:r>
      <w:r w:rsidRPr="006C419A">
        <w:rPr>
          <w:vertAlign w:val="superscript"/>
        </w:rPr>
        <w:t>th</w:t>
      </w:r>
      <w:r>
        <w:t xml:space="preserve"> and 97.5</w:t>
      </w:r>
      <w:r w:rsidRPr="006C419A">
        <w:rPr>
          <w:vertAlign w:val="superscript"/>
        </w:rPr>
        <w:t>th</w:t>
      </w:r>
      <w:r>
        <w:t xml:space="preserve"> percentiles. The dashed curve is the observed biomass, scaled by </w:t>
      </w:r>
      <w:r w:rsidRPr="00F54FBF">
        <w:rPr>
          <w:i/>
        </w:rPr>
        <w:t>k</w:t>
      </w:r>
      <w:r>
        <w:t xml:space="preserve"> as estimated by </w:t>
      </w:r>
      <w:r w:rsidR="006228E3">
        <w:t>BSM</w:t>
      </w:r>
      <w:r>
        <w:t xml:space="preserve">. The dotted vertical lines indicate the prior ranges for relative biomass. The dashed horizontal line indicates </w:t>
      </w:r>
      <w:r w:rsidRPr="00D36A70">
        <w:rPr>
          <w:i/>
        </w:rPr>
        <w:t>B</w:t>
      </w:r>
      <w:r w:rsidRPr="00D36A70">
        <w:rPr>
          <w:i/>
          <w:vertAlign w:val="subscript"/>
        </w:rPr>
        <w:t>msy</w:t>
      </w:r>
      <w:r>
        <w:t xml:space="preserve"> = 0.5 </w:t>
      </w:r>
      <w:r w:rsidRPr="00D36A70">
        <w:rPr>
          <w:i/>
        </w:rPr>
        <w:t>k</w:t>
      </w:r>
      <w:r>
        <w:t xml:space="preserve"> and the dotted horizontal line indicates half </w:t>
      </w:r>
      <w:r w:rsidRPr="00D36A70">
        <w:rPr>
          <w:i/>
        </w:rPr>
        <w:t>B</w:t>
      </w:r>
      <w:r w:rsidRPr="00D36A70">
        <w:rPr>
          <w:i/>
          <w:vertAlign w:val="subscript"/>
        </w:rPr>
        <w:t>msy</w:t>
      </w:r>
      <w:r>
        <w:t xml:space="preserve"> as </w:t>
      </w:r>
      <w:r w:rsidR="005E269F">
        <w:t xml:space="preserve">the </w:t>
      </w:r>
      <w:r>
        <w:t xml:space="preserve">border below which recruitment may be reduced. Panel </w:t>
      </w:r>
      <w:r w:rsidR="00571057">
        <w:t>(b)</w:t>
      </w:r>
      <w:r>
        <w:t xml:space="preserve"> shows the relative exploitation rate </w:t>
      </w:r>
      <w:r w:rsidRPr="006C419A">
        <w:rPr>
          <w:i/>
        </w:rPr>
        <w:t>u</w:t>
      </w:r>
      <w:r>
        <w:rPr>
          <w:i/>
        </w:rPr>
        <w:t>/u</w:t>
      </w:r>
      <w:r w:rsidRPr="006C419A">
        <w:rPr>
          <w:i/>
          <w:vertAlign w:val="subscript"/>
        </w:rPr>
        <w:t>msy</w:t>
      </w:r>
      <w:r>
        <w:t xml:space="preserve"> as estimated by CMSY</w:t>
      </w:r>
      <w:r w:rsidR="005E269F">
        <w:t xml:space="preserve"> in bold</w:t>
      </w:r>
      <w:r>
        <w:t xml:space="preserve">. The dashed curve shows the observed ratio of catches over total biomass, scaled by 0.5 </w:t>
      </w:r>
      <w:r w:rsidRPr="00D36A70">
        <w:rPr>
          <w:i/>
        </w:rPr>
        <w:t>r</w:t>
      </w:r>
      <w:r>
        <w:t xml:space="preserve"> as estimated by </w:t>
      </w:r>
      <w:r w:rsidR="006228E3">
        <w:t>BSM</w:t>
      </w:r>
      <w:r>
        <w:t>. [</w:t>
      </w:r>
      <w:r w:rsidRPr="002662C0">
        <w:t>CMSY_4</w:t>
      </w:r>
      <w:r w:rsidR="00EF7947">
        <w:t>6e</w:t>
      </w:r>
      <w:r w:rsidRPr="002662C0">
        <w:t>Fig2</w:t>
      </w:r>
      <w:r w:rsidR="00B22F78">
        <w:t>_2</w:t>
      </w:r>
      <w:r w:rsidRPr="002662C0">
        <w:t>.R</w:t>
      </w:r>
      <w:r>
        <w:t>]</w:t>
      </w:r>
    </w:p>
    <w:p w14:paraId="716D65A4" w14:textId="77777777" w:rsidR="00DE4D38" w:rsidRDefault="00DE4D38" w:rsidP="00DE4D38">
      <w:pPr>
        <w:spacing w:line="480" w:lineRule="auto"/>
      </w:pPr>
    </w:p>
    <w:p w14:paraId="05138CB1" w14:textId="44817A7B" w:rsidR="00DE4D38" w:rsidRDefault="00DE4D38" w:rsidP="00DE4D38">
      <w:pPr>
        <w:spacing w:line="480" w:lineRule="auto"/>
      </w:pPr>
      <w:r>
        <w:t xml:space="preserve">Figure </w:t>
      </w:r>
      <w:r w:rsidR="004375DE">
        <w:fldChar w:fldCharType="begin"/>
      </w:r>
      <w:r w:rsidR="004375DE">
        <w:instrText xml:space="preserve"> SEQ Figure \* ARABIC </w:instrText>
      </w:r>
      <w:r w:rsidR="004375DE">
        <w:fldChar w:fldCharType="separate"/>
      </w:r>
      <w:r w:rsidR="00B806B6">
        <w:rPr>
          <w:noProof/>
        </w:rPr>
        <w:t>3</w:t>
      </w:r>
      <w:r w:rsidR="004375DE">
        <w:rPr>
          <w:noProof/>
        </w:rPr>
        <w:fldChar w:fldCharType="end"/>
      </w:r>
      <w:r>
        <w:t xml:space="preserve">. CMSY output showing catch relative to </w:t>
      </w:r>
      <w:r w:rsidRPr="0045455A">
        <w:rPr>
          <w:i/>
        </w:rPr>
        <w:t>MSY</w:t>
      </w:r>
      <w:r>
        <w:t xml:space="preserve"> over biomass relative to unexploited stock size for two simulated stocks. The open circles indicate true data, the black dots indicate estimates by </w:t>
      </w:r>
      <w:r w:rsidR="00037613">
        <w:t>BSM</w:t>
      </w:r>
      <w:r>
        <w:t xml:space="preserve"> and the gray dots indicate estimates by CMSY. Panel </w:t>
      </w:r>
      <w:r w:rsidR="0065121F">
        <w:t>(a)</w:t>
      </w:r>
      <w:r>
        <w:t xml:space="preserve"> shows results for a simulated stock with i</w:t>
      </w:r>
      <w:r w:rsidR="00037613">
        <w:t xml:space="preserve">ncreasing biomass and </w:t>
      </w:r>
      <w:r>
        <w:t>low resilience (</w:t>
      </w:r>
      <w:r w:rsidR="006A6A4D">
        <w:t xml:space="preserve">see </w:t>
      </w:r>
      <w:r w:rsidR="00037613">
        <w:t>LH_</w:t>
      </w:r>
      <w:r>
        <w:t>L</w:t>
      </w:r>
      <w:r w:rsidR="006A6A4D">
        <w:t xml:space="preserve"> in Appendix I in the online Supplement</w:t>
      </w:r>
      <w:r>
        <w:t xml:space="preserve">). Panel </w:t>
      </w:r>
      <w:r w:rsidR="0065121F">
        <w:t>(b)</w:t>
      </w:r>
      <w:r>
        <w:t xml:space="preserve"> shows results for a simulated stock with declining biomass for a species with high resilience (</w:t>
      </w:r>
      <w:r w:rsidR="00037613">
        <w:t xml:space="preserve">see </w:t>
      </w:r>
      <w:r w:rsidR="006A6A4D">
        <w:t>HL_H in Appendix I in the online Supplement</w:t>
      </w:r>
      <w:r>
        <w:t xml:space="preserve">). </w:t>
      </w:r>
      <w:r w:rsidR="00B96A9A">
        <w:t xml:space="preserve">The indentation of the parabolas below 0.25 </w:t>
      </w:r>
      <w:r w:rsidR="00B96A9A" w:rsidRPr="00B96A9A">
        <w:rPr>
          <w:i/>
        </w:rPr>
        <w:t>k</w:t>
      </w:r>
      <w:r w:rsidR="00B96A9A">
        <w:t xml:space="preserve"> </w:t>
      </w:r>
      <w:r w:rsidR="000C6BD6">
        <w:t xml:space="preserve">(half of </w:t>
      </w:r>
      <w:r w:rsidR="000C6BD6" w:rsidRPr="00D36A70">
        <w:rPr>
          <w:i/>
        </w:rPr>
        <w:t>B</w:t>
      </w:r>
      <w:r w:rsidR="000C6BD6" w:rsidRPr="00D36A70">
        <w:rPr>
          <w:i/>
          <w:vertAlign w:val="subscript"/>
        </w:rPr>
        <w:t>msy</w:t>
      </w:r>
      <w:r w:rsidR="000C6BD6">
        <w:t xml:space="preserve">) </w:t>
      </w:r>
      <w:r w:rsidR="00B96A9A">
        <w:t xml:space="preserve">results from the inclusion of a stock-recruitment model which assumes reduced recruitment at low stock sizes. </w:t>
      </w:r>
      <w:r>
        <w:t>[</w:t>
      </w:r>
      <w:r w:rsidR="00037613">
        <w:t>CMSY_46e</w:t>
      </w:r>
      <w:r w:rsidRPr="00612948">
        <w:t>Fig3</w:t>
      </w:r>
      <w:r w:rsidR="00B22F78">
        <w:t>_2</w:t>
      </w:r>
      <w:r w:rsidRPr="00612948">
        <w:t>.R</w:t>
      </w:r>
      <w:r>
        <w:t>]</w:t>
      </w:r>
    </w:p>
    <w:p w14:paraId="0FD39EB8" w14:textId="77777777" w:rsidR="00DE4D38" w:rsidRDefault="00DE4D38" w:rsidP="00DE4D38">
      <w:pPr>
        <w:spacing w:line="480" w:lineRule="auto"/>
      </w:pPr>
    </w:p>
    <w:p w14:paraId="3749CCF7" w14:textId="5707E439" w:rsidR="00DE4D38" w:rsidRDefault="00DE4D38" w:rsidP="00DE4D38">
      <w:pPr>
        <w:spacing w:line="480" w:lineRule="auto"/>
      </w:pPr>
      <w:r>
        <w:t xml:space="preserve">Figure </w:t>
      </w:r>
      <w:r w:rsidR="004375DE">
        <w:fldChar w:fldCharType="begin"/>
      </w:r>
      <w:r w:rsidR="004375DE">
        <w:instrText xml:space="preserve"> SEQ Figure \* ARABIC </w:instrText>
      </w:r>
      <w:r w:rsidR="004375DE">
        <w:fldChar w:fldCharType="separate"/>
      </w:r>
      <w:r w:rsidR="00B806B6">
        <w:rPr>
          <w:noProof/>
        </w:rPr>
        <w:t>4</w:t>
      </w:r>
      <w:r w:rsidR="004375DE">
        <w:rPr>
          <w:noProof/>
        </w:rPr>
        <w:fldChar w:fldCharType="end"/>
      </w:r>
      <w:r>
        <w:t xml:space="preserve">. CMSY predictions of relative biomass </w:t>
      </w:r>
      <w:r w:rsidRPr="00040445">
        <w:rPr>
          <w:i/>
        </w:rPr>
        <w:t>B</w:t>
      </w:r>
      <w:r>
        <w:t>/</w:t>
      </w:r>
      <w:r w:rsidRPr="00040445">
        <w:rPr>
          <w:i/>
        </w:rPr>
        <w:t>k</w:t>
      </w:r>
      <w:r>
        <w:t xml:space="preserve"> (bold curve) with 2.5</w:t>
      </w:r>
      <w:r w:rsidRPr="00040445">
        <w:rPr>
          <w:vertAlign w:val="superscript"/>
        </w:rPr>
        <w:t>th</w:t>
      </w:r>
      <w:r>
        <w:t xml:space="preserve"> and 95</w:t>
      </w:r>
      <w:r w:rsidRPr="00040445">
        <w:rPr>
          <w:vertAlign w:val="superscript"/>
        </w:rPr>
        <w:t>th</w:t>
      </w:r>
      <w:r>
        <w:t xml:space="preserve"> percentiles (thin curves) compared to observed biomass (dashed curve) scaled by the respective BSM estimate for </w:t>
      </w:r>
      <w:r w:rsidRPr="00040445">
        <w:rPr>
          <w:i/>
        </w:rPr>
        <w:t>k</w:t>
      </w:r>
      <w:r w:rsidR="005E269F" w:rsidRPr="005E269F">
        <w:t xml:space="preserve"> </w:t>
      </w:r>
      <w:r w:rsidR="005E269F">
        <w:t xml:space="preserve">for </w:t>
      </w:r>
      <w:r w:rsidR="0065121F">
        <w:t xml:space="preserve">(a) </w:t>
      </w:r>
      <w:r w:rsidR="005E269F">
        <w:t xml:space="preserve">North Atlantic swordfish (Swordfish_NA), </w:t>
      </w:r>
      <w:r w:rsidR="0065121F">
        <w:t xml:space="preserve">(b) </w:t>
      </w:r>
      <w:r w:rsidR="005E269F">
        <w:t xml:space="preserve">Arctic cod (cod-arct), </w:t>
      </w:r>
      <w:r w:rsidR="0065121F">
        <w:t xml:space="preserve">(c) </w:t>
      </w:r>
      <w:r w:rsidR="005E269F">
        <w:t>Northwest Atlantic Yellow tail flounder (</w:t>
      </w:r>
      <w:r w:rsidR="005E269F" w:rsidRPr="006A6A4D">
        <w:rPr>
          <w:i/>
        </w:rPr>
        <w:t>Limanda ferruginea</w:t>
      </w:r>
      <w:r w:rsidR="005E269F">
        <w:t xml:space="preserve">, </w:t>
      </w:r>
      <w:r w:rsidR="0065121F">
        <w:t xml:space="preserve">Pleuronectidae, </w:t>
      </w:r>
      <w:r w:rsidR="005E269F">
        <w:t xml:space="preserve">YTFLo_MA), and </w:t>
      </w:r>
      <w:r w:rsidR="0065121F">
        <w:t xml:space="preserve">(d) </w:t>
      </w:r>
      <w:r w:rsidR="005E269F">
        <w:t>Western Baltic herring (</w:t>
      </w:r>
      <w:r w:rsidR="005E269F" w:rsidRPr="006A6A4D">
        <w:rPr>
          <w:i/>
        </w:rPr>
        <w:t>Clupea harengus</w:t>
      </w:r>
      <w:r w:rsidR="005E269F">
        <w:t xml:space="preserve">, </w:t>
      </w:r>
      <w:r w:rsidR="0065121F">
        <w:t xml:space="preserve">Clupeidae, </w:t>
      </w:r>
      <w:r w:rsidR="005E269F">
        <w:t>her-3a22)</w:t>
      </w:r>
      <w:r>
        <w:t xml:space="preserve">. The horizontal lines emphasize </w:t>
      </w:r>
      <w:r w:rsidRPr="00040445">
        <w:rPr>
          <w:i/>
        </w:rPr>
        <w:t>B</w:t>
      </w:r>
      <w:r w:rsidRPr="00040445">
        <w:rPr>
          <w:i/>
          <w:vertAlign w:val="subscript"/>
        </w:rPr>
        <w:t>msy</w:t>
      </w:r>
      <w:r w:rsidR="006A6A4D">
        <w:rPr>
          <w:i/>
          <w:vertAlign w:val="subscript"/>
        </w:rPr>
        <w:t xml:space="preserve"> </w:t>
      </w:r>
      <w:r>
        <w:t>=</w:t>
      </w:r>
      <w:r w:rsidR="006A6A4D">
        <w:t xml:space="preserve"> </w:t>
      </w:r>
      <w:r>
        <w:t xml:space="preserve">0.5 </w:t>
      </w:r>
      <w:r w:rsidRPr="00040445">
        <w:rPr>
          <w:i/>
        </w:rPr>
        <w:t>k</w:t>
      </w:r>
      <w:r>
        <w:t xml:space="preserve"> and </w:t>
      </w:r>
      <w:r w:rsidR="000C6BD6">
        <w:t xml:space="preserve">0.5 </w:t>
      </w:r>
      <w:r w:rsidRPr="00040445">
        <w:rPr>
          <w:i/>
        </w:rPr>
        <w:t>B</w:t>
      </w:r>
      <w:r w:rsidRPr="00040445">
        <w:rPr>
          <w:i/>
          <w:vertAlign w:val="subscript"/>
        </w:rPr>
        <w:t>msy</w:t>
      </w:r>
      <w:r>
        <w:t xml:space="preserve"> = 0.25 </w:t>
      </w:r>
      <w:r w:rsidRPr="00040445">
        <w:rPr>
          <w:i/>
        </w:rPr>
        <w:t>k</w:t>
      </w:r>
      <w:r>
        <w:t xml:space="preserve">. The dotted vertical lines indicate the prior estimates of biomass. </w:t>
      </w:r>
      <w:r w:rsidRPr="00D630A3">
        <w:t>[CMSY_</w:t>
      </w:r>
      <w:r w:rsidR="00EF7947">
        <w:t>46e</w:t>
      </w:r>
      <w:r w:rsidRPr="00D630A3">
        <w:t>Fig4</w:t>
      </w:r>
      <w:r w:rsidR="00B22F78">
        <w:t>_2</w:t>
      </w:r>
      <w:r w:rsidRPr="00D630A3">
        <w:t>.R</w:t>
      </w:r>
      <w:r>
        <w:t>]</w:t>
      </w:r>
    </w:p>
    <w:p w14:paraId="6C35D4C1" w14:textId="77777777" w:rsidR="00DE4D38" w:rsidRDefault="00DE4D38" w:rsidP="00DE4D38">
      <w:pPr>
        <w:spacing w:line="480" w:lineRule="auto"/>
      </w:pPr>
    </w:p>
    <w:p w14:paraId="7A00EFDD" w14:textId="4327C954" w:rsidR="00DE4D38" w:rsidRDefault="00DE4D38" w:rsidP="00DE4D38">
      <w:pPr>
        <w:spacing w:line="480" w:lineRule="auto"/>
      </w:pPr>
      <w:r>
        <w:t xml:space="preserve">Figure </w:t>
      </w:r>
      <w:r w:rsidR="004375DE">
        <w:fldChar w:fldCharType="begin"/>
      </w:r>
      <w:r w:rsidR="004375DE">
        <w:instrText xml:space="preserve"> SEQ Figure \* ARABIC </w:instrText>
      </w:r>
      <w:r w:rsidR="004375DE">
        <w:fldChar w:fldCharType="separate"/>
      </w:r>
      <w:r w:rsidR="00B806B6">
        <w:rPr>
          <w:noProof/>
        </w:rPr>
        <w:t>5</w:t>
      </w:r>
      <w:r w:rsidR="004375DE">
        <w:rPr>
          <w:noProof/>
        </w:rPr>
        <w:fldChar w:fldCharType="end"/>
      </w:r>
      <w:r>
        <w:t xml:space="preserve">. </w:t>
      </w:r>
      <w:r w:rsidR="00321845">
        <w:t xml:space="preserve">Summary of information relevant for management of Baltic brill (bll-2232). The horizontal dashed line in the catch graph indicates </w:t>
      </w:r>
      <w:r w:rsidR="00321845" w:rsidRPr="00DF58E5">
        <w:rPr>
          <w:i/>
        </w:rPr>
        <w:t>MSY</w:t>
      </w:r>
      <w:r w:rsidR="00321845">
        <w:t xml:space="preserve"> and the dotted line indicates the lower confidence limit of </w:t>
      </w:r>
      <w:r w:rsidR="00321845" w:rsidRPr="00271C49">
        <w:rPr>
          <w:i/>
        </w:rPr>
        <w:t>MSY</w:t>
      </w:r>
      <w:r w:rsidR="00321845">
        <w:t xml:space="preserve">. The bold curve in the relative biomass graph is the biomass predicted by CMSY, with confidence limits (dotted curves). The normal curve indicates CPUE scaled by the catchability coefficient estimated by BSM. The horizontal dashed line indicates </w:t>
      </w:r>
      <w:r w:rsidR="00321845" w:rsidRPr="00271C49">
        <w:rPr>
          <w:i/>
        </w:rPr>
        <w:t>B</w:t>
      </w:r>
      <w:r w:rsidR="00321845" w:rsidRPr="00271C49">
        <w:rPr>
          <w:i/>
          <w:vertAlign w:val="subscript"/>
        </w:rPr>
        <w:t>msy</w:t>
      </w:r>
      <w:r w:rsidR="00321845">
        <w:t xml:space="preserve"> and the dotted line indicates half of </w:t>
      </w:r>
      <w:r w:rsidR="00321845" w:rsidRPr="00271C49">
        <w:rPr>
          <w:i/>
        </w:rPr>
        <w:t>B</w:t>
      </w:r>
      <w:r w:rsidR="00321845" w:rsidRPr="00271C49">
        <w:rPr>
          <w:i/>
          <w:vertAlign w:val="subscript"/>
        </w:rPr>
        <w:t>msy</w:t>
      </w:r>
      <w:r w:rsidR="00321845">
        <w:t xml:space="preserve">. The Exploitation rate graph shows catch over biomass predicted by CMSY (bold curve) and catch over CPUE (normal curve) scaled by catchability </w:t>
      </w:r>
      <w:r w:rsidR="00321845" w:rsidRPr="0086353E">
        <w:rPr>
          <w:i/>
        </w:rPr>
        <w:t>q</w:t>
      </w:r>
      <w:r w:rsidR="00321845">
        <w:t xml:space="preserve"> estimated by BSM. The dashed horizontal line indicates exploitation compatible with </w:t>
      </w:r>
      <w:r w:rsidR="00321845" w:rsidRPr="003A04A6">
        <w:rPr>
          <w:i/>
        </w:rPr>
        <w:t>MSY</w:t>
      </w:r>
      <w:r w:rsidR="00321845">
        <w:t xml:space="preserve">. The stock status graph shows the development of biomass and exploitation relative to </w:t>
      </w:r>
      <w:r w:rsidR="00321845" w:rsidRPr="00271C49">
        <w:rPr>
          <w:i/>
        </w:rPr>
        <w:t>B</w:t>
      </w:r>
      <w:r w:rsidR="00321845" w:rsidRPr="00271C49">
        <w:rPr>
          <w:i/>
          <w:vertAlign w:val="subscript"/>
        </w:rPr>
        <w:t>msy</w:t>
      </w:r>
      <w:r w:rsidR="00321845">
        <w:t xml:space="preserve"> (horizontal dashed line) and </w:t>
      </w:r>
      <w:r w:rsidR="00321845">
        <w:rPr>
          <w:i/>
        </w:rPr>
        <w:t>u</w:t>
      </w:r>
      <w:r w:rsidR="00321845" w:rsidRPr="00271C49">
        <w:rPr>
          <w:i/>
          <w:vertAlign w:val="subscript"/>
        </w:rPr>
        <w:t>msy</w:t>
      </w:r>
      <w:r w:rsidR="00321845">
        <w:t xml:space="preserve"> (vertical dashed line), respectively. The horizontal dotted line indicates the biomass (0.5 </w:t>
      </w:r>
      <w:r w:rsidR="00321845" w:rsidRPr="00271C49">
        <w:rPr>
          <w:i/>
        </w:rPr>
        <w:t>B</w:t>
      </w:r>
      <w:r w:rsidR="00321845" w:rsidRPr="00271C49">
        <w:rPr>
          <w:i/>
          <w:vertAlign w:val="subscript"/>
        </w:rPr>
        <w:t>msy</w:t>
      </w:r>
      <w:r w:rsidR="00321845">
        <w:t>) below which recruitment may be impaired, and the rhomb indicates the final year in the time series. The bold curve refers to CMSY and the normal curve to BSM estimates [CMSY_46eFig5-6</w:t>
      </w:r>
      <w:r w:rsidR="00B22F78">
        <w:t>_2</w:t>
      </w:r>
      <w:r w:rsidR="00321845">
        <w:t>.R]</w:t>
      </w:r>
    </w:p>
    <w:p w14:paraId="6A78878C" w14:textId="77777777" w:rsidR="00DE4D38" w:rsidRDefault="00DE4D38" w:rsidP="00DE4D38">
      <w:pPr>
        <w:spacing w:line="480" w:lineRule="auto"/>
      </w:pPr>
    </w:p>
    <w:p w14:paraId="103867FE" w14:textId="7979C0D8" w:rsidR="00DE4D38" w:rsidRDefault="00DE4D38" w:rsidP="00DE4D38">
      <w:pPr>
        <w:spacing w:line="480" w:lineRule="auto"/>
      </w:pPr>
      <w:r>
        <w:t xml:space="preserve">Figure </w:t>
      </w:r>
      <w:r w:rsidR="004375DE">
        <w:fldChar w:fldCharType="begin"/>
      </w:r>
      <w:r w:rsidR="004375DE">
        <w:instrText xml:space="preserve"> SEQ Fig</w:instrText>
      </w:r>
      <w:r w:rsidR="004375DE">
        <w:instrText xml:space="preserve">ure \* ARABIC </w:instrText>
      </w:r>
      <w:r w:rsidR="004375DE">
        <w:fldChar w:fldCharType="separate"/>
      </w:r>
      <w:r w:rsidR="00B806B6">
        <w:rPr>
          <w:noProof/>
        </w:rPr>
        <w:t>6</w:t>
      </w:r>
      <w:r w:rsidR="004375DE">
        <w:rPr>
          <w:noProof/>
        </w:rPr>
        <w:fldChar w:fldCharType="end"/>
      </w:r>
      <w:r>
        <w:t xml:space="preserve">. </w:t>
      </w:r>
      <w:r w:rsidR="00321845">
        <w:t xml:space="preserve">Summary of information relevant for management of blond ray in the Northeast Atlantic (ICES area IXa). See Figure 5 for explanation of graphs. Note that CMSY curves are in bold. CPUE and catch </w:t>
      </w:r>
      <w:r w:rsidR="00321845">
        <w:lastRenderedPageBreak/>
        <w:t xml:space="preserve">over CPUE are plotted against their own axes in </w:t>
      </w:r>
      <w:r w:rsidR="0065121F">
        <w:t>(b)</w:t>
      </w:r>
      <w:r w:rsidR="00321845">
        <w:t xml:space="preserve"> Relative biomass and </w:t>
      </w:r>
      <w:r w:rsidR="0065121F">
        <w:t xml:space="preserve">(c) </w:t>
      </w:r>
      <w:r w:rsidR="00321845">
        <w:t>Exploitation rate because the time series was too short for BSM analysis. [CMSY_46eFig5_6</w:t>
      </w:r>
      <w:r w:rsidR="00B22F78">
        <w:t>_2</w:t>
      </w:r>
      <w:r w:rsidR="00321845">
        <w:t>.R]</w:t>
      </w:r>
    </w:p>
    <w:p w14:paraId="1D0C25C9" w14:textId="5A092117" w:rsidR="00DE4D38" w:rsidRDefault="00DE4D38">
      <w:pPr>
        <w:rPr>
          <w:b/>
        </w:rPr>
      </w:pPr>
      <w:r>
        <w:rPr>
          <w:b/>
        </w:rPr>
        <w:br w:type="page"/>
      </w:r>
    </w:p>
    <w:p w14:paraId="40FBA875" w14:textId="74EA7CB9" w:rsidR="00DE4D38" w:rsidRDefault="00DE4D38" w:rsidP="00F67273">
      <w:pPr>
        <w:jc w:val="both"/>
        <w:rPr>
          <w:b/>
        </w:rPr>
      </w:pPr>
      <w:r>
        <w:rPr>
          <w:b/>
        </w:rPr>
        <w:lastRenderedPageBreak/>
        <w:t>Figures</w:t>
      </w:r>
    </w:p>
    <w:p w14:paraId="2E93BDF0" w14:textId="77777777" w:rsidR="00DE4D38" w:rsidRDefault="00DE4D38" w:rsidP="00F67273">
      <w:pPr>
        <w:jc w:val="both"/>
        <w:rPr>
          <w:b/>
        </w:rPr>
      </w:pPr>
    </w:p>
    <w:p w14:paraId="7BA7B66F" w14:textId="77777777" w:rsidR="00DE4D38" w:rsidRDefault="00DE4D38" w:rsidP="00DE4D38">
      <w:pPr>
        <w:spacing w:after="120" w:line="480" w:lineRule="auto"/>
      </w:pPr>
      <w:r>
        <w:t xml:space="preserve">  </w:t>
      </w:r>
    </w:p>
    <w:p w14:paraId="6C0EC65E" w14:textId="7BEC8EE5" w:rsidR="00DE4D38" w:rsidRDefault="00F76218" w:rsidP="00DE4D38">
      <w:pPr>
        <w:keepNext/>
        <w:spacing w:after="120" w:line="480" w:lineRule="auto"/>
      </w:pPr>
      <w:r>
        <w:rPr>
          <w:noProof/>
          <w:lang w:val="de-DE" w:eastAsia="de-DE"/>
        </w:rPr>
        <w:drawing>
          <wp:inline distT="0" distB="0" distL="0" distR="0" wp14:anchorId="3D32EEAA" wp14:editId="011C0C3F">
            <wp:extent cx="5943600" cy="4180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_2.eps"/>
                    <pic:cNvPicPr/>
                  </pic:nvPicPr>
                  <pic:blipFill>
                    <a:blip r:embed="rId25">
                      <a:extLst>
                        <a:ext uri="{28A0092B-C50C-407E-A947-70E740481C1C}">
                          <a14:useLocalDpi xmlns:a14="http://schemas.microsoft.com/office/drawing/2010/main" val="0"/>
                        </a:ext>
                      </a:extLst>
                    </a:blip>
                    <a:stretch>
                      <a:fillRect/>
                    </a:stretch>
                  </pic:blipFill>
                  <pic:spPr>
                    <a:xfrm>
                      <a:off x="0" y="0"/>
                      <a:ext cx="5943600" cy="4180205"/>
                    </a:xfrm>
                    <a:prstGeom prst="rect">
                      <a:avLst/>
                    </a:prstGeom>
                  </pic:spPr>
                </pic:pic>
              </a:graphicData>
            </a:graphic>
          </wp:inline>
        </w:drawing>
      </w:r>
    </w:p>
    <w:p w14:paraId="78F17C62" w14:textId="1DDC7F22" w:rsidR="00DE4D38" w:rsidRDefault="003114D1" w:rsidP="00DE4D38">
      <w:pPr>
        <w:jc w:val="both"/>
      </w:pPr>
      <w:r>
        <w:t>Figure 1.</w:t>
      </w:r>
    </w:p>
    <w:p w14:paraId="1BBED042" w14:textId="3A5CE876" w:rsidR="00DE4D38" w:rsidRDefault="00DE4D38">
      <w:r>
        <w:br w:type="page"/>
      </w:r>
    </w:p>
    <w:p w14:paraId="55712AFE" w14:textId="77777777" w:rsidR="00DE4D38" w:rsidRDefault="00DE4D38" w:rsidP="00DE4D38">
      <w:pPr>
        <w:spacing w:after="120" w:line="480" w:lineRule="auto"/>
      </w:pPr>
    </w:p>
    <w:p w14:paraId="718B412A" w14:textId="1F2906F4" w:rsidR="00DE4D38" w:rsidRDefault="00B431EF" w:rsidP="00DE4D38">
      <w:pPr>
        <w:keepNext/>
        <w:spacing w:after="120" w:line="480" w:lineRule="auto"/>
      </w:pPr>
      <w:r>
        <w:rPr>
          <w:noProof/>
          <w:lang w:val="de-DE" w:eastAsia="de-DE"/>
        </w:rPr>
        <w:drawing>
          <wp:inline distT="0" distB="0" distL="0" distR="0" wp14:anchorId="03FC7857" wp14:editId="2BBAE704">
            <wp:extent cx="5943600" cy="3725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2_2.eps"/>
                    <pic:cNvPicPr/>
                  </pic:nvPicPr>
                  <pic:blipFill>
                    <a:blip r:embed="rId26">
                      <a:extLst>
                        <a:ext uri="{28A0092B-C50C-407E-A947-70E740481C1C}">
                          <a14:useLocalDpi xmlns:a14="http://schemas.microsoft.com/office/drawing/2010/main" val="0"/>
                        </a:ext>
                      </a:extLst>
                    </a:blip>
                    <a:stretch>
                      <a:fillRect/>
                    </a:stretch>
                  </pic:blipFill>
                  <pic:spPr>
                    <a:xfrm>
                      <a:off x="0" y="0"/>
                      <a:ext cx="5943600" cy="3725545"/>
                    </a:xfrm>
                    <a:prstGeom prst="rect">
                      <a:avLst/>
                    </a:prstGeom>
                  </pic:spPr>
                </pic:pic>
              </a:graphicData>
            </a:graphic>
          </wp:inline>
        </w:drawing>
      </w:r>
    </w:p>
    <w:p w14:paraId="0355469C" w14:textId="77777777" w:rsidR="00B431EF" w:rsidRDefault="00995FBF">
      <w:r>
        <w:t>Figure 2</w:t>
      </w:r>
    </w:p>
    <w:p w14:paraId="6C74EBB6" w14:textId="79829181" w:rsidR="00DE4D38" w:rsidRDefault="00DE4D38">
      <w:r>
        <w:br w:type="page"/>
      </w:r>
    </w:p>
    <w:p w14:paraId="5D7A800A" w14:textId="77777777" w:rsidR="00DE4D38" w:rsidRPr="00FA0090" w:rsidRDefault="00DE4D38" w:rsidP="00DE4D38">
      <w:pPr>
        <w:spacing w:after="120" w:line="480" w:lineRule="auto"/>
      </w:pPr>
    </w:p>
    <w:p w14:paraId="3F8ED9A9" w14:textId="4DFD03B8" w:rsidR="00DE4D38" w:rsidRDefault="00787086" w:rsidP="00DE4D38">
      <w:pPr>
        <w:keepNext/>
        <w:spacing w:after="120" w:line="480" w:lineRule="auto"/>
      </w:pPr>
      <w:r>
        <w:rPr>
          <w:noProof/>
          <w:lang w:val="de-DE" w:eastAsia="de-DE"/>
        </w:rPr>
        <w:drawing>
          <wp:inline distT="0" distB="0" distL="0" distR="0" wp14:anchorId="7E847C90" wp14:editId="5992A2A0">
            <wp:extent cx="5943600" cy="3725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3_2.eps"/>
                    <pic:cNvPicPr/>
                  </pic:nvPicPr>
                  <pic:blipFill>
                    <a:blip r:embed="rId27">
                      <a:extLst>
                        <a:ext uri="{28A0092B-C50C-407E-A947-70E740481C1C}">
                          <a14:useLocalDpi xmlns:a14="http://schemas.microsoft.com/office/drawing/2010/main" val="0"/>
                        </a:ext>
                      </a:extLst>
                    </a:blip>
                    <a:stretch>
                      <a:fillRect/>
                    </a:stretch>
                  </pic:blipFill>
                  <pic:spPr>
                    <a:xfrm>
                      <a:off x="0" y="0"/>
                      <a:ext cx="5943600" cy="3725545"/>
                    </a:xfrm>
                    <a:prstGeom prst="rect">
                      <a:avLst/>
                    </a:prstGeom>
                  </pic:spPr>
                </pic:pic>
              </a:graphicData>
            </a:graphic>
          </wp:inline>
        </w:drawing>
      </w:r>
    </w:p>
    <w:p w14:paraId="3DA01874" w14:textId="5501CFB4" w:rsidR="00DE4D38" w:rsidRDefault="00DE4D38" w:rsidP="00DE4D38">
      <w:pPr>
        <w:jc w:val="both"/>
      </w:pPr>
      <w:bookmarkStart w:id="37" w:name="_Ref408414242"/>
      <w:r>
        <w:t>Fig</w:t>
      </w:r>
      <w:bookmarkEnd w:id="37"/>
      <w:r w:rsidR="00B73071">
        <w:t>. 3</w:t>
      </w:r>
      <w:r>
        <w:t xml:space="preserve"> </w:t>
      </w:r>
    </w:p>
    <w:p w14:paraId="09C6511B" w14:textId="77777777" w:rsidR="00DE4D38" w:rsidRDefault="00DE4D38" w:rsidP="00DE4D38">
      <w:pPr>
        <w:jc w:val="both"/>
      </w:pPr>
    </w:p>
    <w:p w14:paraId="17271CD2" w14:textId="214DFC3D" w:rsidR="00DE4D38" w:rsidRDefault="00DE4D38">
      <w:r>
        <w:br w:type="page"/>
      </w:r>
    </w:p>
    <w:p w14:paraId="323B507D" w14:textId="77777777" w:rsidR="00DE4D38" w:rsidRDefault="00DE4D38" w:rsidP="00DE4D38">
      <w:pPr>
        <w:spacing w:after="120" w:line="480" w:lineRule="auto"/>
      </w:pPr>
      <w:r>
        <w:lastRenderedPageBreak/>
        <w:t xml:space="preserve"> </w:t>
      </w:r>
    </w:p>
    <w:p w14:paraId="288B8DF3" w14:textId="15FC2275" w:rsidR="00DE4D38" w:rsidRDefault="00EF5A2C" w:rsidP="00DE4D38">
      <w:pPr>
        <w:keepNext/>
        <w:spacing w:after="120" w:line="480" w:lineRule="auto"/>
      </w:pPr>
      <w:r>
        <w:rPr>
          <w:noProof/>
          <w:lang w:val="de-DE" w:eastAsia="de-DE"/>
        </w:rPr>
        <w:drawing>
          <wp:inline distT="0" distB="0" distL="0" distR="0" wp14:anchorId="04C2AA97" wp14:editId="7E3F5DE0">
            <wp:extent cx="5829300" cy="499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4_2.eps"/>
                    <pic:cNvPicPr/>
                  </pic:nvPicPr>
                  <pic:blipFill>
                    <a:blip r:embed="rId28">
                      <a:extLst>
                        <a:ext uri="{28A0092B-C50C-407E-A947-70E740481C1C}">
                          <a14:useLocalDpi xmlns:a14="http://schemas.microsoft.com/office/drawing/2010/main" val="0"/>
                        </a:ext>
                      </a:extLst>
                    </a:blip>
                    <a:stretch>
                      <a:fillRect/>
                    </a:stretch>
                  </pic:blipFill>
                  <pic:spPr>
                    <a:xfrm>
                      <a:off x="0" y="0"/>
                      <a:ext cx="5829300" cy="4991100"/>
                    </a:xfrm>
                    <a:prstGeom prst="rect">
                      <a:avLst/>
                    </a:prstGeom>
                  </pic:spPr>
                </pic:pic>
              </a:graphicData>
            </a:graphic>
          </wp:inline>
        </w:drawing>
      </w:r>
    </w:p>
    <w:p w14:paraId="6E489887" w14:textId="305592BD" w:rsidR="00DE4D38" w:rsidRDefault="001575FB" w:rsidP="00DE4D38">
      <w:pPr>
        <w:jc w:val="both"/>
      </w:pPr>
      <w:r>
        <w:t>Fig. 4</w:t>
      </w:r>
    </w:p>
    <w:p w14:paraId="506B13E0" w14:textId="27A483C4" w:rsidR="00DE4D38" w:rsidRDefault="00DE4D38">
      <w:r>
        <w:br w:type="page"/>
      </w:r>
    </w:p>
    <w:p w14:paraId="57B53ECF" w14:textId="77777777" w:rsidR="00DE4D38" w:rsidRPr="00843533" w:rsidRDefault="00DE4D38" w:rsidP="00DE4D38">
      <w:pPr>
        <w:spacing w:after="120" w:line="480" w:lineRule="auto"/>
      </w:pPr>
    </w:p>
    <w:p w14:paraId="5F376137" w14:textId="7464E73E" w:rsidR="00DE4D38" w:rsidRDefault="004B1A23" w:rsidP="00DE4D38">
      <w:pPr>
        <w:keepNext/>
        <w:spacing w:line="480" w:lineRule="auto"/>
      </w:pPr>
      <w:r>
        <w:rPr>
          <w:noProof/>
          <w:lang w:val="de-DE" w:eastAsia="de-DE"/>
        </w:rPr>
        <w:drawing>
          <wp:inline distT="0" distB="0" distL="0" distR="0" wp14:anchorId="5E0836B3" wp14:editId="0B4A6E7F">
            <wp:extent cx="5829300" cy="4991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5_2.eps"/>
                    <pic:cNvPicPr/>
                  </pic:nvPicPr>
                  <pic:blipFill>
                    <a:blip r:embed="rId29">
                      <a:extLst>
                        <a:ext uri="{28A0092B-C50C-407E-A947-70E740481C1C}">
                          <a14:useLocalDpi xmlns:a14="http://schemas.microsoft.com/office/drawing/2010/main" val="0"/>
                        </a:ext>
                      </a:extLst>
                    </a:blip>
                    <a:stretch>
                      <a:fillRect/>
                    </a:stretch>
                  </pic:blipFill>
                  <pic:spPr>
                    <a:xfrm>
                      <a:off x="0" y="0"/>
                      <a:ext cx="5829300" cy="4991100"/>
                    </a:xfrm>
                    <a:prstGeom prst="rect">
                      <a:avLst/>
                    </a:prstGeom>
                  </pic:spPr>
                </pic:pic>
              </a:graphicData>
            </a:graphic>
          </wp:inline>
        </w:drawing>
      </w:r>
    </w:p>
    <w:p w14:paraId="6D5FCF5E" w14:textId="37655E4C" w:rsidR="00DE4D38" w:rsidRDefault="00DE4D38" w:rsidP="00DE4D38">
      <w:pPr>
        <w:jc w:val="both"/>
      </w:pPr>
      <w:bookmarkStart w:id="38" w:name="_Ref409618918"/>
      <w:r>
        <w:t>Fig</w:t>
      </w:r>
      <w:bookmarkEnd w:id="38"/>
      <w:r w:rsidR="00321845">
        <w:t xml:space="preserve"> 5.</w:t>
      </w:r>
      <w:r>
        <w:t xml:space="preserve"> </w:t>
      </w:r>
    </w:p>
    <w:p w14:paraId="5FA4C623" w14:textId="65AA2446" w:rsidR="00DE4D38" w:rsidRDefault="00DE4D38">
      <w:r>
        <w:br w:type="page"/>
      </w:r>
    </w:p>
    <w:p w14:paraId="498473D3" w14:textId="60D388CA" w:rsidR="00DE4D38" w:rsidRDefault="00567EEE" w:rsidP="00DE4D38">
      <w:pPr>
        <w:spacing w:after="120" w:line="480" w:lineRule="auto"/>
      </w:pPr>
      <w:r>
        <w:rPr>
          <w:noProof/>
          <w:lang w:val="de-DE" w:eastAsia="de-DE"/>
        </w:rPr>
        <w:lastRenderedPageBreak/>
        <w:drawing>
          <wp:inline distT="0" distB="0" distL="0" distR="0" wp14:anchorId="2E33A3C5" wp14:editId="467165F8">
            <wp:extent cx="5829300" cy="4991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6_2.eps"/>
                    <pic:cNvPicPr/>
                  </pic:nvPicPr>
                  <pic:blipFill>
                    <a:blip r:embed="rId30">
                      <a:extLst>
                        <a:ext uri="{28A0092B-C50C-407E-A947-70E740481C1C}">
                          <a14:useLocalDpi xmlns:a14="http://schemas.microsoft.com/office/drawing/2010/main" val="0"/>
                        </a:ext>
                      </a:extLst>
                    </a:blip>
                    <a:stretch>
                      <a:fillRect/>
                    </a:stretch>
                  </pic:blipFill>
                  <pic:spPr>
                    <a:xfrm>
                      <a:off x="0" y="0"/>
                      <a:ext cx="5829300" cy="4991100"/>
                    </a:xfrm>
                    <a:prstGeom prst="rect">
                      <a:avLst/>
                    </a:prstGeom>
                  </pic:spPr>
                </pic:pic>
              </a:graphicData>
            </a:graphic>
          </wp:inline>
        </w:drawing>
      </w:r>
    </w:p>
    <w:p w14:paraId="4B3E7383" w14:textId="14B7253D" w:rsidR="00DE4D38" w:rsidRDefault="00DE4D38" w:rsidP="00DE4D38">
      <w:pPr>
        <w:jc w:val="both"/>
        <w:rPr>
          <w:b/>
        </w:rPr>
      </w:pPr>
      <w:bookmarkStart w:id="39" w:name="_Ref409622902"/>
      <w:r>
        <w:t>Fig</w:t>
      </w:r>
      <w:bookmarkEnd w:id="39"/>
      <w:r w:rsidR="00321845">
        <w:t>. 6</w:t>
      </w:r>
      <w:r>
        <w:t xml:space="preserve"> </w:t>
      </w:r>
    </w:p>
    <w:p w14:paraId="0D841FAB" w14:textId="77777777" w:rsidR="00DE4D38" w:rsidRDefault="00DE4D38" w:rsidP="00DE4D38">
      <w:pPr>
        <w:jc w:val="both"/>
        <w:rPr>
          <w:b/>
        </w:rPr>
      </w:pPr>
    </w:p>
    <w:p w14:paraId="5553849E" w14:textId="77777777" w:rsidR="00DE4D38" w:rsidRDefault="00DE4D38" w:rsidP="00DE4D38">
      <w:pPr>
        <w:jc w:val="both"/>
        <w:rPr>
          <w:b/>
        </w:rPr>
      </w:pPr>
    </w:p>
    <w:p w14:paraId="24457367" w14:textId="77777777" w:rsidR="00DE4D38" w:rsidRDefault="00DE4D38" w:rsidP="00DE4D38">
      <w:pPr>
        <w:jc w:val="both"/>
        <w:rPr>
          <w:b/>
        </w:rPr>
      </w:pPr>
    </w:p>
    <w:sectPr w:rsidR="00DE4D38" w:rsidSect="009430A6">
      <w:footerReference w:type="default" r:id="rId31"/>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D7CE1" w14:textId="77777777" w:rsidR="004375DE" w:rsidRDefault="004375DE" w:rsidP="00E9785E">
      <w:r>
        <w:separator/>
      </w:r>
    </w:p>
  </w:endnote>
  <w:endnote w:type="continuationSeparator" w:id="0">
    <w:p w14:paraId="218B3D26" w14:textId="77777777" w:rsidR="004375DE" w:rsidRDefault="004375DE" w:rsidP="00E9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233462"/>
      <w:docPartObj>
        <w:docPartGallery w:val="Page Numbers (Bottom of Page)"/>
        <w:docPartUnique/>
      </w:docPartObj>
    </w:sdtPr>
    <w:sdtEndPr>
      <w:rPr>
        <w:noProof/>
      </w:rPr>
    </w:sdtEndPr>
    <w:sdtContent>
      <w:p w14:paraId="4E7DDFDD" w14:textId="77777777" w:rsidR="00B431EF" w:rsidRDefault="00B431EF">
        <w:pPr>
          <w:pStyle w:val="Fuzeile"/>
          <w:jc w:val="center"/>
        </w:pPr>
        <w:r>
          <w:fldChar w:fldCharType="begin"/>
        </w:r>
        <w:r>
          <w:instrText xml:space="preserve"> PAGE   \* MERGEFORMAT </w:instrText>
        </w:r>
        <w:r>
          <w:fldChar w:fldCharType="separate"/>
        </w:r>
        <w:r w:rsidR="00F32BFF">
          <w:rPr>
            <w:noProof/>
          </w:rPr>
          <w:t>1</w:t>
        </w:r>
        <w:r>
          <w:rPr>
            <w:noProof/>
          </w:rPr>
          <w:fldChar w:fldCharType="end"/>
        </w:r>
      </w:p>
    </w:sdtContent>
  </w:sdt>
  <w:p w14:paraId="4E01EE16" w14:textId="77777777" w:rsidR="00B431EF" w:rsidRDefault="00B431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C3864" w14:textId="77777777" w:rsidR="004375DE" w:rsidRDefault="004375DE" w:rsidP="00E9785E">
      <w:r>
        <w:separator/>
      </w:r>
    </w:p>
  </w:footnote>
  <w:footnote w:type="continuationSeparator" w:id="0">
    <w:p w14:paraId="7DDA209B" w14:textId="77777777" w:rsidR="004375DE" w:rsidRDefault="004375DE" w:rsidP="00E97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5FFA"/>
    <w:multiLevelType w:val="hybridMultilevel"/>
    <w:tmpl w:val="6A2CB4DE"/>
    <w:lvl w:ilvl="0" w:tplc="E1B20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A02A0"/>
    <w:multiLevelType w:val="hybridMultilevel"/>
    <w:tmpl w:val="C9E6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41156"/>
    <w:multiLevelType w:val="hybridMultilevel"/>
    <w:tmpl w:val="35E62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B2"/>
    <w:rsid w:val="0000545B"/>
    <w:rsid w:val="0000646E"/>
    <w:rsid w:val="000077E2"/>
    <w:rsid w:val="000129E6"/>
    <w:rsid w:val="00012BC7"/>
    <w:rsid w:val="00017ABF"/>
    <w:rsid w:val="00017D6E"/>
    <w:rsid w:val="00023072"/>
    <w:rsid w:val="000230AD"/>
    <w:rsid w:val="000244EA"/>
    <w:rsid w:val="00025B02"/>
    <w:rsid w:val="00026F1F"/>
    <w:rsid w:val="00027BA6"/>
    <w:rsid w:val="00030F77"/>
    <w:rsid w:val="000316FA"/>
    <w:rsid w:val="00034464"/>
    <w:rsid w:val="00036BA0"/>
    <w:rsid w:val="00037613"/>
    <w:rsid w:val="000376FB"/>
    <w:rsid w:val="000402B8"/>
    <w:rsid w:val="00040445"/>
    <w:rsid w:val="00043174"/>
    <w:rsid w:val="00043954"/>
    <w:rsid w:val="00044246"/>
    <w:rsid w:val="000459AB"/>
    <w:rsid w:val="00046275"/>
    <w:rsid w:val="00046780"/>
    <w:rsid w:val="000502EE"/>
    <w:rsid w:val="00050E3A"/>
    <w:rsid w:val="000518DB"/>
    <w:rsid w:val="0005466D"/>
    <w:rsid w:val="000547B9"/>
    <w:rsid w:val="00060ED9"/>
    <w:rsid w:val="00062B01"/>
    <w:rsid w:val="00064D1B"/>
    <w:rsid w:val="00066F87"/>
    <w:rsid w:val="00067855"/>
    <w:rsid w:val="00072BA9"/>
    <w:rsid w:val="0007308D"/>
    <w:rsid w:val="00074488"/>
    <w:rsid w:val="0007565A"/>
    <w:rsid w:val="000762CB"/>
    <w:rsid w:val="000769FD"/>
    <w:rsid w:val="00077210"/>
    <w:rsid w:val="0008044E"/>
    <w:rsid w:val="000811F2"/>
    <w:rsid w:val="00082001"/>
    <w:rsid w:val="00084781"/>
    <w:rsid w:val="0008795C"/>
    <w:rsid w:val="00091009"/>
    <w:rsid w:val="00093514"/>
    <w:rsid w:val="00093D9B"/>
    <w:rsid w:val="000A05D9"/>
    <w:rsid w:val="000A752F"/>
    <w:rsid w:val="000B1521"/>
    <w:rsid w:val="000B188B"/>
    <w:rsid w:val="000B2750"/>
    <w:rsid w:val="000B47F1"/>
    <w:rsid w:val="000B7391"/>
    <w:rsid w:val="000C5974"/>
    <w:rsid w:val="000C6BD6"/>
    <w:rsid w:val="000D0DF5"/>
    <w:rsid w:val="000D1C3D"/>
    <w:rsid w:val="000D44FC"/>
    <w:rsid w:val="000D6663"/>
    <w:rsid w:val="000E1250"/>
    <w:rsid w:val="000E2C12"/>
    <w:rsid w:val="000E3049"/>
    <w:rsid w:val="000E3E22"/>
    <w:rsid w:val="000E47FE"/>
    <w:rsid w:val="000F0898"/>
    <w:rsid w:val="000F1990"/>
    <w:rsid w:val="000F1DDB"/>
    <w:rsid w:val="000F3F5E"/>
    <w:rsid w:val="000F4A79"/>
    <w:rsid w:val="000F599D"/>
    <w:rsid w:val="000F7939"/>
    <w:rsid w:val="00100399"/>
    <w:rsid w:val="00100512"/>
    <w:rsid w:val="00100F86"/>
    <w:rsid w:val="00104D89"/>
    <w:rsid w:val="001074CC"/>
    <w:rsid w:val="00107AA8"/>
    <w:rsid w:val="0011205E"/>
    <w:rsid w:val="001120E9"/>
    <w:rsid w:val="00112B10"/>
    <w:rsid w:val="0011418C"/>
    <w:rsid w:val="00117F64"/>
    <w:rsid w:val="0012009E"/>
    <w:rsid w:val="00123B62"/>
    <w:rsid w:val="00125998"/>
    <w:rsid w:val="001259E1"/>
    <w:rsid w:val="001269FE"/>
    <w:rsid w:val="00127E7C"/>
    <w:rsid w:val="00131A69"/>
    <w:rsid w:val="00132BAF"/>
    <w:rsid w:val="00136C6E"/>
    <w:rsid w:val="001418E9"/>
    <w:rsid w:val="00144D1C"/>
    <w:rsid w:val="00144F48"/>
    <w:rsid w:val="00144FCB"/>
    <w:rsid w:val="00145C45"/>
    <w:rsid w:val="00147C01"/>
    <w:rsid w:val="00147E98"/>
    <w:rsid w:val="00150277"/>
    <w:rsid w:val="001529C4"/>
    <w:rsid w:val="00154458"/>
    <w:rsid w:val="00154E76"/>
    <w:rsid w:val="00155800"/>
    <w:rsid w:val="001563B4"/>
    <w:rsid w:val="001575FB"/>
    <w:rsid w:val="001608C1"/>
    <w:rsid w:val="001613B6"/>
    <w:rsid w:val="001637F9"/>
    <w:rsid w:val="001640CA"/>
    <w:rsid w:val="00164343"/>
    <w:rsid w:val="00164922"/>
    <w:rsid w:val="00164994"/>
    <w:rsid w:val="001666AB"/>
    <w:rsid w:val="001678D5"/>
    <w:rsid w:val="0017145B"/>
    <w:rsid w:val="00173388"/>
    <w:rsid w:val="00173932"/>
    <w:rsid w:val="00174275"/>
    <w:rsid w:val="00174FDC"/>
    <w:rsid w:val="00181606"/>
    <w:rsid w:val="00185B26"/>
    <w:rsid w:val="0018703B"/>
    <w:rsid w:val="00190EE0"/>
    <w:rsid w:val="0019108C"/>
    <w:rsid w:val="0019347B"/>
    <w:rsid w:val="00194A1C"/>
    <w:rsid w:val="001A2913"/>
    <w:rsid w:val="001A4BEF"/>
    <w:rsid w:val="001A587D"/>
    <w:rsid w:val="001A7AAA"/>
    <w:rsid w:val="001A7DE5"/>
    <w:rsid w:val="001B0E19"/>
    <w:rsid w:val="001B3F6D"/>
    <w:rsid w:val="001B3F8D"/>
    <w:rsid w:val="001B5CBA"/>
    <w:rsid w:val="001C048B"/>
    <w:rsid w:val="001C1338"/>
    <w:rsid w:val="001C6519"/>
    <w:rsid w:val="001C6FA6"/>
    <w:rsid w:val="001C79AB"/>
    <w:rsid w:val="001C7BCF"/>
    <w:rsid w:val="001D079A"/>
    <w:rsid w:val="001D083F"/>
    <w:rsid w:val="001D16FA"/>
    <w:rsid w:val="001D23AE"/>
    <w:rsid w:val="001D391F"/>
    <w:rsid w:val="001D3BED"/>
    <w:rsid w:val="001D4A91"/>
    <w:rsid w:val="001D4A9B"/>
    <w:rsid w:val="001D61C3"/>
    <w:rsid w:val="001D648E"/>
    <w:rsid w:val="001D6DA1"/>
    <w:rsid w:val="001E5C55"/>
    <w:rsid w:val="001E6A24"/>
    <w:rsid w:val="001E7C1B"/>
    <w:rsid w:val="001F3EC5"/>
    <w:rsid w:val="001F4A02"/>
    <w:rsid w:val="001F5B55"/>
    <w:rsid w:val="00201DE7"/>
    <w:rsid w:val="00206CC6"/>
    <w:rsid w:val="00207F7B"/>
    <w:rsid w:val="00212D5D"/>
    <w:rsid w:val="002202D0"/>
    <w:rsid w:val="00222BAF"/>
    <w:rsid w:val="002248A9"/>
    <w:rsid w:val="00224919"/>
    <w:rsid w:val="0022620C"/>
    <w:rsid w:val="00226FC4"/>
    <w:rsid w:val="00227E20"/>
    <w:rsid w:val="00233115"/>
    <w:rsid w:val="00233AEF"/>
    <w:rsid w:val="00233E86"/>
    <w:rsid w:val="00234155"/>
    <w:rsid w:val="0023422D"/>
    <w:rsid w:val="002349B7"/>
    <w:rsid w:val="002355A5"/>
    <w:rsid w:val="00235DC3"/>
    <w:rsid w:val="00236014"/>
    <w:rsid w:val="00241F53"/>
    <w:rsid w:val="002430CF"/>
    <w:rsid w:val="00243EFF"/>
    <w:rsid w:val="00244C11"/>
    <w:rsid w:val="00245C8C"/>
    <w:rsid w:val="00247525"/>
    <w:rsid w:val="00247E12"/>
    <w:rsid w:val="002508F6"/>
    <w:rsid w:val="002511F5"/>
    <w:rsid w:val="00251DB8"/>
    <w:rsid w:val="00257AA8"/>
    <w:rsid w:val="00257BE7"/>
    <w:rsid w:val="00260F60"/>
    <w:rsid w:val="00261920"/>
    <w:rsid w:val="002662C0"/>
    <w:rsid w:val="00271493"/>
    <w:rsid w:val="00271C49"/>
    <w:rsid w:val="00274C27"/>
    <w:rsid w:val="00280C64"/>
    <w:rsid w:val="00284798"/>
    <w:rsid w:val="00292F78"/>
    <w:rsid w:val="00294E2E"/>
    <w:rsid w:val="00295A86"/>
    <w:rsid w:val="002A2BE4"/>
    <w:rsid w:val="002A7541"/>
    <w:rsid w:val="002A7945"/>
    <w:rsid w:val="002B0407"/>
    <w:rsid w:val="002B52ED"/>
    <w:rsid w:val="002B6D81"/>
    <w:rsid w:val="002B74A6"/>
    <w:rsid w:val="002C13BD"/>
    <w:rsid w:val="002C2F7F"/>
    <w:rsid w:val="002C5174"/>
    <w:rsid w:val="002C5B77"/>
    <w:rsid w:val="002C6318"/>
    <w:rsid w:val="002D34B1"/>
    <w:rsid w:val="002D68D9"/>
    <w:rsid w:val="002D6900"/>
    <w:rsid w:val="002D70F1"/>
    <w:rsid w:val="002D753F"/>
    <w:rsid w:val="002E0AB1"/>
    <w:rsid w:val="002E3334"/>
    <w:rsid w:val="002E386B"/>
    <w:rsid w:val="002E5BFA"/>
    <w:rsid w:val="002E65FA"/>
    <w:rsid w:val="002F5804"/>
    <w:rsid w:val="002F7010"/>
    <w:rsid w:val="00301A13"/>
    <w:rsid w:val="003039B3"/>
    <w:rsid w:val="003046B3"/>
    <w:rsid w:val="00304769"/>
    <w:rsid w:val="00304996"/>
    <w:rsid w:val="003057F0"/>
    <w:rsid w:val="003114D1"/>
    <w:rsid w:val="0031223B"/>
    <w:rsid w:val="0031233B"/>
    <w:rsid w:val="00317AAB"/>
    <w:rsid w:val="00321845"/>
    <w:rsid w:val="0032262C"/>
    <w:rsid w:val="003241F0"/>
    <w:rsid w:val="00324FAF"/>
    <w:rsid w:val="00330C36"/>
    <w:rsid w:val="00332A64"/>
    <w:rsid w:val="00332B99"/>
    <w:rsid w:val="00342F9B"/>
    <w:rsid w:val="003434AB"/>
    <w:rsid w:val="00343508"/>
    <w:rsid w:val="00344853"/>
    <w:rsid w:val="003448F8"/>
    <w:rsid w:val="00347452"/>
    <w:rsid w:val="00347A2D"/>
    <w:rsid w:val="0035168F"/>
    <w:rsid w:val="00352AF2"/>
    <w:rsid w:val="00352D2F"/>
    <w:rsid w:val="003557B7"/>
    <w:rsid w:val="00355C51"/>
    <w:rsid w:val="00356769"/>
    <w:rsid w:val="003569AD"/>
    <w:rsid w:val="00360D0A"/>
    <w:rsid w:val="00363B37"/>
    <w:rsid w:val="00364D72"/>
    <w:rsid w:val="0036540E"/>
    <w:rsid w:val="00367B65"/>
    <w:rsid w:val="003705C1"/>
    <w:rsid w:val="00370ECB"/>
    <w:rsid w:val="00371538"/>
    <w:rsid w:val="00372906"/>
    <w:rsid w:val="00374AAB"/>
    <w:rsid w:val="003751FC"/>
    <w:rsid w:val="00376564"/>
    <w:rsid w:val="00376C9C"/>
    <w:rsid w:val="003816B2"/>
    <w:rsid w:val="003867B5"/>
    <w:rsid w:val="00386C97"/>
    <w:rsid w:val="00391703"/>
    <w:rsid w:val="00391E84"/>
    <w:rsid w:val="003927EB"/>
    <w:rsid w:val="00392D27"/>
    <w:rsid w:val="00393DFB"/>
    <w:rsid w:val="00394768"/>
    <w:rsid w:val="00395766"/>
    <w:rsid w:val="003973A3"/>
    <w:rsid w:val="00397B13"/>
    <w:rsid w:val="00397B96"/>
    <w:rsid w:val="00397D07"/>
    <w:rsid w:val="003A04A6"/>
    <w:rsid w:val="003A0B97"/>
    <w:rsid w:val="003A230E"/>
    <w:rsid w:val="003A4FFE"/>
    <w:rsid w:val="003A5C7B"/>
    <w:rsid w:val="003A6072"/>
    <w:rsid w:val="003A7415"/>
    <w:rsid w:val="003B1A12"/>
    <w:rsid w:val="003B329D"/>
    <w:rsid w:val="003B5F11"/>
    <w:rsid w:val="003C15A6"/>
    <w:rsid w:val="003C20FA"/>
    <w:rsid w:val="003C51A1"/>
    <w:rsid w:val="003C5268"/>
    <w:rsid w:val="003C7A4A"/>
    <w:rsid w:val="003D204B"/>
    <w:rsid w:val="003D3444"/>
    <w:rsid w:val="003D4535"/>
    <w:rsid w:val="003D6384"/>
    <w:rsid w:val="003D7C4F"/>
    <w:rsid w:val="003E26A1"/>
    <w:rsid w:val="003E486F"/>
    <w:rsid w:val="003E5DE6"/>
    <w:rsid w:val="003E619B"/>
    <w:rsid w:val="003F37F5"/>
    <w:rsid w:val="003F739B"/>
    <w:rsid w:val="004005E1"/>
    <w:rsid w:val="004008A5"/>
    <w:rsid w:val="00402078"/>
    <w:rsid w:val="004025C2"/>
    <w:rsid w:val="00407F9E"/>
    <w:rsid w:val="00410996"/>
    <w:rsid w:val="00413EF0"/>
    <w:rsid w:val="0041749F"/>
    <w:rsid w:val="00420947"/>
    <w:rsid w:val="004210FC"/>
    <w:rsid w:val="004216F9"/>
    <w:rsid w:val="00422BA0"/>
    <w:rsid w:val="00425FEE"/>
    <w:rsid w:val="00426A01"/>
    <w:rsid w:val="00435D6D"/>
    <w:rsid w:val="00436087"/>
    <w:rsid w:val="00436B17"/>
    <w:rsid w:val="004375DE"/>
    <w:rsid w:val="00437BC3"/>
    <w:rsid w:val="0044116D"/>
    <w:rsid w:val="00441FE1"/>
    <w:rsid w:val="00447FEE"/>
    <w:rsid w:val="0045110B"/>
    <w:rsid w:val="0045278B"/>
    <w:rsid w:val="0045455A"/>
    <w:rsid w:val="0045455C"/>
    <w:rsid w:val="00454DEF"/>
    <w:rsid w:val="00454E23"/>
    <w:rsid w:val="00455C33"/>
    <w:rsid w:val="00456469"/>
    <w:rsid w:val="004567D2"/>
    <w:rsid w:val="00456CCE"/>
    <w:rsid w:val="00461CDE"/>
    <w:rsid w:val="004632C4"/>
    <w:rsid w:val="004639E3"/>
    <w:rsid w:val="00463E7D"/>
    <w:rsid w:val="00466AC0"/>
    <w:rsid w:val="00470CE4"/>
    <w:rsid w:val="00471A4B"/>
    <w:rsid w:val="00473181"/>
    <w:rsid w:val="00480497"/>
    <w:rsid w:val="00481624"/>
    <w:rsid w:val="00484BBD"/>
    <w:rsid w:val="00484C04"/>
    <w:rsid w:val="004850F7"/>
    <w:rsid w:val="00486022"/>
    <w:rsid w:val="00486C0F"/>
    <w:rsid w:val="00487ABA"/>
    <w:rsid w:val="0049088C"/>
    <w:rsid w:val="004920E9"/>
    <w:rsid w:val="00495394"/>
    <w:rsid w:val="004A2596"/>
    <w:rsid w:val="004A3925"/>
    <w:rsid w:val="004A5181"/>
    <w:rsid w:val="004A6CB5"/>
    <w:rsid w:val="004B0133"/>
    <w:rsid w:val="004B0876"/>
    <w:rsid w:val="004B1A23"/>
    <w:rsid w:val="004B2BE0"/>
    <w:rsid w:val="004B4355"/>
    <w:rsid w:val="004B46DC"/>
    <w:rsid w:val="004B51FF"/>
    <w:rsid w:val="004B56C9"/>
    <w:rsid w:val="004B68ED"/>
    <w:rsid w:val="004B7AC5"/>
    <w:rsid w:val="004C66B2"/>
    <w:rsid w:val="004C6D53"/>
    <w:rsid w:val="004D3891"/>
    <w:rsid w:val="004D593A"/>
    <w:rsid w:val="004E00EA"/>
    <w:rsid w:val="004E06AC"/>
    <w:rsid w:val="004E255A"/>
    <w:rsid w:val="004E4CDC"/>
    <w:rsid w:val="004F10CA"/>
    <w:rsid w:val="004F3211"/>
    <w:rsid w:val="004F42C4"/>
    <w:rsid w:val="004F4388"/>
    <w:rsid w:val="004F47B2"/>
    <w:rsid w:val="004F63D7"/>
    <w:rsid w:val="004F6972"/>
    <w:rsid w:val="004F7785"/>
    <w:rsid w:val="005037B1"/>
    <w:rsid w:val="00503D9A"/>
    <w:rsid w:val="005051B6"/>
    <w:rsid w:val="005065FA"/>
    <w:rsid w:val="005073AC"/>
    <w:rsid w:val="005105AD"/>
    <w:rsid w:val="005115F3"/>
    <w:rsid w:val="00514C23"/>
    <w:rsid w:val="0051787A"/>
    <w:rsid w:val="00522880"/>
    <w:rsid w:val="00525791"/>
    <w:rsid w:val="005319D8"/>
    <w:rsid w:val="00536A13"/>
    <w:rsid w:val="00540E1C"/>
    <w:rsid w:val="00541A69"/>
    <w:rsid w:val="005430D1"/>
    <w:rsid w:val="00544021"/>
    <w:rsid w:val="00544A36"/>
    <w:rsid w:val="00553171"/>
    <w:rsid w:val="00554041"/>
    <w:rsid w:val="00554375"/>
    <w:rsid w:val="005573CD"/>
    <w:rsid w:val="00564B78"/>
    <w:rsid w:val="005660A4"/>
    <w:rsid w:val="0056615D"/>
    <w:rsid w:val="00567EEE"/>
    <w:rsid w:val="00571057"/>
    <w:rsid w:val="005811D7"/>
    <w:rsid w:val="00583539"/>
    <w:rsid w:val="00591095"/>
    <w:rsid w:val="00595426"/>
    <w:rsid w:val="0059656C"/>
    <w:rsid w:val="005A0DD8"/>
    <w:rsid w:val="005A1B8B"/>
    <w:rsid w:val="005A24A2"/>
    <w:rsid w:val="005A3053"/>
    <w:rsid w:val="005A339E"/>
    <w:rsid w:val="005A4BC4"/>
    <w:rsid w:val="005A7107"/>
    <w:rsid w:val="005B0DA9"/>
    <w:rsid w:val="005B17B6"/>
    <w:rsid w:val="005B300B"/>
    <w:rsid w:val="005B3210"/>
    <w:rsid w:val="005B48C5"/>
    <w:rsid w:val="005B53F8"/>
    <w:rsid w:val="005B6580"/>
    <w:rsid w:val="005B6F6F"/>
    <w:rsid w:val="005C55EA"/>
    <w:rsid w:val="005D1E9F"/>
    <w:rsid w:val="005D2398"/>
    <w:rsid w:val="005D27DA"/>
    <w:rsid w:val="005D31B7"/>
    <w:rsid w:val="005D3988"/>
    <w:rsid w:val="005D46DF"/>
    <w:rsid w:val="005D7EE5"/>
    <w:rsid w:val="005D7F92"/>
    <w:rsid w:val="005E0000"/>
    <w:rsid w:val="005E0269"/>
    <w:rsid w:val="005E1285"/>
    <w:rsid w:val="005E1C51"/>
    <w:rsid w:val="005E269F"/>
    <w:rsid w:val="005E3A84"/>
    <w:rsid w:val="005E79F1"/>
    <w:rsid w:val="005F1A4B"/>
    <w:rsid w:val="005F3C8C"/>
    <w:rsid w:val="005F468C"/>
    <w:rsid w:val="005F66FA"/>
    <w:rsid w:val="00600499"/>
    <w:rsid w:val="00604DE5"/>
    <w:rsid w:val="00605526"/>
    <w:rsid w:val="00607835"/>
    <w:rsid w:val="00610EF8"/>
    <w:rsid w:val="0061211E"/>
    <w:rsid w:val="00612948"/>
    <w:rsid w:val="00612DEC"/>
    <w:rsid w:val="00613C40"/>
    <w:rsid w:val="006220EB"/>
    <w:rsid w:val="006228E3"/>
    <w:rsid w:val="00622F8D"/>
    <w:rsid w:val="0062317D"/>
    <w:rsid w:val="006252A7"/>
    <w:rsid w:val="0062563E"/>
    <w:rsid w:val="00625AFF"/>
    <w:rsid w:val="006310DD"/>
    <w:rsid w:val="00633432"/>
    <w:rsid w:val="006346C2"/>
    <w:rsid w:val="00634C99"/>
    <w:rsid w:val="00645117"/>
    <w:rsid w:val="00647FCF"/>
    <w:rsid w:val="0065106C"/>
    <w:rsid w:val="0065121F"/>
    <w:rsid w:val="006519DE"/>
    <w:rsid w:val="0065330B"/>
    <w:rsid w:val="00653E87"/>
    <w:rsid w:val="00660856"/>
    <w:rsid w:val="00661701"/>
    <w:rsid w:val="00661C05"/>
    <w:rsid w:val="00664D38"/>
    <w:rsid w:val="006715B7"/>
    <w:rsid w:val="006734F6"/>
    <w:rsid w:val="00673CA8"/>
    <w:rsid w:val="00677125"/>
    <w:rsid w:val="00680FDF"/>
    <w:rsid w:val="00681D0C"/>
    <w:rsid w:val="00681E4E"/>
    <w:rsid w:val="00682DCC"/>
    <w:rsid w:val="00687E48"/>
    <w:rsid w:val="00691450"/>
    <w:rsid w:val="00697AA2"/>
    <w:rsid w:val="006A40FE"/>
    <w:rsid w:val="006A4455"/>
    <w:rsid w:val="006A4FC0"/>
    <w:rsid w:val="006A6096"/>
    <w:rsid w:val="006A6A4D"/>
    <w:rsid w:val="006A6FC5"/>
    <w:rsid w:val="006A7088"/>
    <w:rsid w:val="006B2517"/>
    <w:rsid w:val="006B3437"/>
    <w:rsid w:val="006B3E71"/>
    <w:rsid w:val="006B495A"/>
    <w:rsid w:val="006B4D23"/>
    <w:rsid w:val="006B5998"/>
    <w:rsid w:val="006B7242"/>
    <w:rsid w:val="006C207C"/>
    <w:rsid w:val="006C419A"/>
    <w:rsid w:val="006C4386"/>
    <w:rsid w:val="006D0A75"/>
    <w:rsid w:val="006D54DE"/>
    <w:rsid w:val="006E0DBA"/>
    <w:rsid w:val="006E116D"/>
    <w:rsid w:val="006E55D6"/>
    <w:rsid w:val="006E6965"/>
    <w:rsid w:val="006E7E11"/>
    <w:rsid w:val="006F0243"/>
    <w:rsid w:val="006F0B83"/>
    <w:rsid w:val="006F1AC0"/>
    <w:rsid w:val="006F1D8B"/>
    <w:rsid w:val="006F2739"/>
    <w:rsid w:val="006F4315"/>
    <w:rsid w:val="006F5274"/>
    <w:rsid w:val="006F59D1"/>
    <w:rsid w:val="006F7180"/>
    <w:rsid w:val="00702093"/>
    <w:rsid w:val="00704D41"/>
    <w:rsid w:val="007055B5"/>
    <w:rsid w:val="007075A0"/>
    <w:rsid w:val="00707A45"/>
    <w:rsid w:val="007110B0"/>
    <w:rsid w:val="00711C42"/>
    <w:rsid w:val="00712E69"/>
    <w:rsid w:val="00713829"/>
    <w:rsid w:val="00714D33"/>
    <w:rsid w:val="0071513D"/>
    <w:rsid w:val="00716982"/>
    <w:rsid w:val="007215C6"/>
    <w:rsid w:val="007253B0"/>
    <w:rsid w:val="00731999"/>
    <w:rsid w:val="007319E9"/>
    <w:rsid w:val="00733275"/>
    <w:rsid w:val="00734E96"/>
    <w:rsid w:val="007350D7"/>
    <w:rsid w:val="00735842"/>
    <w:rsid w:val="00735C0E"/>
    <w:rsid w:val="007363DD"/>
    <w:rsid w:val="0073678C"/>
    <w:rsid w:val="00737EDC"/>
    <w:rsid w:val="00737F3E"/>
    <w:rsid w:val="007409F7"/>
    <w:rsid w:val="0074287A"/>
    <w:rsid w:val="007432D2"/>
    <w:rsid w:val="007458E3"/>
    <w:rsid w:val="00746DED"/>
    <w:rsid w:val="00747DA0"/>
    <w:rsid w:val="00750066"/>
    <w:rsid w:val="00756437"/>
    <w:rsid w:val="007568EB"/>
    <w:rsid w:val="00757653"/>
    <w:rsid w:val="007639FE"/>
    <w:rsid w:val="0076516D"/>
    <w:rsid w:val="0076593B"/>
    <w:rsid w:val="00766801"/>
    <w:rsid w:val="00771A00"/>
    <w:rsid w:val="00771C9A"/>
    <w:rsid w:val="00771E93"/>
    <w:rsid w:val="007734AF"/>
    <w:rsid w:val="00774659"/>
    <w:rsid w:val="007747E5"/>
    <w:rsid w:val="00775D98"/>
    <w:rsid w:val="00775DB4"/>
    <w:rsid w:val="0077679C"/>
    <w:rsid w:val="00777C9D"/>
    <w:rsid w:val="007808A3"/>
    <w:rsid w:val="007812DF"/>
    <w:rsid w:val="007846AE"/>
    <w:rsid w:val="007848F0"/>
    <w:rsid w:val="00785FBD"/>
    <w:rsid w:val="00787086"/>
    <w:rsid w:val="0079320B"/>
    <w:rsid w:val="007932E6"/>
    <w:rsid w:val="00794D9F"/>
    <w:rsid w:val="00794DEA"/>
    <w:rsid w:val="0079512B"/>
    <w:rsid w:val="007953E0"/>
    <w:rsid w:val="00796BA8"/>
    <w:rsid w:val="007A0782"/>
    <w:rsid w:val="007A146C"/>
    <w:rsid w:val="007A6412"/>
    <w:rsid w:val="007A68F7"/>
    <w:rsid w:val="007A6A27"/>
    <w:rsid w:val="007B01FC"/>
    <w:rsid w:val="007B0772"/>
    <w:rsid w:val="007B25AA"/>
    <w:rsid w:val="007B3380"/>
    <w:rsid w:val="007B6329"/>
    <w:rsid w:val="007B7BAF"/>
    <w:rsid w:val="007B7EEE"/>
    <w:rsid w:val="007C1F7C"/>
    <w:rsid w:val="007C32A8"/>
    <w:rsid w:val="007C74BB"/>
    <w:rsid w:val="007D036B"/>
    <w:rsid w:val="007D10FC"/>
    <w:rsid w:val="007D2912"/>
    <w:rsid w:val="007E088B"/>
    <w:rsid w:val="007E2BFF"/>
    <w:rsid w:val="007E3519"/>
    <w:rsid w:val="007E4091"/>
    <w:rsid w:val="007E5ACE"/>
    <w:rsid w:val="007E7F50"/>
    <w:rsid w:val="007F1188"/>
    <w:rsid w:val="007F15CF"/>
    <w:rsid w:val="007F6AEA"/>
    <w:rsid w:val="00800035"/>
    <w:rsid w:val="00802326"/>
    <w:rsid w:val="00803E61"/>
    <w:rsid w:val="00804287"/>
    <w:rsid w:val="00804C9D"/>
    <w:rsid w:val="00810174"/>
    <w:rsid w:val="00810487"/>
    <w:rsid w:val="0081196A"/>
    <w:rsid w:val="00812915"/>
    <w:rsid w:val="0081450F"/>
    <w:rsid w:val="00815C58"/>
    <w:rsid w:val="00815D9F"/>
    <w:rsid w:val="008174FD"/>
    <w:rsid w:val="00817909"/>
    <w:rsid w:val="008200DB"/>
    <w:rsid w:val="00822C04"/>
    <w:rsid w:val="00822DC1"/>
    <w:rsid w:val="00826C36"/>
    <w:rsid w:val="00827026"/>
    <w:rsid w:val="008276BB"/>
    <w:rsid w:val="008300F1"/>
    <w:rsid w:val="00832C1C"/>
    <w:rsid w:val="00835492"/>
    <w:rsid w:val="00835697"/>
    <w:rsid w:val="0083599B"/>
    <w:rsid w:val="00836643"/>
    <w:rsid w:val="00840543"/>
    <w:rsid w:val="00842470"/>
    <w:rsid w:val="0084307D"/>
    <w:rsid w:val="0084315D"/>
    <w:rsid w:val="00843533"/>
    <w:rsid w:val="00844057"/>
    <w:rsid w:val="0084582A"/>
    <w:rsid w:val="008466E5"/>
    <w:rsid w:val="00851F0C"/>
    <w:rsid w:val="00854A4B"/>
    <w:rsid w:val="00855C0D"/>
    <w:rsid w:val="008564B2"/>
    <w:rsid w:val="00857064"/>
    <w:rsid w:val="008605AF"/>
    <w:rsid w:val="00860D39"/>
    <w:rsid w:val="0086353E"/>
    <w:rsid w:val="00864F7E"/>
    <w:rsid w:val="008650EF"/>
    <w:rsid w:val="008657A4"/>
    <w:rsid w:val="008666E2"/>
    <w:rsid w:val="00867A4F"/>
    <w:rsid w:val="00867A69"/>
    <w:rsid w:val="008710FF"/>
    <w:rsid w:val="00872969"/>
    <w:rsid w:val="00872E67"/>
    <w:rsid w:val="00873CBF"/>
    <w:rsid w:val="00874054"/>
    <w:rsid w:val="00874594"/>
    <w:rsid w:val="00876EE7"/>
    <w:rsid w:val="00881241"/>
    <w:rsid w:val="00881B4B"/>
    <w:rsid w:val="00881C0C"/>
    <w:rsid w:val="00881D6E"/>
    <w:rsid w:val="008839F2"/>
    <w:rsid w:val="00884FA7"/>
    <w:rsid w:val="00885BB7"/>
    <w:rsid w:val="00887790"/>
    <w:rsid w:val="008909D6"/>
    <w:rsid w:val="008937F3"/>
    <w:rsid w:val="00893CE5"/>
    <w:rsid w:val="00896390"/>
    <w:rsid w:val="008A1E6E"/>
    <w:rsid w:val="008A21D0"/>
    <w:rsid w:val="008A44F8"/>
    <w:rsid w:val="008A4612"/>
    <w:rsid w:val="008A4D2A"/>
    <w:rsid w:val="008A799F"/>
    <w:rsid w:val="008A7C89"/>
    <w:rsid w:val="008B174B"/>
    <w:rsid w:val="008B196C"/>
    <w:rsid w:val="008B2285"/>
    <w:rsid w:val="008B2FBA"/>
    <w:rsid w:val="008B3B3E"/>
    <w:rsid w:val="008B7398"/>
    <w:rsid w:val="008B7AB1"/>
    <w:rsid w:val="008C09D0"/>
    <w:rsid w:val="008C1F36"/>
    <w:rsid w:val="008C4B66"/>
    <w:rsid w:val="008D053A"/>
    <w:rsid w:val="008D086F"/>
    <w:rsid w:val="008D3EA7"/>
    <w:rsid w:val="008D55A0"/>
    <w:rsid w:val="008D59A4"/>
    <w:rsid w:val="008D5CAF"/>
    <w:rsid w:val="008D6572"/>
    <w:rsid w:val="008D7352"/>
    <w:rsid w:val="008E5CAC"/>
    <w:rsid w:val="008E6982"/>
    <w:rsid w:val="008F0FD3"/>
    <w:rsid w:val="008F3481"/>
    <w:rsid w:val="008F5382"/>
    <w:rsid w:val="008F6613"/>
    <w:rsid w:val="00900019"/>
    <w:rsid w:val="0090070E"/>
    <w:rsid w:val="00902574"/>
    <w:rsid w:val="009039FB"/>
    <w:rsid w:val="009101BD"/>
    <w:rsid w:val="0091123B"/>
    <w:rsid w:val="00911F89"/>
    <w:rsid w:val="00921EDB"/>
    <w:rsid w:val="00922070"/>
    <w:rsid w:val="00924B49"/>
    <w:rsid w:val="00927512"/>
    <w:rsid w:val="00932950"/>
    <w:rsid w:val="00936F55"/>
    <w:rsid w:val="009407E5"/>
    <w:rsid w:val="009430A6"/>
    <w:rsid w:val="00944634"/>
    <w:rsid w:val="009459BF"/>
    <w:rsid w:val="0094625D"/>
    <w:rsid w:val="00950193"/>
    <w:rsid w:val="00953EA2"/>
    <w:rsid w:val="00955217"/>
    <w:rsid w:val="0095576C"/>
    <w:rsid w:val="00955BD9"/>
    <w:rsid w:val="009571DC"/>
    <w:rsid w:val="0096045B"/>
    <w:rsid w:val="00960632"/>
    <w:rsid w:val="00960B92"/>
    <w:rsid w:val="00961029"/>
    <w:rsid w:val="009631B8"/>
    <w:rsid w:val="00964060"/>
    <w:rsid w:val="00966581"/>
    <w:rsid w:val="00966C22"/>
    <w:rsid w:val="009670CA"/>
    <w:rsid w:val="00972D1A"/>
    <w:rsid w:val="009739B5"/>
    <w:rsid w:val="00974B3B"/>
    <w:rsid w:val="00974BD2"/>
    <w:rsid w:val="0097676B"/>
    <w:rsid w:val="00977D57"/>
    <w:rsid w:val="00982302"/>
    <w:rsid w:val="00983F6B"/>
    <w:rsid w:val="0098551A"/>
    <w:rsid w:val="00987E5A"/>
    <w:rsid w:val="009926A3"/>
    <w:rsid w:val="00993511"/>
    <w:rsid w:val="00993E7B"/>
    <w:rsid w:val="009940DD"/>
    <w:rsid w:val="009959E0"/>
    <w:rsid w:val="00995FBF"/>
    <w:rsid w:val="009A0BFA"/>
    <w:rsid w:val="009A17F5"/>
    <w:rsid w:val="009A60B9"/>
    <w:rsid w:val="009A682E"/>
    <w:rsid w:val="009A71BF"/>
    <w:rsid w:val="009A772E"/>
    <w:rsid w:val="009A7AF2"/>
    <w:rsid w:val="009B202B"/>
    <w:rsid w:val="009B2605"/>
    <w:rsid w:val="009B275C"/>
    <w:rsid w:val="009B3DEF"/>
    <w:rsid w:val="009B47FE"/>
    <w:rsid w:val="009B6352"/>
    <w:rsid w:val="009B65A3"/>
    <w:rsid w:val="009C616D"/>
    <w:rsid w:val="009D1C98"/>
    <w:rsid w:val="009D1D3E"/>
    <w:rsid w:val="009D2239"/>
    <w:rsid w:val="009D2D64"/>
    <w:rsid w:val="009D3364"/>
    <w:rsid w:val="009D3877"/>
    <w:rsid w:val="009D470A"/>
    <w:rsid w:val="009D4825"/>
    <w:rsid w:val="009D4A8C"/>
    <w:rsid w:val="009D7BEC"/>
    <w:rsid w:val="009E4D6C"/>
    <w:rsid w:val="009E613A"/>
    <w:rsid w:val="009F205C"/>
    <w:rsid w:val="009F3D3C"/>
    <w:rsid w:val="009F4E2A"/>
    <w:rsid w:val="009F588A"/>
    <w:rsid w:val="009F6827"/>
    <w:rsid w:val="009F6C0E"/>
    <w:rsid w:val="009F78ED"/>
    <w:rsid w:val="00A020C8"/>
    <w:rsid w:val="00A029CD"/>
    <w:rsid w:val="00A02DA4"/>
    <w:rsid w:val="00A04736"/>
    <w:rsid w:val="00A12A82"/>
    <w:rsid w:val="00A12E54"/>
    <w:rsid w:val="00A136A0"/>
    <w:rsid w:val="00A144B3"/>
    <w:rsid w:val="00A1743D"/>
    <w:rsid w:val="00A2047D"/>
    <w:rsid w:val="00A20611"/>
    <w:rsid w:val="00A2098D"/>
    <w:rsid w:val="00A2273E"/>
    <w:rsid w:val="00A24CDF"/>
    <w:rsid w:val="00A259B5"/>
    <w:rsid w:val="00A26677"/>
    <w:rsid w:val="00A270D7"/>
    <w:rsid w:val="00A27B35"/>
    <w:rsid w:val="00A3085F"/>
    <w:rsid w:val="00A308CD"/>
    <w:rsid w:val="00A318A4"/>
    <w:rsid w:val="00A34741"/>
    <w:rsid w:val="00A359CF"/>
    <w:rsid w:val="00A35F1E"/>
    <w:rsid w:val="00A36AC1"/>
    <w:rsid w:val="00A41422"/>
    <w:rsid w:val="00A42126"/>
    <w:rsid w:val="00A46D0E"/>
    <w:rsid w:val="00A5087E"/>
    <w:rsid w:val="00A52E8B"/>
    <w:rsid w:val="00A538F9"/>
    <w:rsid w:val="00A53DBA"/>
    <w:rsid w:val="00A55D34"/>
    <w:rsid w:val="00A561A8"/>
    <w:rsid w:val="00A577E9"/>
    <w:rsid w:val="00A57B9B"/>
    <w:rsid w:val="00A618A6"/>
    <w:rsid w:val="00A63074"/>
    <w:rsid w:val="00A63395"/>
    <w:rsid w:val="00A633CC"/>
    <w:rsid w:val="00A63B48"/>
    <w:rsid w:val="00A64FE4"/>
    <w:rsid w:val="00A6627E"/>
    <w:rsid w:val="00A676F8"/>
    <w:rsid w:val="00A71BC6"/>
    <w:rsid w:val="00A7661B"/>
    <w:rsid w:val="00A8073C"/>
    <w:rsid w:val="00A84BE2"/>
    <w:rsid w:val="00A84C90"/>
    <w:rsid w:val="00A859F8"/>
    <w:rsid w:val="00A85B83"/>
    <w:rsid w:val="00A86A0B"/>
    <w:rsid w:val="00A87699"/>
    <w:rsid w:val="00A95072"/>
    <w:rsid w:val="00A96513"/>
    <w:rsid w:val="00AA0FBA"/>
    <w:rsid w:val="00AA1622"/>
    <w:rsid w:val="00AA2187"/>
    <w:rsid w:val="00AA4EE3"/>
    <w:rsid w:val="00AA6653"/>
    <w:rsid w:val="00AA66AD"/>
    <w:rsid w:val="00AA6C51"/>
    <w:rsid w:val="00AA7E86"/>
    <w:rsid w:val="00AB2706"/>
    <w:rsid w:val="00AB35BF"/>
    <w:rsid w:val="00AB51AA"/>
    <w:rsid w:val="00AB5776"/>
    <w:rsid w:val="00AC019A"/>
    <w:rsid w:val="00AC0245"/>
    <w:rsid w:val="00AC2C9F"/>
    <w:rsid w:val="00AC3B9B"/>
    <w:rsid w:val="00AC620B"/>
    <w:rsid w:val="00AD052C"/>
    <w:rsid w:val="00AD10AF"/>
    <w:rsid w:val="00AD1FF2"/>
    <w:rsid w:val="00AD2472"/>
    <w:rsid w:val="00AD254C"/>
    <w:rsid w:val="00AD2AB1"/>
    <w:rsid w:val="00AD48AD"/>
    <w:rsid w:val="00AD4D27"/>
    <w:rsid w:val="00AD63F0"/>
    <w:rsid w:val="00AD7412"/>
    <w:rsid w:val="00AF2A36"/>
    <w:rsid w:val="00AF3322"/>
    <w:rsid w:val="00AF577D"/>
    <w:rsid w:val="00B00B93"/>
    <w:rsid w:val="00B00BE5"/>
    <w:rsid w:val="00B03DCC"/>
    <w:rsid w:val="00B03E69"/>
    <w:rsid w:val="00B05186"/>
    <w:rsid w:val="00B05A06"/>
    <w:rsid w:val="00B07B73"/>
    <w:rsid w:val="00B10167"/>
    <w:rsid w:val="00B10D54"/>
    <w:rsid w:val="00B112A5"/>
    <w:rsid w:val="00B11D24"/>
    <w:rsid w:val="00B11EA7"/>
    <w:rsid w:val="00B12680"/>
    <w:rsid w:val="00B156E9"/>
    <w:rsid w:val="00B16448"/>
    <w:rsid w:val="00B168EE"/>
    <w:rsid w:val="00B2115C"/>
    <w:rsid w:val="00B21FBF"/>
    <w:rsid w:val="00B2298B"/>
    <w:rsid w:val="00B22F78"/>
    <w:rsid w:val="00B24587"/>
    <w:rsid w:val="00B251BE"/>
    <w:rsid w:val="00B2659C"/>
    <w:rsid w:val="00B26F90"/>
    <w:rsid w:val="00B342FF"/>
    <w:rsid w:val="00B4021E"/>
    <w:rsid w:val="00B42866"/>
    <w:rsid w:val="00B431EF"/>
    <w:rsid w:val="00B46248"/>
    <w:rsid w:val="00B46A35"/>
    <w:rsid w:val="00B50363"/>
    <w:rsid w:val="00B50BCF"/>
    <w:rsid w:val="00B518B5"/>
    <w:rsid w:val="00B51BE6"/>
    <w:rsid w:val="00B537A9"/>
    <w:rsid w:val="00B55E3D"/>
    <w:rsid w:val="00B562AA"/>
    <w:rsid w:val="00B56380"/>
    <w:rsid w:val="00B60C6E"/>
    <w:rsid w:val="00B61A62"/>
    <w:rsid w:val="00B62FEE"/>
    <w:rsid w:val="00B6441D"/>
    <w:rsid w:val="00B65492"/>
    <w:rsid w:val="00B655AF"/>
    <w:rsid w:val="00B661EE"/>
    <w:rsid w:val="00B67884"/>
    <w:rsid w:val="00B73071"/>
    <w:rsid w:val="00B73A9C"/>
    <w:rsid w:val="00B74332"/>
    <w:rsid w:val="00B747F9"/>
    <w:rsid w:val="00B7503E"/>
    <w:rsid w:val="00B77949"/>
    <w:rsid w:val="00B77A59"/>
    <w:rsid w:val="00B806B6"/>
    <w:rsid w:val="00B83662"/>
    <w:rsid w:val="00B8510C"/>
    <w:rsid w:val="00B91B61"/>
    <w:rsid w:val="00B9294A"/>
    <w:rsid w:val="00B96382"/>
    <w:rsid w:val="00B9698C"/>
    <w:rsid w:val="00B96A9A"/>
    <w:rsid w:val="00B96DD2"/>
    <w:rsid w:val="00B96F81"/>
    <w:rsid w:val="00B97448"/>
    <w:rsid w:val="00BA028A"/>
    <w:rsid w:val="00BA0BA6"/>
    <w:rsid w:val="00BA1CC0"/>
    <w:rsid w:val="00BA2D60"/>
    <w:rsid w:val="00BA3014"/>
    <w:rsid w:val="00BA4AFD"/>
    <w:rsid w:val="00BA4E26"/>
    <w:rsid w:val="00BA52AC"/>
    <w:rsid w:val="00BA5639"/>
    <w:rsid w:val="00BB0A36"/>
    <w:rsid w:val="00BB2972"/>
    <w:rsid w:val="00BB6AD5"/>
    <w:rsid w:val="00BC2480"/>
    <w:rsid w:val="00BC267B"/>
    <w:rsid w:val="00BC27BE"/>
    <w:rsid w:val="00BC28E6"/>
    <w:rsid w:val="00BC4374"/>
    <w:rsid w:val="00BC4820"/>
    <w:rsid w:val="00BC4869"/>
    <w:rsid w:val="00BC515A"/>
    <w:rsid w:val="00BC536B"/>
    <w:rsid w:val="00BC5A5E"/>
    <w:rsid w:val="00BC5EE0"/>
    <w:rsid w:val="00BC73DF"/>
    <w:rsid w:val="00BC76D4"/>
    <w:rsid w:val="00BC7E13"/>
    <w:rsid w:val="00BD20F3"/>
    <w:rsid w:val="00BD2212"/>
    <w:rsid w:val="00BD3096"/>
    <w:rsid w:val="00BD38A0"/>
    <w:rsid w:val="00BD5A3E"/>
    <w:rsid w:val="00BD5AFA"/>
    <w:rsid w:val="00BD6C20"/>
    <w:rsid w:val="00BE1DC4"/>
    <w:rsid w:val="00BE5190"/>
    <w:rsid w:val="00BE5799"/>
    <w:rsid w:val="00BE582B"/>
    <w:rsid w:val="00BE7A88"/>
    <w:rsid w:val="00BF02E6"/>
    <w:rsid w:val="00BF0A49"/>
    <w:rsid w:val="00BF1DE9"/>
    <w:rsid w:val="00BF3628"/>
    <w:rsid w:val="00BF4381"/>
    <w:rsid w:val="00BF671E"/>
    <w:rsid w:val="00BF704D"/>
    <w:rsid w:val="00BF7C05"/>
    <w:rsid w:val="00C0162E"/>
    <w:rsid w:val="00C020A1"/>
    <w:rsid w:val="00C0307D"/>
    <w:rsid w:val="00C0358A"/>
    <w:rsid w:val="00C0397C"/>
    <w:rsid w:val="00C03B67"/>
    <w:rsid w:val="00C10083"/>
    <w:rsid w:val="00C108C7"/>
    <w:rsid w:val="00C10D2B"/>
    <w:rsid w:val="00C112F9"/>
    <w:rsid w:val="00C11DCD"/>
    <w:rsid w:val="00C149B6"/>
    <w:rsid w:val="00C16653"/>
    <w:rsid w:val="00C201AF"/>
    <w:rsid w:val="00C203D2"/>
    <w:rsid w:val="00C2099E"/>
    <w:rsid w:val="00C211C3"/>
    <w:rsid w:val="00C27015"/>
    <w:rsid w:val="00C27D76"/>
    <w:rsid w:val="00C27E23"/>
    <w:rsid w:val="00C27FC9"/>
    <w:rsid w:val="00C30CD0"/>
    <w:rsid w:val="00C3258F"/>
    <w:rsid w:val="00C32CEB"/>
    <w:rsid w:val="00C36AA6"/>
    <w:rsid w:val="00C3754D"/>
    <w:rsid w:val="00C37AA3"/>
    <w:rsid w:val="00C41FC0"/>
    <w:rsid w:val="00C42753"/>
    <w:rsid w:val="00C45DEC"/>
    <w:rsid w:val="00C46153"/>
    <w:rsid w:val="00C476A4"/>
    <w:rsid w:val="00C47A39"/>
    <w:rsid w:val="00C5046C"/>
    <w:rsid w:val="00C50DAF"/>
    <w:rsid w:val="00C5113D"/>
    <w:rsid w:val="00C51910"/>
    <w:rsid w:val="00C52233"/>
    <w:rsid w:val="00C52455"/>
    <w:rsid w:val="00C5279B"/>
    <w:rsid w:val="00C53911"/>
    <w:rsid w:val="00C57B24"/>
    <w:rsid w:val="00C57C67"/>
    <w:rsid w:val="00C61CF3"/>
    <w:rsid w:val="00C63208"/>
    <w:rsid w:val="00C652E7"/>
    <w:rsid w:val="00C6573D"/>
    <w:rsid w:val="00C65D2E"/>
    <w:rsid w:val="00C70DED"/>
    <w:rsid w:val="00C7154E"/>
    <w:rsid w:val="00C736D9"/>
    <w:rsid w:val="00C73FF8"/>
    <w:rsid w:val="00C75D7E"/>
    <w:rsid w:val="00C7685D"/>
    <w:rsid w:val="00C77307"/>
    <w:rsid w:val="00C77E8A"/>
    <w:rsid w:val="00C8076D"/>
    <w:rsid w:val="00C82F27"/>
    <w:rsid w:val="00C839EB"/>
    <w:rsid w:val="00C86E41"/>
    <w:rsid w:val="00C87E77"/>
    <w:rsid w:val="00C90105"/>
    <w:rsid w:val="00C932F9"/>
    <w:rsid w:val="00C93BFE"/>
    <w:rsid w:val="00C94523"/>
    <w:rsid w:val="00CA264F"/>
    <w:rsid w:val="00CA310B"/>
    <w:rsid w:val="00CA3EB0"/>
    <w:rsid w:val="00CA6FD4"/>
    <w:rsid w:val="00CB087B"/>
    <w:rsid w:val="00CB0CAF"/>
    <w:rsid w:val="00CB1D81"/>
    <w:rsid w:val="00CB2656"/>
    <w:rsid w:val="00CB394D"/>
    <w:rsid w:val="00CB435D"/>
    <w:rsid w:val="00CC319E"/>
    <w:rsid w:val="00CC34CD"/>
    <w:rsid w:val="00CC557D"/>
    <w:rsid w:val="00CC7C99"/>
    <w:rsid w:val="00CD0D16"/>
    <w:rsid w:val="00CD18A6"/>
    <w:rsid w:val="00CD216A"/>
    <w:rsid w:val="00CD2EF9"/>
    <w:rsid w:val="00CD427E"/>
    <w:rsid w:val="00CD5C5C"/>
    <w:rsid w:val="00CD6F09"/>
    <w:rsid w:val="00CD6F62"/>
    <w:rsid w:val="00CE21D8"/>
    <w:rsid w:val="00CE3778"/>
    <w:rsid w:val="00CE44AB"/>
    <w:rsid w:val="00CF203F"/>
    <w:rsid w:val="00CF2586"/>
    <w:rsid w:val="00CF4A60"/>
    <w:rsid w:val="00CF56DF"/>
    <w:rsid w:val="00CF587C"/>
    <w:rsid w:val="00CF5AEE"/>
    <w:rsid w:val="00CF7447"/>
    <w:rsid w:val="00D03AAC"/>
    <w:rsid w:val="00D06E93"/>
    <w:rsid w:val="00D075E5"/>
    <w:rsid w:val="00D1108C"/>
    <w:rsid w:val="00D12B1E"/>
    <w:rsid w:val="00D13BCB"/>
    <w:rsid w:val="00D15039"/>
    <w:rsid w:val="00D160F8"/>
    <w:rsid w:val="00D17A5D"/>
    <w:rsid w:val="00D218CB"/>
    <w:rsid w:val="00D221E2"/>
    <w:rsid w:val="00D23BDE"/>
    <w:rsid w:val="00D26E57"/>
    <w:rsid w:val="00D27072"/>
    <w:rsid w:val="00D2755A"/>
    <w:rsid w:val="00D27F84"/>
    <w:rsid w:val="00D313CB"/>
    <w:rsid w:val="00D319D5"/>
    <w:rsid w:val="00D32A66"/>
    <w:rsid w:val="00D34D21"/>
    <w:rsid w:val="00D34ECF"/>
    <w:rsid w:val="00D35E04"/>
    <w:rsid w:val="00D363B3"/>
    <w:rsid w:val="00D365B0"/>
    <w:rsid w:val="00D36A70"/>
    <w:rsid w:val="00D37BA4"/>
    <w:rsid w:val="00D41D46"/>
    <w:rsid w:val="00D4481F"/>
    <w:rsid w:val="00D5083B"/>
    <w:rsid w:val="00D51F02"/>
    <w:rsid w:val="00D524FA"/>
    <w:rsid w:val="00D52E57"/>
    <w:rsid w:val="00D5567C"/>
    <w:rsid w:val="00D55D5D"/>
    <w:rsid w:val="00D563C9"/>
    <w:rsid w:val="00D57198"/>
    <w:rsid w:val="00D57B6B"/>
    <w:rsid w:val="00D62146"/>
    <w:rsid w:val="00D630A3"/>
    <w:rsid w:val="00D65A78"/>
    <w:rsid w:val="00D661F3"/>
    <w:rsid w:val="00D66F3B"/>
    <w:rsid w:val="00D67DF8"/>
    <w:rsid w:val="00D7227A"/>
    <w:rsid w:val="00D7264A"/>
    <w:rsid w:val="00D730F9"/>
    <w:rsid w:val="00D73896"/>
    <w:rsid w:val="00D74BF1"/>
    <w:rsid w:val="00D75099"/>
    <w:rsid w:val="00D757F8"/>
    <w:rsid w:val="00D75BCF"/>
    <w:rsid w:val="00D77ABC"/>
    <w:rsid w:val="00D77C2C"/>
    <w:rsid w:val="00D80C3B"/>
    <w:rsid w:val="00D82C49"/>
    <w:rsid w:val="00D83078"/>
    <w:rsid w:val="00D8596F"/>
    <w:rsid w:val="00D85DA7"/>
    <w:rsid w:val="00D860C2"/>
    <w:rsid w:val="00D86A1E"/>
    <w:rsid w:val="00D87DA6"/>
    <w:rsid w:val="00D87E63"/>
    <w:rsid w:val="00D90E82"/>
    <w:rsid w:val="00D91678"/>
    <w:rsid w:val="00D91907"/>
    <w:rsid w:val="00D93247"/>
    <w:rsid w:val="00D9407D"/>
    <w:rsid w:val="00D95327"/>
    <w:rsid w:val="00D95AEA"/>
    <w:rsid w:val="00D9726B"/>
    <w:rsid w:val="00DA05C7"/>
    <w:rsid w:val="00DA1E3C"/>
    <w:rsid w:val="00DA34C6"/>
    <w:rsid w:val="00DA3EEE"/>
    <w:rsid w:val="00DA3FFC"/>
    <w:rsid w:val="00DA6445"/>
    <w:rsid w:val="00DA73E8"/>
    <w:rsid w:val="00DB2881"/>
    <w:rsid w:val="00DB29A6"/>
    <w:rsid w:val="00DB2B86"/>
    <w:rsid w:val="00DB4440"/>
    <w:rsid w:val="00DC40D0"/>
    <w:rsid w:val="00DC665F"/>
    <w:rsid w:val="00DC7519"/>
    <w:rsid w:val="00DD0C11"/>
    <w:rsid w:val="00DD5A45"/>
    <w:rsid w:val="00DD5D67"/>
    <w:rsid w:val="00DD6B19"/>
    <w:rsid w:val="00DD6D7B"/>
    <w:rsid w:val="00DD6E77"/>
    <w:rsid w:val="00DD7C9F"/>
    <w:rsid w:val="00DE02E1"/>
    <w:rsid w:val="00DE08BA"/>
    <w:rsid w:val="00DE49C7"/>
    <w:rsid w:val="00DE4D38"/>
    <w:rsid w:val="00DE5537"/>
    <w:rsid w:val="00DE5E8E"/>
    <w:rsid w:val="00DE6101"/>
    <w:rsid w:val="00DF3072"/>
    <w:rsid w:val="00DF567D"/>
    <w:rsid w:val="00DF58E5"/>
    <w:rsid w:val="00DF69D8"/>
    <w:rsid w:val="00E01AB9"/>
    <w:rsid w:val="00E04754"/>
    <w:rsid w:val="00E04A67"/>
    <w:rsid w:val="00E116FC"/>
    <w:rsid w:val="00E12349"/>
    <w:rsid w:val="00E14758"/>
    <w:rsid w:val="00E1480A"/>
    <w:rsid w:val="00E25710"/>
    <w:rsid w:val="00E302AC"/>
    <w:rsid w:val="00E30C5C"/>
    <w:rsid w:val="00E349C5"/>
    <w:rsid w:val="00E35762"/>
    <w:rsid w:val="00E41108"/>
    <w:rsid w:val="00E4158C"/>
    <w:rsid w:val="00E43936"/>
    <w:rsid w:val="00E45161"/>
    <w:rsid w:val="00E4533F"/>
    <w:rsid w:val="00E45A85"/>
    <w:rsid w:val="00E470DB"/>
    <w:rsid w:val="00E47370"/>
    <w:rsid w:val="00E504F0"/>
    <w:rsid w:val="00E5136D"/>
    <w:rsid w:val="00E51568"/>
    <w:rsid w:val="00E529DA"/>
    <w:rsid w:val="00E52DCB"/>
    <w:rsid w:val="00E57322"/>
    <w:rsid w:val="00E604FB"/>
    <w:rsid w:val="00E625EC"/>
    <w:rsid w:val="00E6349D"/>
    <w:rsid w:val="00E6556E"/>
    <w:rsid w:val="00E72E75"/>
    <w:rsid w:val="00E748E1"/>
    <w:rsid w:val="00E76595"/>
    <w:rsid w:val="00E80ADF"/>
    <w:rsid w:val="00E8488C"/>
    <w:rsid w:val="00E84BB3"/>
    <w:rsid w:val="00E84F61"/>
    <w:rsid w:val="00E86C2E"/>
    <w:rsid w:val="00E87935"/>
    <w:rsid w:val="00E91539"/>
    <w:rsid w:val="00E92000"/>
    <w:rsid w:val="00E93C6F"/>
    <w:rsid w:val="00E93E67"/>
    <w:rsid w:val="00E95F28"/>
    <w:rsid w:val="00E96078"/>
    <w:rsid w:val="00E9785E"/>
    <w:rsid w:val="00EA1EBA"/>
    <w:rsid w:val="00EA458C"/>
    <w:rsid w:val="00EA6741"/>
    <w:rsid w:val="00EB12C7"/>
    <w:rsid w:val="00EB269F"/>
    <w:rsid w:val="00EB274E"/>
    <w:rsid w:val="00EB5148"/>
    <w:rsid w:val="00EB6FC8"/>
    <w:rsid w:val="00EC2667"/>
    <w:rsid w:val="00EC320C"/>
    <w:rsid w:val="00EC4848"/>
    <w:rsid w:val="00EC54FD"/>
    <w:rsid w:val="00EC6E2E"/>
    <w:rsid w:val="00ED17F7"/>
    <w:rsid w:val="00ED3B91"/>
    <w:rsid w:val="00ED455A"/>
    <w:rsid w:val="00ED7218"/>
    <w:rsid w:val="00ED7849"/>
    <w:rsid w:val="00ED7B43"/>
    <w:rsid w:val="00ED7BB7"/>
    <w:rsid w:val="00EE0242"/>
    <w:rsid w:val="00EE088A"/>
    <w:rsid w:val="00EE5AEE"/>
    <w:rsid w:val="00EE6440"/>
    <w:rsid w:val="00EF06D7"/>
    <w:rsid w:val="00EF12B2"/>
    <w:rsid w:val="00EF1406"/>
    <w:rsid w:val="00EF2EC0"/>
    <w:rsid w:val="00EF41D7"/>
    <w:rsid w:val="00EF5A2C"/>
    <w:rsid w:val="00EF6B06"/>
    <w:rsid w:val="00EF6C07"/>
    <w:rsid w:val="00EF78E9"/>
    <w:rsid w:val="00EF7947"/>
    <w:rsid w:val="00F01C98"/>
    <w:rsid w:val="00F032F0"/>
    <w:rsid w:val="00F062D7"/>
    <w:rsid w:val="00F07CA3"/>
    <w:rsid w:val="00F14827"/>
    <w:rsid w:val="00F1509C"/>
    <w:rsid w:val="00F1694B"/>
    <w:rsid w:val="00F20527"/>
    <w:rsid w:val="00F21958"/>
    <w:rsid w:val="00F230E2"/>
    <w:rsid w:val="00F23700"/>
    <w:rsid w:val="00F279D2"/>
    <w:rsid w:val="00F32BFF"/>
    <w:rsid w:val="00F33B92"/>
    <w:rsid w:val="00F369A8"/>
    <w:rsid w:val="00F3737B"/>
    <w:rsid w:val="00F3772D"/>
    <w:rsid w:val="00F41241"/>
    <w:rsid w:val="00F42BC3"/>
    <w:rsid w:val="00F43BDC"/>
    <w:rsid w:val="00F44E88"/>
    <w:rsid w:val="00F50977"/>
    <w:rsid w:val="00F51F63"/>
    <w:rsid w:val="00F5315F"/>
    <w:rsid w:val="00F53562"/>
    <w:rsid w:val="00F54FBF"/>
    <w:rsid w:val="00F62CB2"/>
    <w:rsid w:val="00F64155"/>
    <w:rsid w:val="00F64171"/>
    <w:rsid w:val="00F655B8"/>
    <w:rsid w:val="00F65D7A"/>
    <w:rsid w:val="00F67273"/>
    <w:rsid w:val="00F70CD1"/>
    <w:rsid w:val="00F74D3B"/>
    <w:rsid w:val="00F74E33"/>
    <w:rsid w:val="00F76218"/>
    <w:rsid w:val="00F7636C"/>
    <w:rsid w:val="00F81854"/>
    <w:rsid w:val="00F8285F"/>
    <w:rsid w:val="00F85995"/>
    <w:rsid w:val="00F86053"/>
    <w:rsid w:val="00F86CC2"/>
    <w:rsid w:val="00F86CC7"/>
    <w:rsid w:val="00F93933"/>
    <w:rsid w:val="00F9492F"/>
    <w:rsid w:val="00F97D60"/>
    <w:rsid w:val="00FA0090"/>
    <w:rsid w:val="00FA055F"/>
    <w:rsid w:val="00FA2297"/>
    <w:rsid w:val="00FA46F5"/>
    <w:rsid w:val="00FA51F4"/>
    <w:rsid w:val="00FA6CB4"/>
    <w:rsid w:val="00FB043A"/>
    <w:rsid w:val="00FB6F96"/>
    <w:rsid w:val="00FC1381"/>
    <w:rsid w:val="00FC1B37"/>
    <w:rsid w:val="00FC2AE7"/>
    <w:rsid w:val="00FC563C"/>
    <w:rsid w:val="00FC76AD"/>
    <w:rsid w:val="00FD1A38"/>
    <w:rsid w:val="00FD4E8E"/>
    <w:rsid w:val="00FD5C81"/>
    <w:rsid w:val="00FD5E9B"/>
    <w:rsid w:val="00FD6E4A"/>
    <w:rsid w:val="00FE1FF8"/>
    <w:rsid w:val="00FE4E33"/>
    <w:rsid w:val="00FE6256"/>
    <w:rsid w:val="00FF2980"/>
    <w:rsid w:val="00FF30B3"/>
    <w:rsid w:val="00FF3988"/>
    <w:rsid w:val="00FF5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9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A3F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A3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A3FF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55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55A0"/>
    <w:rPr>
      <w:rFonts w:ascii="Tahoma" w:hAnsi="Tahoma" w:cs="Tahoma"/>
      <w:sz w:val="16"/>
      <w:szCs w:val="16"/>
    </w:rPr>
  </w:style>
  <w:style w:type="paragraph" w:styleId="Kopfzeile">
    <w:name w:val="header"/>
    <w:basedOn w:val="Standard"/>
    <w:link w:val="KopfzeileZchn"/>
    <w:uiPriority w:val="99"/>
    <w:unhideWhenUsed/>
    <w:rsid w:val="00E9785E"/>
    <w:pPr>
      <w:tabs>
        <w:tab w:val="center" w:pos="4680"/>
        <w:tab w:val="right" w:pos="9360"/>
      </w:tabs>
    </w:pPr>
  </w:style>
  <w:style w:type="character" w:customStyle="1" w:styleId="KopfzeileZchn">
    <w:name w:val="Kopfzeile Zchn"/>
    <w:basedOn w:val="Absatz-Standardschriftart"/>
    <w:link w:val="Kopfzeile"/>
    <w:uiPriority w:val="99"/>
    <w:rsid w:val="00E9785E"/>
  </w:style>
  <w:style w:type="paragraph" w:styleId="Fuzeile">
    <w:name w:val="footer"/>
    <w:basedOn w:val="Standard"/>
    <w:link w:val="FuzeileZchn"/>
    <w:uiPriority w:val="99"/>
    <w:unhideWhenUsed/>
    <w:rsid w:val="00E9785E"/>
    <w:pPr>
      <w:tabs>
        <w:tab w:val="center" w:pos="4680"/>
        <w:tab w:val="right" w:pos="9360"/>
      </w:tabs>
    </w:pPr>
  </w:style>
  <w:style w:type="character" w:customStyle="1" w:styleId="FuzeileZchn">
    <w:name w:val="Fußzeile Zchn"/>
    <w:basedOn w:val="Absatz-Standardschriftart"/>
    <w:link w:val="Fuzeile"/>
    <w:uiPriority w:val="99"/>
    <w:rsid w:val="00E9785E"/>
  </w:style>
  <w:style w:type="table" w:styleId="Tabellenraster">
    <w:name w:val="Table Grid"/>
    <w:basedOn w:val="NormaleTabelle"/>
    <w:uiPriority w:val="59"/>
    <w:rsid w:val="00FA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A0090"/>
    <w:rPr>
      <w:color w:val="0000FF" w:themeColor="hyperlink"/>
      <w:u w:val="single"/>
    </w:rPr>
  </w:style>
  <w:style w:type="paragraph" w:styleId="Beschriftung">
    <w:name w:val="caption"/>
    <w:basedOn w:val="Standard"/>
    <w:next w:val="Standard"/>
    <w:uiPriority w:val="35"/>
    <w:unhideWhenUsed/>
    <w:qFormat/>
    <w:rsid w:val="00DD7C9F"/>
    <w:pPr>
      <w:spacing w:after="200"/>
    </w:pPr>
    <w:rPr>
      <w:b/>
      <w:bCs/>
      <w:color w:val="4F81BD" w:themeColor="accent1"/>
      <w:sz w:val="18"/>
      <w:szCs w:val="18"/>
    </w:rPr>
  </w:style>
  <w:style w:type="character" w:styleId="Platzhaltertext">
    <w:name w:val="Placeholder Text"/>
    <w:basedOn w:val="Absatz-Standardschriftart"/>
    <w:uiPriority w:val="99"/>
    <w:semiHidden/>
    <w:rsid w:val="009A17F5"/>
    <w:rPr>
      <w:color w:val="808080"/>
    </w:rPr>
  </w:style>
  <w:style w:type="paragraph" w:styleId="Listenabsatz">
    <w:name w:val="List Paragraph"/>
    <w:basedOn w:val="Standard"/>
    <w:uiPriority w:val="34"/>
    <w:qFormat/>
    <w:rsid w:val="009D2D64"/>
    <w:pPr>
      <w:ind w:left="720"/>
      <w:contextualSpacing/>
    </w:pPr>
  </w:style>
  <w:style w:type="character" w:styleId="Kommentarzeichen">
    <w:name w:val="annotation reference"/>
    <w:basedOn w:val="Absatz-Standardschriftart"/>
    <w:uiPriority w:val="99"/>
    <w:semiHidden/>
    <w:unhideWhenUsed/>
    <w:rsid w:val="001C6FA6"/>
    <w:rPr>
      <w:sz w:val="16"/>
      <w:szCs w:val="16"/>
    </w:rPr>
  </w:style>
  <w:style w:type="paragraph" w:styleId="Kommentartext">
    <w:name w:val="annotation text"/>
    <w:basedOn w:val="Standard"/>
    <w:link w:val="KommentartextZchn"/>
    <w:uiPriority w:val="99"/>
    <w:semiHidden/>
    <w:unhideWhenUsed/>
    <w:rsid w:val="001C6FA6"/>
    <w:rPr>
      <w:sz w:val="20"/>
      <w:szCs w:val="20"/>
    </w:rPr>
  </w:style>
  <w:style w:type="character" w:customStyle="1" w:styleId="KommentartextZchn">
    <w:name w:val="Kommentartext Zchn"/>
    <w:basedOn w:val="Absatz-Standardschriftart"/>
    <w:link w:val="Kommentartext"/>
    <w:uiPriority w:val="99"/>
    <w:semiHidden/>
    <w:rsid w:val="001C6FA6"/>
    <w:rPr>
      <w:sz w:val="20"/>
      <w:szCs w:val="20"/>
    </w:rPr>
  </w:style>
  <w:style w:type="character" w:customStyle="1" w:styleId="berschrift1Zchn">
    <w:name w:val="Überschrift 1 Zchn"/>
    <w:basedOn w:val="Absatz-Standardschriftart"/>
    <w:link w:val="berschrift1"/>
    <w:uiPriority w:val="9"/>
    <w:rsid w:val="00DA3FF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DA3FF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DA3FFC"/>
    <w:rPr>
      <w:rFonts w:asciiTheme="majorHAnsi" w:eastAsiaTheme="majorEastAsia" w:hAnsiTheme="majorHAnsi" w:cstheme="majorBidi"/>
      <w:b/>
      <w:bCs/>
      <w:color w:val="4F81BD" w:themeColor="accent1"/>
    </w:rPr>
  </w:style>
  <w:style w:type="paragraph" w:styleId="Inhaltsverzeichnisberschrift">
    <w:name w:val="TOC Heading"/>
    <w:basedOn w:val="berschrift1"/>
    <w:next w:val="Standard"/>
    <w:uiPriority w:val="39"/>
    <w:semiHidden/>
    <w:unhideWhenUsed/>
    <w:qFormat/>
    <w:rsid w:val="00131A69"/>
    <w:pPr>
      <w:spacing w:line="276" w:lineRule="auto"/>
      <w:outlineLvl w:val="9"/>
    </w:pPr>
    <w:rPr>
      <w:lang w:eastAsia="ja-JP"/>
    </w:rPr>
  </w:style>
  <w:style w:type="paragraph" w:styleId="Verzeichnis1">
    <w:name w:val="toc 1"/>
    <w:basedOn w:val="Standard"/>
    <w:next w:val="Standard"/>
    <w:autoRedefine/>
    <w:uiPriority w:val="39"/>
    <w:unhideWhenUsed/>
    <w:rsid w:val="00131A69"/>
    <w:pPr>
      <w:spacing w:after="100"/>
    </w:pPr>
  </w:style>
  <w:style w:type="paragraph" w:styleId="Verzeichnis2">
    <w:name w:val="toc 2"/>
    <w:basedOn w:val="Standard"/>
    <w:next w:val="Standard"/>
    <w:autoRedefine/>
    <w:uiPriority w:val="39"/>
    <w:unhideWhenUsed/>
    <w:rsid w:val="00131A69"/>
    <w:pPr>
      <w:spacing w:after="100"/>
      <w:ind w:left="220"/>
    </w:pPr>
  </w:style>
  <w:style w:type="paragraph" w:styleId="Verzeichnis3">
    <w:name w:val="toc 3"/>
    <w:basedOn w:val="Standard"/>
    <w:next w:val="Standard"/>
    <w:autoRedefine/>
    <w:uiPriority w:val="39"/>
    <w:unhideWhenUsed/>
    <w:rsid w:val="00131A69"/>
    <w:pPr>
      <w:spacing w:after="100"/>
      <w:ind w:left="440"/>
    </w:pPr>
  </w:style>
  <w:style w:type="paragraph" w:styleId="berarbeitung">
    <w:name w:val="Revision"/>
    <w:hidden/>
    <w:uiPriority w:val="99"/>
    <w:semiHidden/>
    <w:rsid w:val="00330C36"/>
  </w:style>
  <w:style w:type="paragraph" w:styleId="Kommentarthema">
    <w:name w:val="annotation subject"/>
    <w:basedOn w:val="Kommentartext"/>
    <w:next w:val="Kommentartext"/>
    <w:link w:val="KommentarthemaZchn"/>
    <w:uiPriority w:val="99"/>
    <w:semiHidden/>
    <w:unhideWhenUsed/>
    <w:rsid w:val="00347A2D"/>
    <w:rPr>
      <w:b/>
      <w:bCs/>
    </w:rPr>
  </w:style>
  <w:style w:type="character" w:customStyle="1" w:styleId="KommentarthemaZchn">
    <w:name w:val="Kommentarthema Zchn"/>
    <w:basedOn w:val="KommentartextZchn"/>
    <w:link w:val="Kommentarthema"/>
    <w:uiPriority w:val="99"/>
    <w:semiHidden/>
    <w:rsid w:val="00347A2D"/>
    <w:rPr>
      <w:b/>
      <w:bCs/>
      <w:sz w:val="20"/>
      <w:szCs w:val="20"/>
    </w:rPr>
  </w:style>
  <w:style w:type="character" w:styleId="Zeilennummer">
    <w:name w:val="line number"/>
    <w:basedOn w:val="Absatz-Standardschriftart"/>
    <w:uiPriority w:val="99"/>
    <w:semiHidden/>
    <w:unhideWhenUsed/>
    <w:rsid w:val="00FB043A"/>
  </w:style>
  <w:style w:type="character" w:styleId="BesuchterHyperlink">
    <w:name w:val="FollowedHyperlink"/>
    <w:basedOn w:val="Absatz-Standardschriftart"/>
    <w:uiPriority w:val="99"/>
    <w:semiHidden/>
    <w:unhideWhenUsed/>
    <w:rsid w:val="005A0DD8"/>
    <w:rPr>
      <w:color w:val="800080" w:themeColor="followedHyperlink"/>
      <w:u w:val="single"/>
    </w:rPr>
  </w:style>
  <w:style w:type="character" w:customStyle="1" w:styleId="apple-converted-space">
    <w:name w:val="apple-converted-space"/>
    <w:basedOn w:val="Absatz-Standardschriftart"/>
    <w:rsid w:val="00893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A3F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A3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A3FF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55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55A0"/>
    <w:rPr>
      <w:rFonts w:ascii="Tahoma" w:hAnsi="Tahoma" w:cs="Tahoma"/>
      <w:sz w:val="16"/>
      <w:szCs w:val="16"/>
    </w:rPr>
  </w:style>
  <w:style w:type="paragraph" w:styleId="Kopfzeile">
    <w:name w:val="header"/>
    <w:basedOn w:val="Standard"/>
    <w:link w:val="KopfzeileZchn"/>
    <w:uiPriority w:val="99"/>
    <w:unhideWhenUsed/>
    <w:rsid w:val="00E9785E"/>
    <w:pPr>
      <w:tabs>
        <w:tab w:val="center" w:pos="4680"/>
        <w:tab w:val="right" w:pos="9360"/>
      </w:tabs>
    </w:pPr>
  </w:style>
  <w:style w:type="character" w:customStyle="1" w:styleId="KopfzeileZchn">
    <w:name w:val="Kopfzeile Zchn"/>
    <w:basedOn w:val="Absatz-Standardschriftart"/>
    <w:link w:val="Kopfzeile"/>
    <w:uiPriority w:val="99"/>
    <w:rsid w:val="00E9785E"/>
  </w:style>
  <w:style w:type="paragraph" w:styleId="Fuzeile">
    <w:name w:val="footer"/>
    <w:basedOn w:val="Standard"/>
    <w:link w:val="FuzeileZchn"/>
    <w:uiPriority w:val="99"/>
    <w:unhideWhenUsed/>
    <w:rsid w:val="00E9785E"/>
    <w:pPr>
      <w:tabs>
        <w:tab w:val="center" w:pos="4680"/>
        <w:tab w:val="right" w:pos="9360"/>
      </w:tabs>
    </w:pPr>
  </w:style>
  <w:style w:type="character" w:customStyle="1" w:styleId="FuzeileZchn">
    <w:name w:val="Fußzeile Zchn"/>
    <w:basedOn w:val="Absatz-Standardschriftart"/>
    <w:link w:val="Fuzeile"/>
    <w:uiPriority w:val="99"/>
    <w:rsid w:val="00E9785E"/>
  </w:style>
  <w:style w:type="table" w:styleId="Tabellenraster">
    <w:name w:val="Table Grid"/>
    <w:basedOn w:val="NormaleTabelle"/>
    <w:uiPriority w:val="59"/>
    <w:rsid w:val="00FA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A0090"/>
    <w:rPr>
      <w:color w:val="0000FF" w:themeColor="hyperlink"/>
      <w:u w:val="single"/>
    </w:rPr>
  </w:style>
  <w:style w:type="paragraph" w:styleId="Beschriftung">
    <w:name w:val="caption"/>
    <w:basedOn w:val="Standard"/>
    <w:next w:val="Standard"/>
    <w:uiPriority w:val="35"/>
    <w:unhideWhenUsed/>
    <w:qFormat/>
    <w:rsid w:val="00DD7C9F"/>
    <w:pPr>
      <w:spacing w:after="200"/>
    </w:pPr>
    <w:rPr>
      <w:b/>
      <w:bCs/>
      <w:color w:val="4F81BD" w:themeColor="accent1"/>
      <w:sz w:val="18"/>
      <w:szCs w:val="18"/>
    </w:rPr>
  </w:style>
  <w:style w:type="character" w:styleId="Platzhaltertext">
    <w:name w:val="Placeholder Text"/>
    <w:basedOn w:val="Absatz-Standardschriftart"/>
    <w:uiPriority w:val="99"/>
    <w:semiHidden/>
    <w:rsid w:val="009A17F5"/>
    <w:rPr>
      <w:color w:val="808080"/>
    </w:rPr>
  </w:style>
  <w:style w:type="paragraph" w:styleId="Listenabsatz">
    <w:name w:val="List Paragraph"/>
    <w:basedOn w:val="Standard"/>
    <w:uiPriority w:val="34"/>
    <w:qFormat/>
    <w:rsid w:val="009D2D64"/>
    <w:pPr>
      <w:ind w:left="720"/>
      <w:contextualSpacing/>
    </w:pPr>
  </w:style>
  <w:style w:type="character" w:styleId="Kommentarzeichen">
    <w:name w:val="annotation reference"/>
    <w:basedOn w:val="Absatz-Standardschriftart"/>
    <w:uiPriority w:val="99"/>
    <w:semiHidden/>
    <w:unhideWhenUsed/>
    <w:rsid w:val="001C6FA6"/>
    <w:rPr>
      <w:sz w:val="16"/>
      <w:szCs w:val="16"/>
    </w:rPr>
  </w:style>
  <w:style w:type="paragraph" w:styleId="Kommentartext">
    <w:name w:val="annotation text"/>
    <w:basedOn w:val="Standard"/>
    <w:link w:val="KommentartextZchn"/>
    <w:uiPriority w:val="99"/>
    <w:semiHidden/>
    <w:unhideWhenUsed/>
    <w:rsid w:val="001C6FA6"/>
    <w:rPr>
      <w:sz w:val="20"/>
      <w:szCs w:val="20"/>
    </w:rPr>
  </w:style>
  <w:style w:type="character" w:customStyle="1" w:styleId="KommentartextZchn">
    <w:name w:val="Kommentartext Zchn"/>
    <w:basedOn w:val="Absatz-Standardschriftart"/>
    <w:link w:val="Kommentartext"/>
    <w:uiPriority w:val="99"/>
    <w:semiHidden/>
    <w:rsid w:val="001C6FA6"/>
    <w:rPr>
      <w:sz w:val="20"/>
      <w:szCs w:val="20"/>
    </w:rPr>
  </w:style>
  <w:style w:type="character" w:customStyle="1" w:styleId="berschrift1Zchn">
    <w:name w:val="Überschrift 1 Zchn"/>
    <w:basedOn w:val="Absatz-Standardschriftart"/>
    <w:link w:val="berschrift1"/>
    <w:uiPriority w:val="9"/>
    <w:rsid w:val="00DA3FF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DA3FF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DA3FFC"/>
    <w:rPr>
      <w:rFonts w:asciiTheme="majorHAnsi" w:eastAsiaTheme="majorEastAsia" w:hAnsiTheme="majorHAnsi" w:cstheme="majorBidi"/>
      <w:b/>
      <w:bCs/>
      <w:color w:val="4F81BD" w:themeColor="accent1"/>
    </w:rPr>
  </w:style>
  <w:style w:type="paragraph" w:styleId="Inhaltsverzeichnisberschrift">
    <w:name w:val="TOC Heading"/>
    <w:basedOn w:val="berschrift1"/>
    <w:next w:val="Standard"/>
    <w:uiPriority w:val="39"/>
    <w:semiHidden/>
    <w:unhideWhenUsed/>
    <w:qFormat/>
    <w:rsid w:val="00131A69"/>
    <w:pPr>
      <w:spacing w:line="276" w:lineRule="auto"/>
      <w:outlineLvl w:val="9"/>
    </w:pPr>
    <w:rPr>
      <w:lang w:eastAsia="ja-JP"/>
    </w:rPr>
  </w:style>
  <w:style w:type="paragraph" w:styleId="Verzeichnis1">
    <w:name w:val="toc 1"/>
    <w:basedOn w:val="Standard"/>
    <w:next w:val="Standard"/>
    <w:autoRedefine/>
    <w:uiPriority w:val="39"/>
    <w:unhideWhenUsed/>
    <w:rsid w:val="00131A69"/>
    <w:pPr>
      <w:spacing w:after="100"/>
    </w:pPr>
  </w:style>
  <w:style w:type="paragraph" w:styleId="Verzeichnis2">
    <w:name w:val="toc 2"/>
    <w:basedOn w:val="Standard"/>
    <w:next w:val="Standard"/>
    <w:autoRedefine/>
    <w:uiPriority w:val="39"/>
    <w:unhideWhenUsed/>
    <w:rsid w:val="00131A69"/>
    <w:pPr>
      <w:spacing w:after="100"/>
      <w:ind w:left="220"/>
    </w:pPr>
  </w:style>
  <w:style w:type="paragraph" w:styleId="Verzeichnis3">
    <w:name w:val="toc 3"/>
    <w:basedOn w:val="Standard"/>
    <w:next w:val="Standard"/>
    <w:autoRedefine/>
    <w:uiPriority w:val="39"/>
    <w:unhideWhenUsed/>
    <w:rsid w:val="00131A69"/>
    <w:pPr>
      <w:spacing w:after="100"/>
      <w:ind w:left="440"/>
    </w:pPr>
  </w:style>
  <w:style w:type="paragraph" w:styleId="berarbeitung">
    <w:name w:val="Revision"/>
    <w:hidden/>
    <w:uiPriority w:val="99"/>
    <w:semiHidden/>
    <w:rsid w:val="00330C36"/>
  </w:style>
  <w:style w:type="paragraph" w:styleId="Kommentarthema">
    <w:name w:val="annotation subject"/>
    <w:basedOn w:val="Kommentartext"/>
    <w:next w:val="Kommentartext"/>
    <w:link w:val="KommentarthemaZchn"/>
    <w:uiPriority w:val="99"/>
    <w:semiHidden/>
    <w:unhideWhenUsed/>
    <w:rsid w:val="00347A2D"/>
    <w:rPr>
      <w:b/>
      <w:bCs/>
    </w:rPr>
  </w:style>
  <w:style w:type="character" w:customStyle="1" w:styleId="KommentarthemaZchn">
    <w:name w:val="Kommentarthema Zchn"/>
    <w:basedOn w:val="KommentartextZchn"/>
    <w:link w:val="Kommentarthema"/>
    <w:uiPriority w:val="99"/>
    <w:semiHidden/>
    <w:rsid w:val="00347A2D"/>
    <w:rPr>
      <w:b/>
      <w:bCs/>
      <w:sz w:val="20"/>
      <w:szCs w:val="20"/>
    </w:rPr>
  </w:style>
  <w:style w:type="character" w:styleId="Zeilennummer">
    <w:name w:val="line number"/>
    <w:basedOn w:val="Absatz-Standardschriftart"/>
    <w:uiPriority w:val="99"/>
    <w:semiHidden/>
    <w:unhideWhenUsed/>
    <w:rsid w:val="00FB043A"/>
  </w:style>
  <w:style w:type="character" w:styleId="BesuchterHyperlink">
    <w:name w:val="FollowedHyperlink"/>
    <w:basedOn w:val="Absatz-Standardschriftart"/>
    <w:uiPriority w:val="99"/>
    <w:semiHidden/>
    <w:unhideWhenUsed/>
    <w:rsid w:val="005A0DD8"/>
    <w:rPr>
      <w:color w:val="800080" w:themeColor="followedHyperlink"/>
      <w:u w:val="single"/>
    </w:rPr>
  </w:style>
  <w:style w:type="character" w:customStyle="1" w:styleId="apple-converted-space">
    <w:name w:val="apple-converted-space"/>
    <w:basedOn w:val="Absatz-Standardschriftart"/>
    <w:rsid w:val="00893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9587">
      <w:bodyDiv w:val="1"/>
      <w:marLeft w:val="0"/>
      <w:marRight w:val="0"/>
      <w:marTop w:val="0"/>
      <w:marBottom w:val="0"/>
      <w:divBdr>
        <w:top w:val="none" w:sz="0" w:space="0" w:color="auto"/>
        <w:left w:val="none" w:sz="0" w:space="0" w:color="auto"/>
        <w:bottom w:val="none" w:sz="0" w:space="0" w:color="auto"/>
        <w:right w:val="none" w:sz="0" w:space="0" w:color="auto"/>
      </w:divBdr>
    </w:div>
    <w:div w:id="118692826">
      <w:bodyDiv w:val="1"/>
      <w:marLeft w:val="0"/>
      <w:marRight w:val="0"/>
      <w:marTop w:val="0"/>
      <w:marBottom w:val="0"/>
      <w:divBdr>
        <w:top w:val="none" w:sz="0" w:space="0" w:color="auto"/>
        <w:left w:val="none" w:sz="0" w:space="0" w:color="auto"/>
        <w:bottom w:val="none" w:sz="0" w:space="0" w:color="auto"/>
        <w:right w:val="none" w:sz="0" w:space="0" w:color="auto"/>
      </w:divBdr>
    </w:div>
    <w:div w:id="129136399">
      <w:bodyDiv w:val="1"/>
      <w:marLeft w:val="0"/>
      <w:marRight w:val="0"/>
      <w:marTop w:val="0"/>
      <w:marBottom w:val="0"/>
      <w:divBdr>
        <w:top w:val="none" w:sz="0" w:space="0" w:color="auto"/>
        <w:left w:val="none" w:sz="0" w:space="0" w:color="auto"/>
        <w:bottom w:val="none" w:sz="0" w:space="0" w:color="auto"/>
        <w:right w:val="none" w:sz="0" w:space="0" w:color="auto"/>
      </w:divBdr>
    </w:div>
    <w:div w:id="145712333">
      <w:bodyDiv w:val="1"/>
      <w:marLeft w:val="0"/>
      <w:marRight w:val="0"/>
      <w:marTop w:val="0"/>
      <w:marBottom w:val="0"/>
      <w:divBdr>
        <w:top w:val="none" w:sz="0" w:space="0" w:color="auto"/>
        <w:left w:val="none" w:sz="0" w:space="0" w:color="auto"/>
        <w:bottom w:val="none" w:sz="0" w:space="0" w:color="auto"/>
        <w:right w:val="none" w:sz="0" w:space="0" w:color="auto"/>
      </w:divBdr>
    </w:div>
    <w:div w:id="262109355">
      <w:bodyDiv w:val="1"/>
      <w:marLeft w:val="0"/>
      <w:marRight w:val="0"/>
      <w:marTop w:val="0"/>
      <w:marBottom w:val="0"/>
      <w:divBdr>
        <w:top w:val="none" w:sz="0" w:space="0" w:color="auto"/>
        <w:left w:val="none" w:sz="0" w:space="0" w:color="auto"/>
        <w:bottom w:val="none" w:sz="0" w:space="0" w:color="auto"/>
        <w:right w:val="none" w:sz="0" w:space="0" w:color="auto"/>
      </w:divBdr>
      <w:divsChild>
        <w:div w:id="382291281">
          <w:marLeft w:val="0"/>
          <w:marRight w:val="0"/>
          <w:marTop w:val="0"/>
          <w:marBottom w:val="0"/>
          <w:divBdr>
            <w:top w:val="none" w:sz="0" w:space="0" w:color="auto"/>
            <w:left w:val="none" w:sz="0" w:space="0" w:color="auto"/>
            <w:bottom w:val="none" w:sz="0" w:space="0" w:color="auto"/>
            <w:right w:val="none" w:sz="0" w:space="0" w:color="auto"/>
          </w:divBdr>
        </w:div>
        <w:div w:id="1309432698">
          <w:marLeft w:val="0"/>
          <w:marRight w:val="0"/>
          <w:marTop w:val="0"/>
          <w:marBottom w:val="0"/>
          <w:divBdr>
            <w:top w:val="none" w:sz="0" w:space="0" w:color="auto"/>
            <w:left w:val="none" w:sz="0" w:space="0" w:color="auto"/>
            <w:bottom w:val="none" w:sz="0" w:space="0" w:color="auto"/>
            <w:right w:val="none" w:sz="0" w:space="0" w:color="auto"/>
          </w:divBdr>
        </w:div>
        <w:div w:id="66848570">
          <w:marLeft w:val="0"/>
          <w:marRight w:val="0"/>
          <w:marTop w:val="0"/>
          <w:marBottom w:val="0"/>
          <w:divBdr>
            <w:top w:val="none" w:sz="0" w:space="0" w:color="auto"/>
            <w:left w:val="none" w:sz="0" w:space="0" w:color="auto"/>
            <w:bottom w:val="none" w:sz="0" w:space="0" w:color="auto"/>
            <w:right w:val="none" w:sz="0" w:space="0" w:color="auto"/>
          </w:divBdr>
        </w:div>
        <w:div w:id="854659222">
          <w:marLeft w:val="0"/>
          <w:marRight w:val="0"/>
          <w:marTop w:val="0"/>
          <w:marBottom w:val="0"/>
          <w:divBdr>
            <w:top w:val="none" w:sz="0" w:space="0" w:color="auto"/>
            <w:left w:val="none" w:sz="0" w:space="0" w:color="auto"/>
            <w:bottom w:val="none" w:sz="0" w:space="0" w:color="auto"/>
            <w:right w:val="none" w:sz="0" w:space="0" w:color="auto"/>
          </w:divBdr>
        </w:div>
        <w:div w:id="1196886461">
          <w:marLeft w:val="0"/>
          <w:marRight w:val="0"/>
          <w:marTop w:val="0"/>
          <w:marBottom w:val="0"/>
          <w:divBdr>
            <w:top w:val="none" w:sz="0" w:space="0" w:color="auto"/>
            <w:left w:val="none" w:sz="0" w:space="0" w:color="auto"/>
            <w:bottom w:val="none" w:sz="0" w:space="0" w:color="auto"/>
            <w:right w:val="none" w:sz="0" w:space="0" w:color="auto"/>
          </w:divBdr>
        </w:div>
      </w:divsChild>
    </w:div>
    <w:div w:id="312367439">
      <w:bodyDiv w:val="1"/>
      <w:marLeft w:val="0"/>
      <w:marRight w:val="0"/>
      <w:marTop w:val="0"/>
      <w:marBottom w:val="0"/>
      <w:divBdr>
        <w:top w:val="none" w:sz="0" w:space="0" w:color="auto"/>
        <w:left w:val="none" w:sz="0" w:space="0" w:color="auto"/>
        <w:bottom w:val="none" w:sz="0" w:space="0" w:color="auto"/>
        <w:right w:val="none" w:sz="0" w:space="0" w:color="auto"/>
      </w:divBdr>
    </w:div>
    <w:div w:id="326717326">
      <w:bodyDiv w:val="1"/>
      <w:marLeft w:val="0"/>
      <w:marRight w:val="0"/>
      <w:marTop w:val="0"/>
      <w:marBottom w:val="0"/>
      <w:divBdr>
        <w:top w:val="none" w:sz="0" w:space="0" w:color="auto"/>
        <w:left w:val="none" w:sz="0" w:space="0" w:color="auto"/>
        <w:bottom w:val="none" w:sz="0" w:space="0" w:color="auto"/>
        <w:right w:val="none" w:sz="0" w:space="0" w:color="auto"/>
      </w:divBdr>
    </w:div>
    <w:div w:id="460542542">
      <w:bodyDiv w:val="1"/>
      <w:marLeft w:val="0"/>
      <w:marRight w:val="0"/>
      <w:marTop w:val="0"/>
      <w:marBottom w:val="0"/>
      <w:divBdr>
        <w:top w:val="none" w:sz="0" w:space="0" w:color="auto"/>
        <w:left w:val="none" w:sz="0" w:space="0" w:color="auto"/>
        <w:bottom w:val="none" w:sz="0" w:space="0" w:color="auto"/>
        <w:right w:val="none" w:sz="0" w:space="0" w:color="auto"/>
      </w:divBdr>
    </w:div>
    <w:div w:id="461076957">
      <w:bodyDiv w:val="1"/>
      <w:marLeft w:val="0"/>
      <w:marRight w:val="0"/>
      <w:marTop w:val="0"/>
      <w:marBottom w:val="0"/>
      <w:divBdr>
        <w:top w:val="none" w:sz="0" w:space="0" w:color="auto"/>
        <w:left w:val="none" w:sz="0" w:space="0" w:color="auto"/>
        <w:bottom w:val="none" w:sz="0" w:space="0" w:color="auto"/>
        <w:right w:val="none" w:sz="0" w:space="0" w:color="auto"/>
      </w:divBdr>
    </w:div>
    <w:div w:id="527109106">
      <w:bodyDiv w:val="1"/>
      <w:marLeft w:val="0"/>
      <w:marRight w:val="0"/>
      <w:marTop w:val="0"/>
      <w:marBottom w:val="0"/>
      <w:divBdr>
        <w:top w:val="none" w:sz="0" w:space="0" w:color="auto"/>
        <w:left w:val="none" w:sz="0" w:space="0" w:color="auto"/>
        <w:bottom w:val="none" w:sz="0" w:space="0" w:color="auto"/>
        <w:right w:val="none" w:sz="0" w:space="0" w:color="auto"/>
      </w:divBdr>
    </w:div>
    <w:div w:id="605189940">
      <w:bodyDiv w:val="1"/>
      <w:marLeft w:val="0"/>
      <w:marRight w:val="0"/>
      <w:marTop w:val="0"/>
      <w:marBottom w:val="0"/>
      <w:divBdr>
        <w:top w:val="none" w:sz="0" w:space="0" w:color="auto"/>
        <w:left w:val="none" w:sz="0" w:space="0" w:color="auto"/>
        <w:bottom w:val="none" w:sz="0" w:space="0" w:color="auto"/>
        <w:right w:val="none" w:sz="0" w:space="0" w:color="auto"/>
      </w:divBdr>
    </w:div>
    <w:div w:id="668868437">
      <w:bodyDiv w:val="1"/>
      <w:marLeft w:val="0"/>
      <w:marRight w:val="0"/>
      <w:marTop w:val="0"/>
      <w:marBottom w:val="0"/>
      <w:divBdr>
        <w:top w:val="none" w:sz="0" w:space="0" w:color="auto"/>
        <w:left w:val="none" w:sz="0" w:space="0" w:color="auto"/>
        <w:bottom w:val="none" w:sz="0" w:space="0" w:color="auto"/>
        <w:right w:val="none" w:sz="0" w:space="0" w:color="auto"/>
      </w:divBdr>
    </w:div>
    <w:div w:id="871309203">
      <w:bodyDiv w:val="1"/>
      <w:marLeft w:val="0"/>
      <w:marRight w:val="0"/>
      <w:marTop w:val="0"/>
      <w:marBottom w:val="0"/>
      <w:divBdr>
        <w:top w:val="none" w:sz="0" w:space="0" w:color="auto"/>
        <w:left w:val="none" w:sz="0" w:space="0" w:color="auto"/>
        <w:bottom w:val="none" w:sz="0" w:space="0" w:color="auto"/>
        <w:right w:val="none" w:sz="0" w:space="0" w:color="auto"/>
      </w:divBdr>
    </w:div>
    <w:div w:id="919564332">
      <w:bodyDiv w:val="1"/>
      <w:marLeft w:val="0"/>
      <w:marRight w:val="0"/>
      <w:marTop w:val="0"/>
      <w:marBottom w:val="0"/>
      <w:divBdr>
        <w:top w:val="none" w:sz="0" w:space="0" w:color="auto"/>
        <w:left w:val="none" w:sz="0" w:space="0" w:color="auto"/>
        <w:bottom w:val="none" w:sz="0" w:space="0" w:color="auto"/>
        <w:right w:val="none" w:sz="0" w:space="0" w:color="auto"/>
      </w:divBdr>
    </w:div>
    <w:div w:id="922757503">
      <w:bodyDiv w:val="1"/>
      <w:marLeft w:val="0"/>
      <w:marRight w:val="0"/>
      <w:marTop w:val="0"/>
      <w:marBottom w:val="0"/>
      <w:divBdr>
        <w:top w:val="none" w:sz="0" w:space="0" w:color="auto"/>
        <w:left w:val="none" w:sz="0" w:space="0" w:color="auto"/>
        <w:bottom w:val="none" w:sz="0" w:space="0" w:color="auto"/>
        <w:right w:val="none" w:sz="0" w:space="0" w:color="auto"/>
      </w:divBdr>
      <w:divsChild>
        <w:div w:id="1438138859">
          <w:marLeft w:val="0"/>
          <w:marRight w:val="0"/>
          <w:marTop w:val="0"/>
          <w:marBottom w:val="0"/>
          <w:divBdr>
            <w:top w:val="none" w:sz="0" w:space="0" w:color="auto"/>
            <w:left w:val="none" w:sz="0" w:space="0" w:color="auto"/>
            <w:bottom w:val="none" w:sz="0" w:space="0" w:color="auto"/>
            <w:right w:val="none" w:sz="0" w:space="0" w:color="auto"/>
          </w:divBdr>
        </w:div>
        <w:div w:id="1859464913">
          <w:marLeft w:val="0"/>
          <w:marRight w:val="0"/>
          <w:marTop w:val="0"/>
          <w:marBottom w:val="0"/>
          <w:divBdr>
            <w:top w:val="none" w:sz="0" w:space="0" w:color="auto"/>
            <w:left w:val="none" w:sz="0" w:space="0" w:color="auto"/>
            <w:bottom w:val="none" w:sz="0" w:space="0" w:color="auto"/>
            <w:right w:val="none" w:sz="0" w:space="0" w:color="auto"/>
          </w:divBdr>
        </w:div>
        <w:div w:id="407387653">
          <w:marLeft w:val="0"/>
          <w:marRight w:val="0"/>
          <w:marTop w:val="0"/>
          <w:marBottom w:val="0"/>
          <w:divBdr>
            <w:top w:val="none" w:sz="0" w:space="0" w:color="auto"/>
            <w:left w:val="none" w:sz="0" w:space="0" w:color="auto"/>
            <w:bottom w:val="none" w:sz="0" w:space="0" w:color="auto"/>
            <w:right w:val="none" w:sz="0" w:space="0" w:color="auto"/>
          </w:divBdr>
        </w:div>
        <w:div w:id="1890072581">
          <w:marLeft w:val="0"/>
          <w:marRight w:val="0"/>
          <w:marTop w:val="0"/>
          <w:marBottom w:val="0"/>
          <w:divBdr>
            <w:top w:val="none" w:sz="0" w:space="0" w:color="auto"/>
            <w:left w:val="none" w:sz="0" w:space="0" w:color="auto"/>
            <w:bottom w:val="none" w:sz="0" w:space="0" w:color="auto"/>
            <w:right w:val="none" w:sz="0" w:space="0" w:color="auto"/>
          </w:divBdr>
        </w:div>
        <w:div w:id="540099146">
          <w:marLeft w:val="0"/>
          <w:marRight w:val="0"/>
          <w:marTop w:val="0"/>
          <w:marBottom w:val="0"/>
          <w:divBdr>
            <w:top w:val="none" w:sz="0" w:space="0" w:color="auto"/>
            <w:left w:val="none" w:sz="0" w:space="0" w:color="auto"/>
            <w:bottom w:val="none" w:sz="0" w:space="0" w:color="auto"/>
            <w:right w:val="none" w:sz="0" w:space="0" w:color="auto"/>
          </w:divBdr>
        </w:div>
        <w:div w:id="1034501122">
          <w:marLeft w:val="0"/>
          <w:marRight w:val="0"/>
          <w:marTop w:val="0"/>
          <w:marBottom w:val="0"/>
          <w:divBdr>
            <w:top w:val="none" w:sz="0" w:space="0" w:color="auto"/>
            <w:left w:val="none" w:sz="0" w:space="0" w:color="auto"/>
            <w:bottom w:val="none" w:sz="0" w:space="0" w:color="auto"/>
            <w:right w:val="none" w:sz="0" w:space="0" w:color="auto"/>
          </w:divBdr>
        </w:div>
        <w:div w:id="965895991">
          <w:marLeft w:val="0"/>
          <w:marRight w:val="0"/>
          <w:marTop w:val="0"/>
          <w:marBottom w:val="0"/>
          <w:divBdr>
            <w:top w:val="none" w:sz="0" w:space="0" w:color="auto"/>
            <w:left w:val="none" w:sz="0" w:space="0" w:color="auto"/>
            <w:bottom w:val="none" w:sz="0" w:space="0" w:color="auto"/>
            <w:right w:val="none" w:sz="0" w:space="0" w:color="auto"/>
          </w:divBdr>
        </w:div>
        <w:div w:id="1158500524">
          <w:marLeft w:val="0"/>
          <w:marRight w:val="0"/>
          <w:marTop w:val="0"/>
          <w:marBottom w:val="0"/>
          <w:divBdr>
            <w:top w:val="none" w:sz="0" w:space="0" w:color="auto"/>
            <w:left w:val="none" w:sz="0" w:space="0" w:color="auto"/>
            <w:bottom w:val="none" w:sz="0" w:space="0" w:color="auto"/>
            <w:right w:val="none" w:sz="0" w:space="0" w:color="auto"/>
          </w:divBdr>
        </w:div>
        <w:div w:id="1990400958">
          <w:marLeft w:val="0"/>
          <w:marRight w:val="0"/>
          <w:marTop w:val="0"/>
          <w:marBottom w:val="0"/>
          <w:divBdr>
            <w:top w:val="none" w:sz="0" w:space="0" w:color="auto"/>
            <w:left w:val="none" w:sz="0" w:space="0" w:color="auto"/>
            <w:bottom w:val="none" w:sz="0" w:space="0" w:color="auto"/>
            <w:right w:val="none" w:sz="0" w:space="0" w:color="auto"/>
          </w:divBdr>
        </w:div>
        <w:div w:id="1698848896">
          <w:marLeft w:val="0"/>
          <w:marRight w:val="0"/>
          <w:marTop w:val="0"/>
          <w:marBottom w:val="0"/>
          <w:divBdr>
            <w:top w:val="none" w:sz="0" w:space="0" w:color="auto"/>
            <w:left w:val="none" w:sz="0" w:space="0" w:color="auto"/>
            <w:bottom w:val="none" w:sz="0" w:space="0" w:color="auto"/>
            <w:right w:val="none" w:sz="0" w:space="0" w:color="auto"/>
          </w:divBdr>
        </w:div>
      </w:divsChild>
    </w:div>
    <w:div w:id="927425162">
      <w:bodyDiv w:val="1"/>
      <w:marLeft w:val="0"/>
      <w:marRight w:val="0"/>
      <w:marTop w:val="0"/>
      <w:marBottom w:val="0"/>
      <w:divBdr>
        <w:top w:val="none" w:sz="0" w:space="0" w:color="auto"/>
        <w:left w:val="none" w:sz="0" w:space="0" w:color="auto"/>
        <w:bottom w:val="none" w:sz="0" w:space="0" w:color="auto"/>
        <w:right w:val="none" w:sz="0" w:space="0" w:color="auto"/>
      </w:divBdr>
    </w:div>
    <w:div w:id="980766305">
      <w:bodyDiv w:val="1"/>
      <w:marLeft w:val="0"/>
      <w:marRight w:val="0"/>
      <w:marTop w:val="0"/>
      <w:marBottom w:val="0"/>
      <w:divBdr>
        <w:top w:val="none" w:sz="0" w:space="0" w:color="auto"/>
        <w:left w:val="none" w:sz="0" w:space="0" w:color="auto"/>
        <w:bottom w:val="none" w:sz="0" w:space="0" w:color="auto"/>
        <w:right w:val="none" w:sz="0" w:space="0" w:color="auto"/>
      </w:divBdr>
    </w:div>
    <w:div w:id="1071806904">
      <w:bodyDiv w:val="1"/>
      <w:marLeft w:val="0"/>
      <w:marRight w:val="0"/>
      <w:marTop w:val="0"/>
      <w:marBottom w:val="0"/>
      <w:divBdr>
        <w:top w:val="none" w:sz="0" w:space="0" w:color="auto"/>
        <w:left w:val="none" w:sz="0" w:space="0" w:color="auto"/>
        <w:bottom w:val="none" w:sz="0" w:space="0" w:color="auto"/>
        <w:right w:val="none" w:sz="0" w:space="0" w:color="auto"/>
      </w:divBdr>
    </w:div>
    <w:div w:id="1089085738">
      <w:bodyDiv w:val="1"/>
      <w:marLeft w:val="0"/>
      <w:marRight w:val="0"/>
      <w:marTop w:val="0"/>
      <w:marBottom w:val="0"/>
      <w:divBdr>
        <w:top w:val="none" w:sz="0" w:space="0" w:color="auto"/>
        <w:left w:val="none" w:sz="0" w:space="0" w:color="auto"/>
        <w:bottom w:val="none" w:sz="0" w:space="0" w:color="auto"/>
        <w:right w:val="none" w:sz="0" w:space="0" w:color="auto"/>
      </w:divBdr>
    </w:div>
    <w:div w:id="1099983655">
      <w:bodyDiv w:val="1"/>
      <w:marLeft w:val="0"/>
      <w:marRight w:val="0"/>
      <w:marTop w:val="0"/>
      <w:marBottom w:val="0"/>
      <w:divBdr>
        <w:top w:val="none" w:sz="0" w:space="0" w:color="auto"/>
        <w:left w:val="none" w:sz="0" w:space="0" w:color="auto"/>
        <w:bottom w:val="none" w:sz="0" w:space="0" w:color="auto"/>
        <w:right w:val="none" w:sz="0" w:space="0" w:color="auto"/>
      </w:divBdr>
      <w:divsChild>
        <w:div w:id="1962682485">
          <w:marLeft w:val="0"/>
          <w:marRight w:val="0"/>
          <w:marTop w:val="0"/>
          <w:marBottom w:val="0"/>
          <w:divBdr>
            <w:top w:val="none" w:sz="0" w:space="0" w:color="auto"/>
            <w:left w:val="none" w:sz="0" w:space="0" w:color="auto"/>
            <w:bottom w:val="none" w:sz="0" w:space="0" w:color="auto"/>
            <w:right w:val="none" w:sz="0" w:space="0" w:color="auto"/>
          </w:divBdr>
        </w:div>
        <w:div w:id="486173399">
          <w:marLeft w:val="0"/>
          <w:marRight w:val="0"/>
          <w:marTop w:val="0"/>
          <w:marBottom w:val="0"/>
          <w:divBdr>
            <w:top w:val="none" w:sz="0" w:space="0" w:color="auto"/>
            <w:left w:val="none" w:sz="0" w:space="0" w:color="auto"/>
            <w:bottom w:val="none" w:sz="0" w:space="0" w:color="auto"/>
            <w:right w:val="none" w:sz="0" w:space="0" w:color="auto"/>
          </w:divBdr>
        </w:div>
        <w:div w:id="1913999904">
          <w:marLeft w:val="0"/>
          <w:marRight w:val="0"/>
          <w:marTop w:val="0"/>
          <w:marBottom w:val="0"/>
          <w:divBdr>
            <w:top w:val="none" w:sz="0" w:space="0" w:color="auto"/>
            <w:left w:val="none" w:sz="0" w:space="0" w:color="auto"/>
            <w:bottom w:val="none" w:sz="0" w:space="0" w:color="auto"/>
            <w:right w:val="none" w:sz="0" w:space="0" w:color="auto"/>
          </w:divBdr>
        </w:div>
        <w:div w:id="1037465880">
          <w:marLeft w:val="0"/>
          <w:marRight w:val="0"/>
          <w:marTop w:val="0"/>
          <w:marBottom w:val="0"/>
          <w:divBdr>
            <w:top w:val="none" w:sz="0" w:space="0" w:color="auto"/>
            <w:left w:val="none" w:sz="0" w:space="0" w:color="auto"/>
            <w:bottom w:val="none" w:sz="0" w:space="0" w:color="auto"/>
            <w:right w:val="none" w:sz="0" w:space="0" w:color="auto"/>
          </w:divBdr>
        </w:div>
      </w:divsChild>
    </w:div>
    <w:div w:id="1177380313">
      <w:bodyDiv w:val="1"/>
      <w:marLeft w:val="0"/>
      <w:marRight w:val="0"/>
      <w:marTop w:val="0"/>
      <w:marBottom w:val="0"/>
      <w:divBdr>
        <w:top w:val="none" w:sz="0" w:space="0" w:color="auto"/>
        <w:left w:val="none" w:sz="0" w:space="0" w:color="auto"/>
        <w:bottom w:val="none" w:sz="0" w:space="0" w:color="auto"/>
        <w:right w:val="none" w:sz="0" w:space="0" w:color="auto"/>
      </w:divBdr>
    </w:div>
    <w:div w:id="1371566739">
      <w:bodyDiv w:val="1"/>
      <w:marLeft w:val="0"/>
      <w:marRight w:val="0"/>
      <w:marTop w:val="0"/>
      <w:marBottom w:val="0"/>
      <w:divBdr>
        <w:top w:val="none" w:sz="0" w:space="0" w:color="auto"/>
        <w:left w:val="none" w:sz="0" w:space="0" w:color="auto"/>
        <w:bottom w:val="none" w:sz="0" w:space="0" w:color="auto"/>
        <w:right w:val="none" w:sz="0" w:space="0" w:color="auto"/>
      </w:divBdr>
    </w:div>
    <w:div w:id="1387099884">
      <w:bodyDiv w:val="1"/>
      <w:marLeft w:val="0"/>
      <w:marRight w:val="0"/>
      <w:marTop w:val="0"/>
      <w:marBottom w:val="0"/>
      <w:divBdr>
        <w:top w:val="none" w:sz="0" w:space="0" w:color="auto"/>
        <w:left w:val="none" w:sz="0" w:space="0" w:color="auto"/>
        <w:bottom w:val="none" w:sz="0" w:space="0" w:color="auto"/>
        <w:right w:val="none" w:sz="0" w:space="0" w:color="auto"/>
      </w:divBdr>
    </w:div>
    <w:div w:id="1441027417">
      <w:bodyDiv w:val="1"/>
      <w:marLeft w:val="0"/>
      <w:marRight w:val="0"/>
      <w:marTop w:val="0"/>
      <w:marBottom w:val="0"/>
      <w:divBdr>
        <w:top w:val="none" w:sz="0" w:space="0" w:color="auto"/>
        <w:left w:val="none" w:sz="0" w:space="0" w:color="auto"/>
        <w:bottom w:val="none" w:sz="0" w:space="0" w:color="auto"/>
        <w:right w:val="none" w:sz="0" w:space="0" w:color="auto"/>
      </w:divBdr>
    </w:div>
    <w:div w:id="1586300012">
      <w:bodyDiv w:val="1"/>
      <w:marLeft w:val="0"/>
      <w:marRight w:val="0"/>
      <w:marTop w:val="0"/>
      <w:marBottom w:val="0"/>
      <w:divBdr>
        <w:top w:val="none" w:sz="0" w:space="0" w:color="auto"/>
        <w:left w:val="none" w:sz="0" w:space="0" w:color="auto"/>
        <w:bottom w:val="none" w:sz="0" w:space="0" w:color="auto"/>
        <w:right w:val="none" w:sz="0" w:space="0" w:color="auto"/>
      </w:divBdr>
    </w:div>
    <w:div w:id="1590961531">
      <w:bodyDiv w:val="1"/>
      <w:marLeft w:val="0"/>
      <w:marRight w:val="0"/>
      <w:marTop w:val="0"/>
      <w:marBottom w:val="0"/>
      <w:divBdr>
        <w:top w:val="none" w:sz="0" w:space="0" w:color="auto"/>
        <w:left w:val="none" w:sz="0" w:space="0" w:color="auto"/>
        <w:bottom w:val="none" w:sz="0" w:space="0" w:color="auto"/>
        <w:right w:val="none" w:sz="0" w:space="0" w:color="auto"/>
      </w:divBdr>
    </w:div>
    <w:div w:id="1671248213">
      <w:bodyDiv w:val="1"/>
      <w:marLeft w:val="0"/>
      <w:marRight w:val="0"/>
      <w:marTop w:val="0"/>
      <w:marBottom w:val="0"/>
      <w:divBdr>
        <w:top w:val="none" w:sz="0" w:space="0" w:color="auto"/>
        <w:left w:val="none" w:sz="0" w:space="0" w:color="auto"/>
        <w:bottom w:val="none" w:sz="0" w:space="0" w:color="auto"/>
        <w:right w:val="none" w:sz="0" w:space="0" w:color="auto"/>
      </w:divBdr>
    </w:div>
    <w:div w:id="1699430348">
      <w:bodyDiv w:val="1"/>
      <w:marLeft w:val="0"/>
      <w:marRight w:val="0"/>
      <w:marTop w:val="0"/>
      <w:marBottom w:val="0"/>
      <w:divBdr>
        <w:top w:val="none" w:sz="0" w:space="0" w:color="auto"/>
        <w:left w:val="none" w:sz="0" w:space="0" w:color="auto"/>
        <w:bottom w:val="none" w:sz="0" w:space="0" w:color="auto"/>
        <w:right w:val="none" w:sz="0" w:space="0" w:color="auto"/>
      </w:divBdr>
    </w:div>
    <w:div w:id="1813250851">
      <w:bodyDiv w:val="1"/>
      <w:marLeft w:val="0"/>
      <w:marRight w:val="0"/>
      <w:marTop w:val="0"/>
      <w:marBottom w:val="0"/>
      <w:divBdr>
        <w:top w:val="none" w:sz="0" w:space="0" w:color="auto"/>
        <w:left w:val="none" w:sz="0" w:space="0" w:color="auto"/>
        <w:bottom w:val="none" w:sz="0" w:space="0" w:color="auto"/>
        <w:right w:val="none" w:sz="0" w:space="0" w:color="auto"/>
      </w:divBdr>
    </w:div>
    <w:div w:id="1835604097">
      <w:bodyDiv w:val="1"/>
      <w:marLeft w:val="0"/>
      <w:marRight w:val="0"/>
      <w:marTop w:val="0"/>
      <w:marBottom w:val="0"/>
      <w:divBdr>
        <w:top w:val="none" w:sz="0" w:space="0" w:color="auto"/>
        <w:left w:val="none" w:sz="0" w:space="0" w:color="auto"/>
        <w:bottom w:val="none" w:sz="0" w:space="0" w:color="auto"/>
        <w:right w:val="none" w:sz="0" w:space="0" w:color="auto"/>
      </w:divBdr>
      <w:divsChild>
        <w:div w:id="304551612">
          <w:marLeft w:val="0"/>
          <w:marRight w:val="0"/>
          <w:marTop w:val="0"/>
          <w:marBottom w:val="0"/>
          <w:divBdr>
            <w:top w:val="none" w:sz="0" w:space="0" w:color="auto"/>
            <w:left w:val="none" w:sz="0" w:space="0" w:color="auto"/>
            <w:bottom w:val="none" w:sz="0" w:space="0" w:color="auto"/>
            <w:right w:val="none" w:sz="0" w:space="0" w:color="auto"/>
          </w:divBdr>
        </w:div>
        <w:div w:id="1136140564">
          <w:marLeft w:val="0"/>
          <w:marRight w:val="0"/>
          <w:marTop w:val="0"/>
          <w:marBottom w:val="0"/>
          <w:divBdr>
            <w:top w:val="none" w:sz="0" w:space="0" w:color="auto"/>
            <w:left w:val="none" w:sz="0" w:space="0" w:color="auto"/>
            <w:bottom w:val="none" w:sz="0" w:space="0" w:color="auto"/>
            <w:right w:val="none" w:sz="0" w:space="0" w:color="auto"/>
          </w:divBdr>
        </w:div>
        <w:div w:id="365373018">
          <w:marLeft w:val="0"/>
          <w:marRight w:val="0"/>
          <w:marTop w:val="0"/>
          <w:marBottom w:val="0"/>
          <w:divBdr>
            <w:top w:val="none" w:sz="0" w:space="0" w:color="auto"/>
            <w:left w:val="none" w:sz="0" w:space="0" w:color="auto"/>
            <w:bottom w:val="none" w:sz="0" w:space="0" w:color="auto"/>
            <w:right w:val="none" w:sz="0" w:space="0" w:color="auto"/>
          </w:divBdr>
        </w:div>
      </w:divsChild>
    </w:div>
    <w:div w:id="1851332605">
      <w:bodyDiv w:val="1"/>
      <w:marLeft w:val="0"/>
      <w:marRight w:val="0"/>
      <w:marTop w:val="0"/>
      <w:marBottom w:val="0"/>
      <w:divBdr>
        <w:top w:val="none" w:sz="0" w:space="0" w:color="auto"/>
        <w:left w:val="none" w:sz="0" w:space="0" w:color="auto"/>
        <w:bottom w:val="none" w:sz="0" w:space="0" w:color="auto"/>
        <w:right w:val="none" w:sz="0" w:space="0" w:color="auto"/>
      </w:divBdr>
      <w:divsChild>
        <w:div w:id="1587106574">
          <w:marLeft w:val="0"/>
          <w:marRight w:val="0"/>
          <w:marTop w:val="0"/>
          <w:marBottom w:val="0"/>
          <w:divBdr>
            <w:top w:val="none" w:sz="0" w:space="0" w:color="auto"/>
            <w:left w:val="none" w:sz="0" w:space="0" w:color="auto"/>
            <w:bottom w:val="none" w:sz="0" w:space="0" w:color="auto"/>
            <w:right w:val="none" w:sz="0" w:space="0" w:color="auto"/>
          </w:divBdr>
        </w:div>
        <w:div w:id="1743940303">
          <w:marLeft w:val="0"/>
          <w:marRight w:val="0"/>
          <w:marTop w:val="0"/>
          <w:marBottom w:val="0"/>
          <w:divBdr>
            <w:top w:val="none" w:sz="0" w:space="0" w:color="auto"/>
            <w:left w:val="none" w:sz="0" w:space="0" w:color="auto"/>
            <w:bottom w:val="none" w:sz="0" w:space="0" w:color="auto"/>
            <w:right w:val="none" w:sz="0" w:space="0" w:color="auto"/>
          </w:divBdr>
        </w:div>
        <w:div w:id="717167510">
          <w:marLeft w:val="0"/>
          <w:marRight w:val="0"/>
          <w:marTop w:val="0"/>
          <w:marBottom w:val="0"/>
          <w:divBdr>
            <w:top w:val="none" w:sz="0" w:space="0" w:color="auto"/>
            <w:left w:val="none" w:sz="0" w:space="0" w:color="auto"/>
            <w:bottom w:val="none" w:sz="0" w:space="0" w:color="auto"/>
            <w:right w:val="none" w:sz="0" w:space="0" w:color="auto"/>
          </w:divBdr>
        </w:div>
        <w:div w:id="1395079485">
          <w:marLeft w:val="0"/>
          <w:marRight w:val="0"/>
          <w:marTop w:val="0"/>
          <w:marBottom w:val="0"/>
          <w:divBdr>
            <w:top w:val="none" w:sz="0" w:space="0" w:color="auto"/>
            <w:left w:val="none" w:sz="0" w:space="0" w:color="auto"/>
            <w:bottom w:val="none" w:sz="0" w:space="0" w:color="auto"/>
            <w:right w:val="none" w:sz="0" w:space="0" w:color="auto"/>
          </w:divBdr>
        </w:div>
        <w:div w:id="1610745549">
          <w:marLeft w:val="0"/>
          <w:marRight w:val="0"/>
          <w:marTop w:val="0"/>
          <w:marBottom w:val="0"/>
          <w:divBdr>
            <w:top w:val="none" w:sz="0" w:space="0" w:color="auto"/>
            <w:left w:val="none" w:sz="0" w:space="0" w:color="auto"/>
            <w:bottom w:val="none" w:sz="0" w:space="0" w:color="auto"/>
            <w:right w:val="none" w:sz="0" w:space="0" w:color="auto"/>
          </w:divBdr>
        </w:div>
      </w:divsChild>
    </w:div>
    <w:div w:id="1919367931">
      <w:bodyDiv w:val="1"/>
      <w:marLeft w:val="0"/>
      <w:marRight w:val="0"/>
      <w:marTop w:val="0"/>
      <w:marBottom w:val="0"/>
      <w:divBdr>
        <w:top w:val="none" w:sz="0" w:space="0" w:color="auto"/>
        <w:left w:val="none" w:sz="0" w:space="0" w:color="auto"/>
        <w:bottom w:val="none" w:sz="0" w:space="0" w:color="auto"/>
        <w:right w:val="none" w:sz="0" w:space="0" w:color="auto"/>
      </w:divBdr>
    </w:div>
    <w:div w:id="1979607211">
      <w:bodyDiv w:val="1"/>
      <w:marLeft w:val="0"/>
      <w:marRight w:val="0"/>
      <w:marTop w:val="0"/>
      <w:marBottom w:val="0"/>
      <w:divBdr>
        <w:top w:val="none" w:sz="0" w:space="0" w:color="auto"/>
        <w:left w:val="none" w:sz="0" w:space="0" w:color="auto"/>
        <w:bottom w:val="none" w:sz="0" w:space="0" w:color="auto"/>
        <w:right w:val="none" w:sz="0" w:space="0" w:color="auto"/>
      </w:divBdr>
    </w:div>
    <w:div w:id="2090997883">
      <w:bodyDiv w:val="1"/>
      <w:marLeft w:val="0"/>
      <w:marRight w:val="0"/>
      <w:marTop w:val="0"/>
      <w:marBottom w:val="0"/>
      <w:divBdr>
        <w:top w:val="none" w:sz="0" w:space="0" w:color="auto"/>
        <w:left w:val="none" w:sz="0" w:space="0" w:color="auto"/>
        <w:bottom w:val="none" w:sz="0" w:space="0" w:color="auto"/>
        <w:right w:val="none" w:sz="0" w:space="0" w:color="auto"/>
      </w:divBdr>
    </w:div>
    <w:div w:id="21154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nning.winker@gmail.com" TargetMode="External"/><Relationship Id="rId18" Type="http://schemas.openxmlformats.org/officeDocument/2006/relationships/hyperlink" Target="http://www.fishbase.org/manual/English/key%20facts.htm"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www.fish.govt.nz" TargetMode="External"/><Relationship Id="rId7" Type="http://schemas.openxmlformats.org/officeDocument/2006/relationships/footnotes" Target="footnotes.xml"/><Relationship Id="rId12" Type="http://schemas.openxmlformats.org/officeDocument/2006/relationships/hyperlink" Target="mailto:kristin.kleisner@noaa.gov" TargetMode="External"/><Relationship Id="rId17" Type="http://schemas.openxmlformats.org/officeDocument/2006/relationships/hyperlink" Target="http://www.agriculture.gov.au/SiteCollectionDocuments/fisheries/domestic/hsp.pdf" TargetMode="External"/><Relationship Id="rId25" Type="http://schemas.openxmlformats.org/officeDocument/2006/relationships/image" Target="media/image1.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xUriServ/LexUriServ.do?uri=OJ:L:2013:354:0022:0061:EN:PDF" TargetMode="External"/><Relationship Id="rId20" Type="http://schemas.openxmlformats.org/officeDocument/2006/relationships/hyperlink" Target="https://www.cscu.cornell.edu/news/statnews/stnews73.pdf"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anpaolo.coro@isti.cnr.it" TargetMode="External"/><Relationship Id="rId24" Type="http://schemas.openxmlformats.org/officeDocument/2006/relationships/hyperlink" Target="http://www2.sas.com/proceedings/sugi22/STATS/PAPER270.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ishbase.org" TargetMode="External"/><Relationship Id="rId23" Type="http://schemas.openxmlformats.org/officeDocument/2006/relationships/hyperlink" Target="http://statweb.stanford.edu/~owen/mc/" TargetMode="External"/><Relationship Id="rId28" Type="http://schemas.openxmlformats.org/officeDocument/2006/relationships/image" Target="media/image4.wmf"/><Relationship Id="rId10" Type="http://schemas.openxmlformats.org/officeDocument/2006/relationships/hyperlink" Target="mailto:ndemirel@istanbul.edu.tr" TargetMode="External"/><Relationship Id="rId19" Type="http://schemas.openxmlformats.org/officeDocument/2006/relationships/hyperlink" Target="http://www.fishbase.org"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froese@geomar.de" TargetMode="External"/><Relationship Id="rId14" Type="http://schemas.openxmlformats.org/officeDocument/2006/relationships/hyperlink" Target="http://oceanrep.geomar.de/33076/" TargetMode="External"/><Relationship Id="rId22" Type="http://schemas.openxmlformats.org/officeDocument/2006/relationships/hyperlink" Target="http://www.nmfs.noaa.gov/msa2005/docs/MSA_amended_msa%20_20070112_FINAL.pdf" TargetMode="External"/><Relationship Id="rId27" Type="http://schemas.openxmlformats.org/officeDocument/2006/relationships/image" Target="media/image3.wmf"/><Relationship Id="rId30"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43D0-F796-40AE-911B-7CA5D7BE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11386</Words>
  <Characters>71734</Characters>
  <Application>Microsoft Office Word</Application>
  <DocSecurity>0</DocSecurity>
  <Lines>597</Lines>
  <Paragraphs>165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GEOMAR</Company>
  <LinksUpToDate>false</LinksUpToDate>
  <CharactersWithSpaces>82955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Froese, Rainer</dc:creator>
  <cp:lastModifiedBy>Schmidt, Barbara</cp:lastModifiedBy>
  <cp:revision>2</cp:revision>
  <cp:lastPrinted>2016-06-15T12:16:00Z</cp:lastPrinted>
  <dcterms:created xsi:type="dcterms:W3CDTF">2016-10-26T09:13:00Z</dcterms:created>
  <dcterms:modified xsi:type="dcterms:W3CDTF">2016-10-26T09:13:00Z</dcterms:modified>
</cp:coreProperties>
</file>