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87DA" w14:textId="77777777" w:rsidR="001B50D2" w:rsidRPr="00E20DDB" w:rsidRDefault="001B50D2" w:rsidP="001B50D2">
      <w:pPr>
        <w:jc w:val="center"/>
        <w:rPr>
          <w:rFonts w:ascii="Cambria" w:hAnsi="Cambria"/>
          <w:b/>
        </w:rPr>
      </w:pPr>
      <w:r w:rsidRPr="00E20DDB">
        <w:rPr>
          <w:rFonts w:ascii="Cambria" w:hAnsi="Cambria"/>
          <w:b/>
        </w:rPr>
        <w:t>Automation of boron chromatographic purification for δ</w:t>
      </w:r>
      <w:r w:rsidRPr="00E20DDB">
        <w:rPr>
          <w:rFonts w:ascii="Cambria" w:hAnsi="Cambria"/>
          <w:b/>
          <w:vertAlign w:val="superscript"/>
        </w:rPr>
        <w:t>11</w:t>
      </w:r>
      <w:r w:rsidRPr="00E20DDB">
        <w:rPr>
          <w:rFonts w:ascii="Cambria" w:hAnsi="Cambria"/>
          <w:b/>
        </w:rPr>
        <w:t xml:space="preserve">B analysis of </w:t>
      </w:r>
      <w:r>
        <w:rPr>
          <w:rFonts w:ascii="Cambria" w:hAnsi="Cambria"/>
          <w:b/>
        </w:rPr>
        <w:t xml:space="preserve">coral aragonite </w:t>
      </w:r>
    </w:p>
    <w:p w14:paraId="1ABAB43A" w14:textId="77777777" w:rsidR="001B50D2" w:rsidRPr="00A0186B" w:rsidRDefault="001B50D2" w:rsidP="001B50D2">
      <w:pPr>
        <w:jc w:val="both"/>
        <w:rPr>
          <w:rFonts w:ascii="Cambria" w:hAnsi="Cambria"/>
        </w:rPr>
      </w:pPr>
    </w:p>
    <w:p w14:paraId="07A0DCA1" w14:textId="77777777" w:rsidR="001B50D2" w:rsidRPr="00A0186B" w:rsidRDefault="001B50D2" w:rsidP="001B50D2">
      <w:pPr>
        <w:jc w:val="both"/>
        <w:rPr>
          <w:rFonts w:ascii="Cambria" w:hAnsi="Cambria"/>
          <w:vertAlign w:val="superscript"/>
        </w:rPr>
      </w:pPr>
      <w:r w:rsidRPr="00A0186B">
        <w:rPr>
          <w:rFonts w:ascii="Cambria" w:hAnsi="Cambria"/>
        </w:rPr>
        <w:t xml:space="preserve">Elwyn de la </w:t>
      </w:r>
      <w:proofErr w:type="spellStart"/>
      <w:r w:rsidRPr="00A0186B">
        <w:rPr>
          <w:rFonts w:ascii="Cambria" w:hAnsi="Cambria"/>
        </w:rPr>
        <w:t>Vega</w:t>
      </w:r>
      <w:r w:rsidRPr="00A0186B">
        <w:rPr>
          <w:rFonts w:ascii="Cambria" w:hAnsi="Cambria"/>
          <w:vertAlign w:val="superscript"/>
        </w:rPr>
        <w:t>a</w:t>
      </w:r>
      <w:proofErr w:type="spellEnd"/>
      <w:r>
        <w:rPr>
          <w:rFonts w:ascii="Cambria" w:hAnsi="Cambria"/>
          <w:vertAlign w:val="superscript"/>
        </w:rPr>
        <w:t>*</w:t>
      </w:r>
      <w:r w:rsidRPr="00A0186B">
        <w:rPr>
          <w:rFonts w:ascii="Cambria" w:hAnsi="Cambria"/>
        </w:rPr>
        <w:t xml:space="preserve">, Gavin L. </w:t>
      </w:r>
      <w:proofErr w:type="spellStart"/>
      <w:r w:rsidRPr="00A0186B">
        <w:rPr>
          <w:rFonts w:ascii="Cambria" w:hAnsi="Cambria"/>
        </w:rPr>
        <w:t>Foster</w:t>
      </w:r>
      <w:r w:rsidRPr="00A0186B">
        <w:rPr>
          <w:rFonts w:ascii="Cambria" w:hAnsi="Cambria"/>
          <w:vertAlign w:val="superscript"/>
        </w:rPr>
        <w:t>a</w:t>
      </w:r>
      <w:proofErr w:type="spellEnd"/>
      <w:r w:rsidRPr="00A0186B">
        <w:rPr>
          <w:rFonts w:ascii="Cambria" w:hAnsi="Cambria"/>
        </w:rPr>
        <w:t>, Miguel Angel Martínez-</w:t>
      </w:r>
      <w:proofErr w:type="spellStart"/>
      <w:r w:rsidRPr="00A0186B">
        <w:rPr>
          <w:rFonts w:ascii="Cambria" w:hAnsi="Cambria"/>
        </w:rPr>
        <w:t>Botí</w:t>
      </w:r>
      <w:r w:rsidRPr="00A0186B">
        <w:rPr>
          <w:rFonts w:ascii="Cambria" w:hAnsi="Cambria"/>
          <w:vertAlign w:val="superscript"/>
        </w:rPr>
        <w:t>a</w:t>
      </w:r>
      <w:proofErr w:type="spellEnd"/>
      <w:r w:rsidRPr="00A0186B">
        <w:rPr>
          <w:rFonts w:ascii="Cambria" w:hAnsi="Cambria"/>
        </w:rPr>
        <w:t xml:space="preserve">, Eleni </w:t>
      </w:r>
      <w:proofErr w:type="spellStart"/>
      <w:proofErr w:type="gramStart"/>
      <w:r w:rsidRPr="00A0186B">
        <w:rPr>
          <w:rFonts w:ascii="Cambria" w:hAnsi="Cambria"/>
        </w:rPr>
        <w:t>Anagnostou</w:t>
      </w:r>
      <w:r w:rsidRPr="00A0186B">
        <w:rPr>
          <w:rFonts w:ascii="Cambria" w:hAnsi="Cambria"/>
          <w:vertAlign w:val="superscript"/>
        </w:rPr>
        <w:t>a,b</w:t>
      </w:r>
      <w:proofErr w:type="spellEnd"/>
      <w:proofErr w:type="gramEnd"/>
      <w:r w:rsidRPr="00A0186B">
        <w:rPr>
          <w:rFonts w:ascii="Cambria" w:hAnsi="Cambria"/>
        </w:rPr>
        <w:t xml:space="preserve">, M. Paul </w:t>
      </w:r>
      <w:proofErr w:type="spellStart"/>
      <w:r w:rsidRPr="00A0186B">
        <w:rPr>
          <w:rFonts w:ascii="Cambria" w:hAnsi="Cambria"/>
        </w:rPr>
        <w:t>Field</w:t>
      </w:r>
      <w:r w:rsidRPr="00A0186B">
        <w:rPr>
          <w:rFonts w:ascii="Cambria" w:hAnsi="Cambria"/>
          <w:vertAlign w:val="superscript"/>
        </w:rPr>
        <w:t>c</w:t>
      </w:r>
      <w:proofErr w:type="spellEnd"/>
      <w:r w:rsidRPr="00A0186B">
        <w:rPr>
          <w:rFonts w:ascii="Cambria" w:hAnsi="Cambria"/>
        </w:rPr>
        <w:t xml:space="preserve">, M. Hwan </w:t>
      </w:r>
      <w:proofErr w:type="spellStart"/>
      <w:r w:rsidRPr="00A0186B">
        <w:rPr>
          <w:rFonts w:ascii="Cambria" w:hAnsi="Cambria"/>
        </w:rPr>
        <w:t>Kim</w:t>
      </w:r>
      <w:r w:rsidRPr="00A0186B">
        <w:rPr>
          <w:rFonts w:ascii="Cambria" w:hAnsi="Cambria"/>
          <w:vertAlign w:val="superscript"/>
        </w:rPr>
        <w:t>c</w:t>
      </w:r>
      <w:proofErr w:type="spellEnd"/>
      <w:r w:rsidRPr="00A0186B">
        <w:rPr>
          <w:rFonts w:ascii="Cambria" w:hAnsi="Cambria"/>
        </w:rPr>
        <w:t xml:space="preserve">, Paul </w:t>
      </w:r>
      <w:proofErr w:type="spellStart"/>
      <w:r w:rsidRPr="00A0186B">
        <w:rPr>
          <w:rFonts w:ascii="Cambria" w:hAnsi="Cambria"/>
        </w:rPr>
        <w:t>Watson</w:t>
      </w:r>
      <w:r w:rsidRPr="00A0186B">
        <w:rPr>
          <w:rFonts w:ascii="Cambria" w:hAnsi="Cambria"/>
          <w:vertAlign w:val="superscript"/>
        </w:rPr>
        <w:t>c</w:t>
      </w:r>
      <w:proofErr w:type="spellEnd"/>
      <w:r w:rsidRPr="00A0186B">
        <w:rPr>
          <w:rFonts w:ascii="Cambria" w:hAnsi="Cambria"/>
        </w:rPr>
        <w:t xml:space="preserve">, Paul A. </w:t>
      </w:r>
      <w:proofErr w:type="spellStart"/>
      <w:r w:rsidRPr="00A0186B">
        <w:rPr>
          <w:rFonts w:ascii="Cambria" w:hAnsi="Cambria"/>
        </w:rPr>
        <w:t>Wilson</w:t>
      </w:r>
      <w:r w:rsidRPr="00A0186B">
        <w:rPr>
          <w:rFonts w:ascii="Cambria" w:hAnsi="Cambria"/>
          <w:vertAlign w:val="superscript"/>
        </w:rPr>
        <w:t>a</w:t>
      </w:r>
      <w:proofErr w:type="spellEnd"/>
    </w:p>
    <w:p w14:paraId="413CD1DF" w14:textId="77777777" w:rsidR="001B50D2" w:rsidRPr="00A0186B" w:rsidRDefault="001B50D2" w:rsidP="001B50D2">
      <w:pPr>
        <w:jc w:val="both"/>
        <w:rPr>
          <w:rFonts w:ascii="Cambria" w:hAnsi="Cambria"/>
        </w:rPr>
      </w:pPr>
    </w:p>
    <w:p w14:paraId="554C397E" w14:textId="0F147CFB" w:rsidR="001B50D2" w:rsidRPr="00A0186B" w:rsidRDefault="001B50D2" w:rsidP="001B50D2">
      <w:pPr>
        <w:pStyle w:val="ADDRESS"/>
        <w:ind w:right="3764"/>
        <w:jc w:val="both"/>
        <w:rPr>
          <w:rFonts w:ascii="Cambria" w:hAnsi="Cambria"/>
          <w:sz w:val="24"/>
          <w:szCs w:val="24"/>
        </w:rPr>
      </w:pPr>
      <w:r w:rsidRPr="00013588">
        <w:rPr>
          <w:rFonts w:ascii="Cambria" w:hAnsi="Cambria"/>
          <w:color w:val="000000"/>
          <w:sz w:val="24"/>
          <w:szCs w:val="24"/>
          <w:vertAlign w:val="superscript"/>
        </w:rPr>
        <w:t>a</w:t>
      </w:r>
      <w:r>
        <w:rPr>
          <w:rFonts w:ascii="Cambria" w:hAnsi="Cambria"/>
          <w:color w:val="000000"/>
          <w:sz w:val="24"/>
          <w:szCs w:val="24"/>
        </w:rPr>
        <w:t xml:space="preserve">School of </w:t>
      </w:r>
      <w:r w:rsidRPr="00F56622">
        <w:rPr>
          <w:rFonts w:ascii="Cambria" w:hAnsi="Cambria"/>
          <w:sz w:val="24"/>
          <w:szCs w:val="24"/>
        </w:rPr>
        <w:t>Ocean</w:t>
      </w:r>
      <w:r w:rsidRPr="00A0186B">
        <w:rPr>
          <w:rFonts w:ascii="Cambria" w:hAnsi="Cambria"/>
          <w:sz w:val="24"/>
          <w:szCs w:val="24"/>
        </w:rPr>
        <w:t xml:space="preserve"> and Earth Science, Nationa</w:t>
      </w:r>
      <w:r>
        <w:rPr>
          <w:rFonts w:ascii="Cambria" w:hAnsi="Cambria"/>
          <w:sz w:val="24"/>
          <w:szCs w:val="24"/>
        </w:rPr>
        <w:t xml:space="preserve">l </w:t>
      </w:r>
      <w:r w:rsidRPr="00A0186B">
        <w:rPr>
          <w:rFonts w:ascii="Cambria" w:hAnsi="Cambria"/>
          <w:sz w:val="24"/>
          <w:szCs w:val="24"/>
        </w:rPr>
        <w:t>Oceanography Centre Southampton, University of Southampton, Southampton SO14 3ZH, U</w:t>
      </w:r>
      <w:r>
        <w:rPr>
          <w:rFonts w:ascii="Cambria" w:hAnsi="Cambria"/>
          <w:sz w:val="24"/>
          <w:szCs w:val="24"/>
        </w:rPr>
        <w:t>.</w:t>
      </w:r>
      <w:r w:rsidRPr="00A0186B">
        <w:rPr>
          <w:rFonts w:ascii="Cambria" w:hAnsi="Cambria"/>
          <w:sz w:val="24"/>
          <w:szCs w:val="24"/>
        </w:rPr>
        <w:t xml:space="preserve"> </w:t>
      </w:r>
    </w:p>
    <w:p w14:paraId="68467CAC" w14:textId="77777777" w:rsidR="001B50D2" w:rsidRPr="00A0186B" w:rsidRDefault="001B50D2" w:rsidP="001B50D2">
      <w:pPr>
        <w:widowControl w:val="0"/>
        <w:autoSpaceDE w:val="0"/>
        <w:autoSpaceDN w:val="0"/>
        <w:adjustRightInd w:val="0"/>
        <w:rPr>
          <w:rFonts w:ascii="Cambria" w:hAnsi="Cambria"/>
        </w:rPr>
      </w:pPr>
      <w:proofErr w:type="spellStart"/>
      <w:r w:rsidRPr="00A0186B">
        <w:rPr>
          <w:rFonts w:ascii="Cambria" w:hAnsi="Cambria"/>
          <w:vertAlign w:val="superscript"/>
        </w:rPr>
        <w:t>b</w:t>
      </w:r>
      <w:r w:rsidRPr="00A0186B">
        <w:rPr>
          <w:rFonts w:ascii="Cambria" w:hAnsi="Cambria"/>
        </w:rPr>
        <w:t>GEOMAR</w:t>
      </w:r>
      <w:proofErr w:type="spellEnd"/>
      <w:r w:rsidRPr="00A0186B">
        <w:rPr>
          <w:rFonts w:ascii="Cambria" w:hAnsi="Cambria"/>
        </w:rPr>
        <w:t xml:space="preserve"> Helmholtz Centre for Ocean Research Kiel, </w:t>
      </w:r>
      <w:proofErr w:type="spellStart"/>
      <w:r w:rsidRPr="00A0186B">
        <w:rPr>
          <w:rFonts w:ascii="Cambria" w:hAnsi="Cambria"/>
        </w:rPr>
        <w:t>Wischhofstra</w:t>
      </w:r>
      <w:r w:rsidRPr="00A0186B">
        <w:rPr>
          <w:rFonts w:ascii="Cambria" w:hAnsi="Cambria" w:cs="Arial"/>
          <w:color w:val="1A1A1A"/>
          <w:lang w:val="en-US"/>
        </w:rPr>
        <w:t>ße</w:t>
      </w:r>
      <w:proofErr w:type="spellEnd"/>
      <w:r w:rsidRPr="00A0186B">
        <w:rPr>
          <w:rFonts w:ascii="Cambria" w:hAnsi="Cambria" w:cs="Arial"/>
          <w:color w:val="1A1A1A"/>
          <w:lang w:val="en-US"/>
        </w:rPr>
        <w:t xml:space="preserve"> 1-3, 24148 Kiel, Germany</w:t>
      </w:r>
      <w:r>
        <w:rPr>
          <w:rFonts w:ascii="Cambria" w:hAnsi="Cambria" w:cs="Arial"/>
          <w:color w:val="1A1A1A"/>
          <w:lang w:val="en-US"/>
        </w:rPr>
        <w:t>.</w:t>
      </w:r>
    </w:p>
    <w:p w14:paraId="7329D3E2" w14:textId="476B2F0E" w:rsidR="001B50D2" w:rsidRDefault="001B50D2" w:rsidP="001B50D2">
      <w:pPr>
        <w:pStyle w:val="ADDRESS"/>
        <w:ind w:left="0" w:firstLine="0"/>
        <w:jc w:val="both"/>
        <w:rPr>
          <w:rFonts w:ascii="Cambria" w:hAnsi="Cambria"/>
          <w:color w:val="000000"/>
          <w:sz w:val="24"/>
          <w:szCs w:val="24"/>
          <w:lang w:val="fr-BE"/>
        </w:rPr>
      </w:pPr>
      <w:r w:rsidRPr="00F56622">
        <w:rPr>
          <w:rFonts w:ascii="Cambria" w:hAnsi="Cambria"/>
          <w:sz w:val="24"/>
          <w:szCs w:val="24"/>
          <w:vertAlign w:val="superscript"/>
          <w:lang w:val="fr-BE"/>
        </w:rPr>
        <w:t>c</w:t>
      </w:r>
      <w:r w:rsidRPr="00F56622">
        <w:rPr>
          <w:rFonts w:ascii="Cambria" w:hAnsi="Cambria"/>
          <w:color w:val="000000"/>
          <w:sz w:val="24"/>
          <w:szCs w:val="24"/>
          <w:lang w:val="fr-BE"/>
        </w:rPr>
        <w:t>Elemental Scientific, Inc.,</w:t>
      </w:r>
      <w:r>
        <w:rPr>
          <w:rFonts w:ascii="Cambria" w:hAnsi="Cambria"/>
          <w:color w:val="000000"/>
          <w:sz w:val="24"/>
          <w:szCs w:val="24"/>
          <w:lang w:val="fr-BE"/>
        </w:rPr>
        <w:t xml:space="preserve"> 7277 World Communications Drive, Omaha, NE 68122, U</w:t>
      </w:r>
      <w:r>
        <w:rPr>
          <w:rFonts w:ascii="Cambria" w:hAnsi="Cambria"/>
          <w:color w:val="000000"/>
          <w:sz w:val="24"/>
          <w:szCs w:val="24"/>
          <w:lang w:val="fr-BE"/>
        </w:rPr>
        <w:t>SA</w:t>
      </w:r>
    </w:p>
    <w:p w14:paraId="26B2798B" w14:textId="77777777" w:rsidR="001B50D2" w:rsidRDefault="001B50D2" w:rsidP="001B50D2">
      <w:pPr>
        <w:pStyle w:val="ADDRESS"/>
        <w:ind w:left="0" w:firstLine="0"/>
        <w:jc w:val="both"/>
        <w:rPr>
          <w:rFonts w:ascii="Cambria" w:hAnsi="Cambria"/>
          <w:color w:val="000000"/>
          <w:sz w:val="24"/>
          <w:szCs w:val="24"/>
          <w:lang w:val="fr-BE"/>
        </w:rPr>
      </w:pPr>
    </w:p>
    <w:p w14:paraId="27ED8777" w14:textId="77777777" w:rsidR="001B50D2" w:rsidRDefault="001B50D2" w:rsidP="001B50D2">
      <w:pPr>
        <w:pStyle w:val="NormalWeb"/>
        <w:rPr>
          <w:rFonts w:ascii="Lato" w:hAnsi="Lato"/>
        </w:rPr>
      </w:pPr>
      <w:r w:rsidRPr="00F14B8F">
        <w:rPr>
          <w:rFonts w:ascii="AdvTT8cd5c63f.I" w:hAnsi="AdvTT8cd5c63f.I"/>
        </w:rPr>
        <w:t>*Correspondence to: E</w:t>
      </w:r>
      <w:r>
        <w:rPr>
          <w:rFonts w:ascii="AdvTT8cd5c63f.I" w:hAnsi="AdvTT8cd5c63f.I"/>
        </w:rPr>
        <w:t>lwyn</w:t>
      </w:r>
      <w:r w:rsidRPr="00F14B8F">
        <w:rPr>
          <w:rFonts w:ascii="AdvTT8cd5c63f.I" w:hAnsi="AdvTT8cd5c63f.I"/>
        </w:rPr>
        <w:t xml:space="preserve"> de la Vega</w:t>
      </w:r>
      <w:r w:rsidRPr="00F14B8F">
        <w:rPr>
          <w:rFonts w:ascii="Lato" w:hAnsi="Lato"/>
        </w:rPr>
        <w:t xml:space="preserve">, School of Ocean and Earth Science, University of Southampton Waterfront Campus, National Oceanography Centre Southampton, European Way, Southampton SO14 3ZH, UK. </w:t>
      </w:r>
    </w:p>
    <w:p w14:paraId="5E729C06" w14:textId="77777777" w:rsidR="001B50D2" w:rsidRPr="00F14B8F" w:rsidRDefault="001B50D2" w:rsidP="001B50D2">
      <w:pPr>
        <w:pStyle w:val="NormalWeb"/>
        <w:rPr>
          <w:rFonts w:ascii="Lato" w:hAnsi="Lato"/>
        </w:rPr>
      </w:pPr>
      <w:r>
        <w:rPr>
          <w:rFonts w:ascii="Lato" w:hAnsi="Lato"/>
        </w:rPr>
        <w:t>E-mail: elwyn.de-la-vega@soton.ac.uk</w:t>
      </w:r>
    </w:p>
    <w:p w14:paraId="17FC52F3" w14:textId="77777777" w:rsidR="00E27841" w:rsidRDefault="00E27841" w:rsidP="00E27841">
      <w:pPr>
        <w:rPr>
          <w:rFonts w:ascii="Cambria" w:hAnsi="Cambria" w:cs="Times New Roman"/>
          <w:w w:val="108"/>
        </w:rPr>
      </w:pPr>
    </w:p>
    <w:p w14:paraId="4606E7FA" w14:textId="77777777" w:rsidR="00E27841" w:rsidRDefault="00E27841" w:rsidP="00E27841">
      <w:pPr>
        <w:tabs>
          <w:tab w:val="left" w:pos="1019"/>
        </w:tabs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4111"/>
      </w:tblGrid>
      <w:tr w:rsidR="00E27841" w14:paraId="23530767" w14:textId="77777777" w:rsidTr="00F14B8F">
        <w:trPr>
          <w:trHeight w:val="275"/>
        </w:trPr>
        <w:tc>
          <w:tcPr>
            <w:tcW w:w="1843" w:type="dxa"/>
          </w:tcPr>
          <w:p w14:paraId="11FE4866" w14:textId="77777777" w:rsidR="00E27841" w:rsidRPr="00F83B92" w:rsidRDefault="00E27841" w:rsidP="00F14B8F">
            <w:r w:rsidRPr="00F83B92">
              <w:t>δ</w:t>
            </w:r>
            <w:r w:rsidRPr="00F83B92">
              <w:rPr>
                <w:vertAlign w:val="superscript"/>
              </w:rPr>
              <w:t>11</w:t>
            </w:r>
            <w:r>
              <w:t>B JCp</w:t>
            </w:r>
            <w:r w:rsidRPr="00F83B92">
              <w:t>-1 (</w:t>
            </w:r>
            <w:r w:rsidRPr="00F83B92">
              <w:rPr>
                <w:rFonts w:cs="Helvetica"/>
                <w:color w:val="1C1C1C"/>
                <w:lang w:val="en-US"/>
              </w:rPr>
              <w:t>‰)</w:t>
            </w:r>
          </w:p>
        </w:tc>
        <w:tc>
          <w:tcPr>
            <w:tcW w:w="1134" w:type="dxa"/>
          </w:tcPr>
          <w:p w14:paraId="632C3E14" w14:textId="77777777" w:rsidR="00E27841" w:rsidRPr="00F83B92" w:rsidRDefault="00E27841" w:rsidP="00F14B8F">
            <w:r w:rsidRPr="00F83B92">
              <w:t>2sd (</w:t>
            </w:r>
            <w:r w:rsidRPr="00F83B92">
              <w:rPr>
                <w:rFonts w:cs="Helvetica"/>
                <w:color w:val="1C1C1C"/>
                <w:lang w:val="en-US"/>
              </w:rPr>
              <w:t>‰)</w:t>
            </w:r>
          </w:p>
        </w:tc>
        <w:tc>
          <w:tcPr>
            <w:tcW w:w="2126" w:type="dxa"/>
          </w:tcPr>
          <w:p w14:paraId="33567AFB" w14:textId="77777777" w:rsidR="00E27841" w:rsidRPr="00F83B92" w:rsidRDefault="00E27841" w:rsidP="00F14B8F">
            <w:r w:rsidRPr="00F83B92">
              <w:t>Reference</w:t>
            </w:r>
          </w:p>
        </w:tc>
        <w:tc>
          <w:tcPr>
            <w:tcW w:w="4111" w:type="dxa"/>
          </w:tcPr>
          <w:p w14:paraId="17B8B060" w14:textId="77777777" w:rsidR="00E27841" w:rsidRPr="00F83B92" w:rsidRDefault="00E27841" w:rsidP="00F14B8F">
            <w:r w:rsidRPr="00F83B92">
              <w:t>Boron separation</w:t>
            </w:r>
          </w:p>
        </w:tc>
      </w:tr>
      <w:tr w:rsidR="00E27841" w14:paraId="2AA69704" w14:textId="77777777" w:rsidTr="00F14B8F">
        <w:trPr>
          <w:trHeight w:val="275"/>
        </w:trPr>
        <w:tc>
          <w:tcPr>
            <w:tcW w:w="1843" w:type="dxa"/>
          </w:tcPr>
          <w:p w14:paraId="434FBA8F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134" w:type="dxa"/>
          </w:tcPr>
          <w:p w14:paraId="64B4C601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126" w:type="dxa"/>
          </w:tcPr>
          <w:p w14:paraId="061D0E33" w14:textId="75F911E9" w:rsidR="00E27841" w:rsidRPr="000273CD" w:rsidRDefault="00E27841" w:rsidP="00F14B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Dissard</w:t>
            </w:r>
            <w:proofErr w:type="spellEnd"/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</w:t>
            </w:r>
            <w:r w:rsidRPr="00F14B8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4111" w:type="dxa"/>
          </w:tcPr>
          <w:p w14:paraId="23B67B58" w14:textId="77777777" w:rsidR="00E27841" w:rsidRPr="000273CD" w:rsidRDefault="00E27841" w:rsidP="00F14B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Anion exchange chromatography</w:t>
            </w:r>
          </w:p>
        </w:tc>
      </w:tr>
      <w:tr w:rsidR="00E27841" w14:paraId="68F731D6" w14:textId="77777777" w:rsidTr="00F14B8F">
        <w:trPr>
          <w:trHeight w:val="275"/>
        </w:trPr>
        <w:tc>
          <w:tcPr>
            <w:tcW w:w="1843" w:type="dxa"/>
          </w:tcPr>
          <w:p w14:paraId="53FC4932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34" w:type="dxa"/>
          </w:tcPr>
          <w:p w14:paraId="1090EDB7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26" w:type="dxa"/>
          </w:tcPr>
          <w:p w14:paraId="22FC4433" w14:textId="6F311213" w:rsidR="00E27841" w:rsidRPr="000273CD" w:rsidRDefault="00E27841" w:rsidP="00F14B8F">
            <w:pPr>
              <w:ind w:left="224" w:hanging="22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Liu et al</w:t>
            </w:r>
            <w:r w:rsidRPr="00F14B8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1" w:type="dxa"/>
          </w:tcPr>
          <w:p w14:paraId="42D10D47" w14:textId="77777777" w:rsidR="00E27841" w:rsidRPr="000273CD" w:rsidRDefault="00E27841" w:rsidP="00F14B8F">
            <w:pPr>
              <w:ind w:left="224" w:hanging="22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Micro sublimation</w:t>
            </w:r>
          </w:p>
        </w:tc>
      </w:tr>
      <w:tr w:rsidR="00E27841" w14:paraId="2F2A30DC" w14:textId="77777777" w:rsidTr="00F14B8F">
        <w:trPr>
          <w:trHeight w:val="275"/>
        </w:trPr>
        <w:tc>
          <w:tcPr>
            <w:tcW w:w="1843" w:type="dxa"/>
          </w:tcPr>
          <w:p w14:paraId="6E3FBECC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34" w:type="dxa"/>
          </w:tcPr>
          <w:p w14:paraId="1E879312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126" w:type="dxa"/>
          </w:tcPr>
          <w:p w14:paraId="5221CFDC" w14:textId="488F5B9D" w:rsidR="00E27841" w:rsidRPr="000273CD" w:rsidRDefault="00E27841" w:rsidP="00F14B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McCulloch et al</w:t>
            </w:r>
            <w:r w:rsidRPr="00F14B8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111" w:type="dxa"/>
          </w:tcPr>
          <w:p w14:paraId="76301F35" w14:textId="77777777" w:rsidR="00E27841" w:rsidRPr="000273CD" w:rsidRDefault="00E27841" w:rsidP="00F14B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Cation and anion exchange chromatography</w:t>
            </w:r>
          </w:p>
        </w:tc>
      </w:tr>
      <w:tr w:rsidR="00E27841" w14:paraId="57A68965" w14:textId="77777777" w:rsidTr="00F14B8F">
        <w:trPr>
          <w:trHeight w:val="275"/>
        </w:trPr>
        <w:tc>
          <w:tcPr>
            <w:tcW w:w="1843" w:type="dxa"/>
          </w:tcPr>
          <w:p w14:paraId="00A14476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34" w:type="dxa"/>
          </w:tcPr>
          <w:p w14:paraId="45CC22DB" w14:textId="77777777" w:rsidR="00E27841" w:rsidRPr="000273CD" w:rsidRDefault="00E27841" w:rsidP="00F14B8F">
            <w:pPr>
              <w:rPr>
                <w:sz w:val="20"/>
                <w:szCs w:val="20"/>
              </w:rPr>
            </w:pPr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126" w:type="dxa"/>
          </w:tcPr>
          <w:p w14:paraId="43620A0B" w14:textId="3EBA617D" w:rsidR="00E27841" w:rsidRPr="000273CD" w:rsidRDefault="00E27841" w:rsidP="00F14B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>Henehan</w:t>
            </w:r>
            <w:proofErr w:type="spellEnd"/>
            <w:r w:rsidRPr="000273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 al</w:t>
            </w:r>
            <w:r w:rsidRPr="00F14B8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111" w:type="dxa"/>
          </w:tcPr>
          <w:p w14:paraId="23282F2D" w14:textId="77777777" w:rsidR="00E27841" w:rsidRPr="000273CD" w:rsidRDefault="00E27841" w:rsidP="00F14B8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Anion exchange chromatography</w:t>
            </w:r>
          </w:p>
        </w:tc>
      </w:tr>
    </w:tbl>
    <w:p w14:paraId="2AF1BC70" w14:textId="77777777" w:rsidR="00E27841" w:rsidRDefault="00E27841" w:rsidP="00E27841">
      <w:pPr>
        <w:rPr>
          <w:sz w:val="20"/>
          <w:szCs w:val="20"/>
        </w:rPr>
      </w:pPr>
      <w:r>
        <w:rPr>
          <w:sz w:val="20"/>
          <w:szCs w:val="20"/>
        </w:rPr>
        <w:t>Table S1</w:t>
      </w:r>
      <w:r w:rsidRPr="008C518D">
        <w:rPr>
          <w:sz w:val="20"/>
          <w:szCs w:val="20"/>
        </w:rPr>
        <w:t>. Published δ</w:t>
      </w:r>
      <w:r w:rsidRPr="008C518D">
        <w:rPr>
          <w:sz w:val="20"/>
          <w:szCs w:val="20"/>
          <w:vertAlign w:val="superscript"/>
        </w:rPr>
        <w:t>11</w:t>
      </w:r>
      <w:r w:rsidRPr="008C518D">
        <w:rPr>
          <w:sz w:val="20"/>
          <w:szCs w:val="20"/>
        </w:rPr>
        <w:t xml:space="preserve">B measurements of </w:t>
      </w:r>
      <w:r>
        <w:rPr>
          <w:sz w:val="20"/>
          <w:szCs w:val="20"/>
        </w:rPr>
        <w:t>the carbonate reference material JCp</w:t>
      </w:r>
      <w:r w:rsidRPr="008C518D">
        <w:rPr>
          <w:sz w:val="20"/>
          <w:szCs w:val="20"/>
        </w:rPr>
        <w:t xml:space="preserve">-1 </w:t>
      </w:r>
      <w:r>
        <w:rPr>
          <w:sz w:val="20"/>
          <w:szCs w:val="20"/>
        </w:rPr>
        <w:t>with boron separation methods used. All measurements were conducted on MC-ICPMS.</w:t>
      </w:r>
    </w:p>
    <w:p w14:paraId="16D6D8E0" w14:textId="77777777" w:rsidR="00E27841" w:rsidRPr="008C518D" w:rsidRDefault="00E27841" w:rsidP="00E27841">
      <w:pPr>
        <w:rPr>
          <w:sz w:val="20"/>
          <w:szCs w:val="20"/>
        </w:rPr>
      </w:pPr>
    </w:p>
    <w:p w14:paraId="4B4AC817" w14:textId="77777777" w:rsidR="00E27841" w:rsidRPr="00EA5430" w:rsidRDefault="00E27841" w:rsidP="00E27841">
      <w:pPr>
        <w:jc w:val="both"/>
        <w:rPr>
          <w:color w:val="7B7B7B" w:themeColor="accent3" w:themeShade="BF"/>
        </w:rPr>
      </w:pPr>
    </w:p>
    <w:tbl>
      <w:tblPr>
        <w:tblStyle w:val="TableGrid"/>
        <w:tblpPr w:leftFromText="180" w:rightFromText="180" w:vertAnchor="text" w:horzAnchor="page" w:tblpX="1729" w:tblpY="214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851"/>
        <w:gridCol w:w="1134"/>
        <w:gridCol w:w="1276"/>
        <w:gridCol w:w="1275"/>
      </w:tblGrid>
      <w:tr w:rsidR="00E27841" w:rsidRPr="00053F8F" w14:paraId="6B4151EA" w14:textId="77777777" w:rsidTr="00F14B8F">
        <w:tc>
          <w:tcPr>
            <w:tcW w:w="1101" w:type="dxa"/>
            <w:vMerge w:val="restart"/>
            <w:shd w:val="clear" w:color="auto" w:fill="B3B3B3"/>
          </w:tcPr>
          <w:p w14:paraId="0EEAF579" w14:textId="77777777" w:rsidR="00E27841" w:rsidRPr="008C2421" w:rsidRDefault="00E27841" w:rsidP="00F14B8F">
            <w:pPr>
              <w:rPr>
                <w:sz w:val="20"/>
                <w:szCs w:val="20"/>
              </w:rPr>
            </w:pPr>
            <w:r w:rsidRPr="008C2421">
              <w:rPr>
                <w:sz w:val="20"/>
                <w:szCs w:val="20"/>
              </w:rPr>
              <w:t>Reference material</w:t>
            </w:r>
          </w:p>
        </w:tc>
        <w:tc>
          <w:tcPr>
            <w:tcW w:w="1417" w:type="dxa"/>
            <w:vMerge w:val="restart"/>
            <w:shd w:val="clear" w:color="auto" w:fill="B3B3B3"/>
          </w:tcPr>
          <w:p w14:paraId="66D7D1A3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sz w:val="20"/>
                <w:szCs w:val="20"/>
              </w:rPr>
              <w:t>Matrix type</w:t>
            </w:r>
          </w:p>
        </w:tc>
        <w:tc>
          <w:tcPr>
            <w:tcW w:w="1559" w:type="dxa"/>
            <w:vMerge w:val="restart"/>
            <w:shd w:val="clear" w:color="auto" w:fill="B3B3B3"/>
          </w:tcPr>
          <w:p w14:paraId="00923A47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sz w:val="20"/>
                <w:szCs w:val="20"/>
              </w:rPr>
              <w:t>Long term δ</w:t>
            </w:r>
            <w:r w:rsidRPr="008C2421">
              <w:rPr>
                <w:sz w:val="20"/>
                <w:szCs w:val="20"/>
                <w:vertAlign w:val="superscript"/>
              </w:rPr>
              <w:t>11</w:t>
            </w:r>
            <w:r w:rsidRPr="008C2421">
              <w:rPr>
                <w:sz w:val="20"/>
                <w:szCs w:val="20"/>
              </w:rPr>
              <w:t>B (</w:t>
            </w:r>
            <w:r w:rsidRPr="008C2421">
              <w:rPr>
                <w:rFonts w:cs="Helvetica"/>
                <w:color w:val="1C1C1C"/>
                <w:sz w:val="20"/>
                <w:szCs w:val="20"/>
                <w:lang w:val="en-US"/>
              </w:rPr>
              <w:t>‰)</w:t>
            </w:r>
          </w:p>
        </w:tc>
        <w:tc>
          <w:tcPr>
            <w:tcW w:w="851" w:type="dxa"/>
            <w:vMerge w:val="restart"/>
          </w:tcPr>
          <w:p w14:paraId="04D26407" w14:textId="77777777" w:rsidR="00E27841" w:rsidRDefault="00E27841" w:rsidP="00F14B8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165416CC" w14:textId="77777777" w:rsidR="00E27841" w:rsidRPr="00993368" w:rsidRDefault="00E27841" w:rsidP="00F14B8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B3B3B3"/>
          </w:tcPr>
          <w:p w14:paraId="32FB3C33" w14:textId="5E1F58BD" w:rsidR="00E27841" w:rsidRPr="008C2421" w:rsidRDefault="00E27841" w:rsidP="00F14B8F">
            <w:pPr>
              <w:jc w:val="center"/>
              <w:rPr>
                <w:b/>
                <w:sz w:val="20"/>
                <w:szCs w:val="20"/>
              </w:rPr>
            </w:pPr>
            <w:r w:rsidRPr="008C24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Sample load (μ</w:t>
            </w:r>
            <w:r w:rsidR="001B50D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8C24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/min)</w:t>
            </w:r>
          </w:p>
        </w:tc>
      </w:tr>
      <w:tr w:rsidR="00E27841" w:rsidRPr="00053F8F" w14:paraId="0F6933D9" w14:textId="77777777" w:rsidTr="00F14B8F">
        <w:tc>
          <w:tcPr>
            <w:tcW w:w="1101" w:type="dxa"/>
            <w:vMerge/>
            <w:shd w:val="clear" w:color="auto" w:fill="B3B3B3"/>
          </w:tcPr>
          <w:p w14:paraId="43F064CF" w14:textId="77777777" w:rsidR="00E27841" w:rsidRPr="008C2421" w:rsidRDefault="00E27841" w:rsidP="00F14B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3B3B3"/>
          </w:tcPr>
          <w:p w14:paraId="78583B21" w14:textId="77777777" w:rsidR="00E27841" w:rsidRPr="008C2421" w:rsidRDefault="00E27841" w:rsidP="00F14B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B3B3"/>
          </w:tcPr>
          <w:p w14:paraId="6BE14A56" w14:textId="77777777" w:rsidR="00E27841" w:rsidRPr="008C2421" w:rsidRDefault="00E27841" w:rsidP="00F14B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CEDAE11" w14:textId="77777777" w:rsidR="00E27841" w:rsidRPr="008C2421" w:rsidRDefault="00E27841" w:rsidP="00F14B8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bottom"/>
          </w:tcPr>
          <w:p w14:paraId="053BA084" w14:textId="77777777" w:rsidR="00E27841" w:rsidRPr="008C2421" w:rsidRDefault="00E27841" w:rsidP="00F14B8F">
            <w:pPr>
              <w:jc w:val="center"/>
              <w:rPr>
                <w:b/>
                <w:sz w:val="20"/>
                <w:szCs w:val="20"/>
              </w:rPr>
            </w:pPr>
            <w:r w:rsidRPr="008C24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B3B3B3"/>
            <w:vAlign w:val="bottom"/>
          </w:tcPr>
          <w:p w14:paraId="5B898F5D" w14:textId="77777777" w:rsidR="00E27841" w:rsidRPr="008C2421" w:rsidRDefault="00E27841" w:rsidP="00F14B8F">
            <w:pPr>
              <w:jc w:val="center"/>
              <w:rPr>
                <w:b/>
                <w:sz w:val="20"/>
                <w:szCs w:val="20"/>
              </w:rPr>
            </w:pPr>
            <w:r w:rsidRPr="008C24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B3B3B3"/>
            <w:vAlign w:val="bottom"/>
          </w:tcPr>
          <w:p w14:paraId="474DD174" w14:textId="77777777" w:rsidR="00E27841" w:rsidRPr="008C2421" w:rsidRDefault="00E27841" w:rsidP="00F14B8F">
            <w:pPr>
              <w:jc w:val="center"/>
              <w:rPr>
                <w:b/>
                <w:sz w:val="20"/>
                <w:szCs w:val="20"/>
              </w:rPr>
            </w:pPr>
            <w:r w:rsidRPr="008C24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E27841" w14:paraId="377CE058" w14:textId="77777777" w:rsidTr="00F14B8F">
        <w:tc>
          <w:tcPr>
            <w:tcW w:w="1101" w:type="dxa"/>
          </w:tcPr>
          <w:p w14:paraId="51F6C41A" w14:textId="77777777" w:rsidR="00E27841" w:rsidRPr="008C2421" w:rsidRDefault="00E27841" w:rsidP="00F14B8F">
            <w:pPr>
              <w:rPr>
                <w:sz w:val="20"/>
                <w:szCs w:val="20"/>
              </w:rPr>
            </w:pPr>
            <w:r w:rsidRPr="008C2421">
              <w:rPr>
                <w:sz w:val="20"/>
                <w:szCs w:val="20"/>
              </w:rPr>
              <w:t>NIST 951</w:t>
            </w:r>
          </w:p>
        </w:tc>
        <w:tc>
          <w:tcPr>
            <w:tcW w:w="1417" w:type="dxa"/>
          </w:tcPr>
          <w:p w14:paraId="02CE0319" w14:textId="77777777" w:rsidR="00E27841" w:rsidRPr="008C2421" w:rsidRDefault="00E27841" w:rsidP="00F14B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No matrix</w:t>
            </w:r>
          </w:p>
        </w:tc>
        <w:tc>
          <w:tcPr>
            <w:tcW w:w="1559" w:type="dxa"/>
            <w:vAlign w:val="bottom"/>
          </w:tcPr>
          <w:p w14:paraId="34598DE8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B3B3B3"/>
          </w:tcPr>
          <w:p w14:paraId="6AA5BD1F" w14:textId="77777777" w:rsidR="00E27841" w:rsidRDefault="00E27841" w:rsidP="00F14B8F">
            <w:pPr>
              <w:jc w:val="center"/>
              <w:rPr>
                <w:sz w:val="20"/>
                <w:szCs w:val="20"/>
              </w:rPr>
            </w:pPr>
          </w:p>
          <w:p w14:paraId="735535CF" w14:textId="77777777" w:rsidR="00E27841" w:rsidRPr="00993368" w:rsidRDefault="00E27841" w:rsidP="00F14B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2421">
              <w:rPr>
                <w:sz w:val="20"/>
                <w:szCs w:val="20"/>
              </w:rPr>
              <w:t>δ</w:t>
            </w:r>
            <w:r w:rsidRPr="008C2421">
              <w:rPr>
                <w:sz w:val="20"/>
                <w:szCs w:val="20"/>
                <w:vertAlign w:val="superscript"/>
              </w:rPr>
              <w:t>11</w:t>
            </w:r>
            <w:r w:rsidRPr="008C2421">
              <w:rPr>
                <w:sz w:val="20"/>
                <w:szCs w:val="20"/>
              </w:rPr>
              <w:t>B (</w:t>
            </w:r>
            <w:r w:rsidRPr="008C2421">
              <w:rPr>
                <w:rFonts w:cs="Helvetica"/>
                <w:color w:val="1C1C1C"/>
                <w:sz w:val="20"/>
                <w:szCs w:val="20"/>
                <w:lang w:val="en-US"/>
              </w:rPr>
              <w:t>‰)</w:t>
            </w:r>
          </w:p>
        </w:tc>
        <w:tc>
          <w:tcPr>
            <w:tcW w:w="1134" w:type="dxa"/>
            <w:vAlign w:val="bottom"/>
          </w:tcPr>
          <w:p w14:paraId="26FE4774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14:paraId="0407ED5C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275" w:type="dxa"/>
            <w:vAlign w:val="bottom"/>
          </w:tcPr>
          <w:p w14:paraId="3F298916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E27841" w14:paraId="55FD80B0" w14:textId="77777777" w:rsidTr="00F14B8F">
        <w:tc>
          <w:tcPr>
            <w:tcW w:w="1101" w:type="dxa"/>
          </w:tcPr>
          <w:p w14:paraId="4CB75128" w14:textId="77777777" w:rsidR="00E27841" w:rsidRPr="008C2421" w:rsidRDefault="00E27841" w:rsidP="00F14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JCp</w:t>
            </w:r>
            <w:r w:rsidRPr="008C2421">
              <w:rPr>
                <w:sz w:val="20"/>
                <w:szCs w:val="20"/>
              </w:rPr>
              <w:t>-1</w:t>
            </w:r>
          </w:p>
        </w:tc>
        <w:tc>
          <w:tcPr>
            <w:tcW w:w="1417" w:type="dxa"/>
          </w:tcPr>
          <w:p w14:paraId="2FB1466C" w14:textId="77777777" w:rsidR="00E27841" w:rsidRPr="008C2421" w:rsidRDefault="00E27841" w:rsidP="00F14B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Carbonate</w:t>
            </w:r>
          </w:p>
        </w:tc>
        <w:tc>
          <w:tcPr>
            <w:tcW w:w="1559" w:type="dxa"/>
            <w:vAlign w:val="bottom"/>
          </w:tcPr>
          <w:p w14:paraId="3EE75D60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851" w:type="dxa"/>
            <w:vMerge/>
            <w:shd w:val="clear" w:color="auto" w:fill="B3B3B3"/>
          </w:tcPr>
          <w:p w14:paraId="4CF5F1EF" w14:textId="77777777" w:rsidR="00E27841" w:rsidRPr="008C2421" w:rsidRDefault="00E27841" w:rsidP="00F14B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24F314C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76" w:type="dxa"/>
            <w:vAlign w:val="bottom"/>
          </w:tcPr>
          <w:p w14:paraId="0322F16D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275" w:type="dxa"/>
            <w:vAlign w:val="bottom"/>
          </w:tcPr>
          <w:p w14:paraId="6E949AA4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27841" w14:paraId="37A4D3B7" w14:textId="77777777" w:rsidTr="00F14B8F">
        <w:trPr>
          <w:trHeight w:val="277"/>
        </w:trPr>
        <w:tc>
          <w:tcPr>
            <w:tcW w:w="1101" w:type="dxa"/>
          </w:tcPr>
          <w:p w14:paraId="793EBB1F" w14:textId="77777777" w:rsidR="00E27841" w:rsidRPr="008C2421" w:rsidRDefault="00E27841" w:rsidP="00F14B8F">
            <w:pPr>
              <w:rPr>
                <w:sz w:val="20"/>
                <w:szCs w:val="20"/>
              </w:rPr>
            </w:pPr>
            <w:r w:rsidRPr="008C2421">
              <w:rPr>
                <w:sz w:val="20"/>
                <w:szCs w:val="20"/>
              </w:rPr>
              <w:t xml:space="preserve">Seawater </w:t>
            </w:r>
          </w:p>
        </w:tc>
        <w:tc>
          <w:tcPr>
            <w:tcW w:w="1417" w:type="dxa"/>
          </w:tcPr>
          <w:p w14:paraId="769D96A2" w14:textId="77777777" w:rsidR="00E27841" w:rsidRPr="008C2421" w:rsidRDefault="00E27841" w:rsidP="00F14B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ionic</w:t>
            </w:r>
          </w:p>
        </w:tc>
        <w:tc>
          <w:tcPr>
            <w:tcW w:w="1559" w:type="dxa"/>
            <w:vAlign w:val="bottom"/>
          </w:tcPr>
          <w:p w14:paraId="16A8C728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39.61</w:t>
            </w:r>
          </w:p>
        </w:tc>
        <w:tc>
          <w:tcPr>
            <w:tcW w:w="851" w:type="dxa"/>
            <w:vMerge/>
            <w:shd w:val="clear" w:color="auto" w:fill="B3B3B3"/>
          </w:tcPr>
          <w:p w14:paraId="63ECF836" w14:textId="77777777" w:rsidR="00E27841" w:rsidRPr="008C2421" w:rsidRDefault="00E27841" w:rsidP="00F14B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4FB0FAE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1276" w:type="dxa"/>
            <w:vAlign w:val="bottom"/>
          </w:tcPr>
          <w:p w14:paraId="7E953470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39.47</w:t>
            </w:r>
          </w:p>
        </w:tc>
        <w:tc>
          <w:tcPr>
            <w:tcW w:w="1275" w:type="dxa"/>
            <w:vAlign w:val="bottom"/>
          </w:tcPr>
          <w:p w14:paraId="3D09AFAA" w14:textId="77777777" w:rsidR="00E27841" w:rsidRPr="008C2421" w:rsidRDefault="00E27841" w:rsidP="00F14B8F">
            <w:pPr>
              <w:jc w:val="center"/>
              <w:rPr>
                <w:sz w:val="20"/>
                <w:szCs w:val="20"/>
              </w:rPr>
            </w:pPr>
            <w:r w:rsidRPr="008C2421">
              <w:rPr>
                <w:rFonts w:eastAsia="Times New Roman" w:cs="Times New Roman"/>
                <w:color w:val="000000"/>
                <w:sz w:val="20"/>
                <w:szCs w:val="20"/>
              </w:rPr>
              <w:t>38.65</w:t>
            </w:r>
          </w:p>
        </w:tc>
      </w:tr>
    </w:tbl>
    <w:p w14:paraId="495AEDD8" w14:textId="77777777" w:rsidR="00E27841" w:rsidRDefault="00E27841" w:rsidP="00E27841">
      <w:pPr>
        <w:jc w:val="both"/>
        <w:rPr>
          <w:sz w:val="20"/>
          <w:szCs w:val="20"/>
        </w:rPr>
      </w:pPr>
    </w:p>
    <w:p w14:paraId="4063538E" w14:textId="739C440B" w:rsidR="00E27841" w:rsidRDefault="00E27841" w:rsidP="00E27841">
      <w:pPr>
        <w:jc w:val="both"/>
        <w:rPr>
          <w:sz w:val="20"/>
          <w:szCs w:val="20"/>
        </w:rPr>
      </w:pPr>
      <w:r w:rsidRPr="007460EB">
        <w:rPr>
          <w:sz w:val="20"/>
          <w:szCs w:val="20"/>
        </w:rPr>
        <w:t>T</w:t>
      </w:r>
      <w:r>
        <w:rPr>
          <w:sz w:val="20"/>
          <w:szCs w:val="20"/>
        </w:rPr>
        <w:t xml:space="preserve">able S2. </w:t>
      </w:r>
      <w:r w:rsidRPr="007460EB">
        <w:rPr>
          <w:rFonts w:ascii="Cambria" w:hAnsi="Cambria"/>
          <w:sz w:val="20"/>
          <w:szCs w:val="20"/>
        </w:rPr>
        <w:t>δ</w:t>
      </w:r>
      <w:r w:rsidRPr="007460EB">
        <w:rPr>
          <w:sz w:val="20"/>
          <w:szCs w:val="20"/>
          <w:vertAlign w:val="superscript"/>
        </w:rPr>
        <w:t>11</w:t>
      </w:r>
      <w:r w:rsidRPr="007460EB">
        <w:rPr>
          <w:sz w:val="20"/>
          <w:szCs w:val="20"/>
        </w:rPr>
        <w:t>B</w:t>
      </w:r>
      <w:r>
        <w:rPr>
          <w:sz w:val="20"/>
          <w:szCs w:val="20"/>
        </w:rPr>
        <w:t xml:space="preserve"> value</w:t>
      </w:r>
      <w:r w:rsidR="001B50D2">
        <w:rPr>
          <w:sz w:val="20"/>
          <w:szCs w:val="20"/>
        </w:rPr>
        <w:t>s</w:t>
      </w:r>
      <w:r w:rsidRPr="007460EB">
        <w:rPr>
          <w:sz w:val="20"/>
          <w:szCs w:val="20"/>
        </w:rPr>
        <w:t xml:space="preserve"> of standards and reference materials processed at different flow rate. </w:t>
      </w:r>
    </w:p>
    <w:p w14:paraId="3D89517E" w14:textId="77777777" w:rsidR="00E27841" w:rsidRDefault="00E27841" w:rsidP="00E27841"/>
    <w:p w14:paraId="58081F9F" w14:textId="77777777" w:rsidR="00E27841" w:rsidRDefault="00E27841" w:rsidP="00E27841"/>
    <w:p w14:paraId="4AB1F03A" w14:textId="77777777" w:rsidR="00E27841" w:rsidRDefault="00E27841" w:rsidP="00E27841"/>
    <w:p w14:paraId="2759B644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37B21656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460FAD98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62837D94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69757D0A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5B4AE683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637A0F6C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5CAE8849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2EAF417F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14706AF9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37C49106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0AFC605C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0F096059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75C1EF46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2C05526F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6338257E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7C034350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243A4D86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6BBCD216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45D48FFA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06A43893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651B0F34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5A2339BF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146B37E5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704C080E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2FDE064F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73A4DD09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16C0A865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7808E38F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080EDFFC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3DB383EA" w14:textId="77777777" w:rsidR="00E27841" w:rsidRDefault="00E27841" w:rsidP="00E27841">
      <w:pPr>
        <w:jc w:val="both"/>
        <w:rPr>
          <w:b/>
          <w:sz w:val="20"/>
          <w:szCs w:val="20"/>
        </w:rPr>
      </w:pPr>
    </w:p>
    <w:p w14:paraId="2AD878C8" w14:textId="77777777" w:rsidR="00E27841" w:rsidRDefault="00E27841" w:rsidP="00E27841">
      <w:pPr>
        <w:jc w:val="both"/>
        <w:rPr>
          <w:color w:val="7B7B7B" w:themeColor="accent3" w:themeShade="BF"/>
          <w:sz w:val="20"/>
          <w:szCs w:val="20"/>
        </w:rPr>
      </w:pPr>
    </w:p>
    <w:p w14:paraId="14EED436" w14:textId="77777777" w:rsidR="00E27841" w:rsidRDefault="00E27841" w:rsidP="00E27841">
      <w:pPr>
        <w:jc w:val="both"/>
        <w:rPr>
          <w:color w:val="7B7B7B" w:themeColor="accent3" w:themeShade="BF"/>
          <w:sz w:val="20"/>
          <w:szCs w:val="20"/>
        </w:rPr>
      </w:pPr>
    </w:p>
    <w:p w14:paraId="294FE75F" w14:textId="77777777" w:rsidR="00E27841" w:rsidRDefault="00E27841" w:rsidP="00E27841"/>
    <w:p w14:paraId="3D68E34B" w14:textId="77777777" w:rsidR="00E27841" w:rsidRDefault="00E27841" w:rsidP="00E27841"/>
    <w:p w14:paraId="7BE488D6" w14:textId="77777777" w:rsidR="00E27841" w:rsidRDefault="00E27841" w:rsidP="00E27841">
      <w:r>
        <w:rPr>
          <w:noProof/>
        </w:rPr>
        <w:lastRenderedPageBreak/>
        <w:drawing>
          <wp:inline distT="0" distB="0" distL="0" distR="0" wp14:anchorId="0585AEF5" wp14:editId="749591DE">
            <wp:extent cx="4470400" cy="554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S1-REVIS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7CB8" w14:textId="77777777" w:rsidR="00E27841" w:rsidRDefault="00E27841" w:rsidP="00E27841">
      <w:pPr>
        <w:jc w:val="both"/>
        <w:rPr>
          <w:sz w:val="20"/>
          <w:szCs w:val="20"/>
        </w:rPr>
      </w:pPr>
    </w:p>
    <w:p w14:paraId="225765CE" w14:textId="269CA8FB" w:rsidR="00E27841" w:rsidRDefault="00E27841" w:rsidP="00E27841">
      <w:pPr>
        <w:jc w:val="both"/>
        <w:rPr>
          <w:sz w:val="20"/>
          <w:szCs w:val="20"/>
        </w:rPr>
      </w:pPr>
      <w:r>
        <w:rPr>
          <w:sz w:val="20"/>
          <w:szCs w:val="20"/>
        </w:rPr>
        <w:t>Figure S</w:t>
      </w:r>
      <w:r w:rsidRPr="00181090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(A) Illustration of the </w:t>
      </w:r>
      <w:proofErr w:type="spellStart"/>
      <w:r>
        <w:rPr>
          <w:sz w:val="20"/>
          <w:szCs w:val="20"/>
        </w:rPr>
        <w:t>prepFAST</w:t>
      </w:r>
      <w:proofErr w:type="spellEnd"/>
      <w:r>
        <w:rPr>
          <w:sz w:val="20"/>
          <w:szCs w:val="20"/>
        </w:rPr>
        <w:t xml:space="preserve">-MC device automated system (ULPA filter and polypropylene enclosure was not used at Southampton), the equipment </w:t>
      </w:r>
      <w:r w:rsidR="001B50D2">
        <w:rPr>
          <w:sz w:val="20"/>
          <w:szCs w:val="20"/>
        </w:rPr>
        <w:t>uses</w:t>
      </w:r>
      <w:r>
        <w:rPr>
          <w:sz w:val="20"/>
          <w:szCs w:val="20"/>
        </w:rPr>
        <w:t xml:space="preserve"> reagents (Milli-Q and 0.5M HNO</w:t>
      </w:r>
      <w:r w:rsidRPr="00F14B8F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) that are taken up according to the protocol described in Table 2, and dispensed to various locations thanks to a rotary multivalve (valve V1). Reagents are </w:t>
      </w:r>
      <w:r w:rsidR="00AA54BD">
        <w:rPr>
          <w:sz w:val="20"/>
          <w:szCs w:val="20"/>
        </w:rPr>
        <w:t>taken up</w:t>
      </w:r>
      <w:r>
        <w:rPr>
          <w:sz w:val="20"/>
          <w:szCs w:val="20"/>
        </w:rPr>
        <w:t xml:space="preserve"> in a coil (not illustrated) before being dispensed to</w:t>
      </w:r>
      <w:r w:rsidR="00AA54BD">
        <w:rPr>
          <w:sz w:val="20"/>
          <w:szCs w:val="20"/>
        </w:rPr>
        <w:t xml:space="preserve"> either</w:t>
      </w:r>
      <w:r>
        <w:rPr>
          <w:sz w:val="20"/>
          <w:szCs w:val="20"/>
        </w:rPr>
        <w:t xml:space="preserve"> the probe (bypassing the column)</w:t>
      </w:r>
      <w:r w:rsidR="00AA54BD">
        <w:rPr>
          <w:sz w:val="20"/>
          <w:szCs w:val="20"/>
        </w:rPr>
        <w:t>,</w:t>
      </w:r>
      <w:r>
        <w:rPr>
          <w:sz w:val="20"/>
          <w:szCs w:val="20"/>
        </w:rPr>
        <w:t xml:space="preserve"> the column </w:t>
      </w:r>
      <w:r w:rsidR="00AA54BD">
        <w:rPr>
          <w:sz w:val="20"/>
          <w:szCs w:val="20"/>
        </w:rPr>
        <w:t>(</w:t>
      </w:r>
      <w:r>
        <w:rPr>
          <w:sz w:val="20"/>
          <w:szCs w:val="20"/>
        </w:rPr>
        <w:t>in forward or reverse flow</w:t>
      </w:r>
      <w:r w:rsidR="00AA54BD">
        <w:rPr>
          <w:sz w:val="20"/>
          <w:szCs w:val="20"/>
        </w:rPr>
        <w:t>) or the waste</w:t>
      </w:r>
      <w:r>
        <w:rPr>
          <w:sz w:val="20"/>
          <w:szCs w:val="20"/>
        </w:rPr>
        <w:t xml:space="preserve">. Syringes control the flow through the system via valve V2 that is connected to the coil and valve 1 </w:t>
      </w:r>
      <w:r w:rsidR="00AA54BD">
        <w:rPr>
          <w:sz w:val="20"/>
          <w:szCs w:val="20"/>
        </w:rPr>
        <w:t>in order to</w:t>
      </w:r>
      <w:r>
        <w:rPr>
          <w:sz w:val="20"/>
          <w:szCs w:val="20"/>
        </w:rPr>
        <w:t xml:space="preserve"> take up or dispense reagents</w:t>
      </w:r>
      <w:r w:rsidR="00AA54BD">
        <w:rPr>
          <w:sz w:val="20"/>
          <w:szCs w:val="20"/>
        </w:rPr>
        <w:t xml:space="preserve"> with controlled volume and flow rate</w:t>
      </w:r>
      <w:r>
        <w:rPr>
          <w:sz w:val="20"/>
          <w:szCs w:val="20"/>
        </w:rPr>
        <w:t xml:space="preserve">. A separate milli-Q bottle (DI water on the illustration) rinses the line through valve 2, coil, valve 1 and to waste between each action of reagents take up/dispensing. (B) Hand-made Teflon micro-column used with the standard method </w:t>
      </w:r>
      <w:r w:rsidRPr="00181090">
        <w:rPr>
          <w:sz w:val="20"/>
          <w:szCs w:val="20"/>
        </w:rPr>
        <w:t>and</w:t>
      </w:r>
      <w:r>
        <w:rPr>
          <w:sz w:val="20"/>
          <w:szCs w:val="20"/>
        </w:rPr>
        <w:t xml:space="preserve"> (C)</w:t>
      </w:r>
      <w:r w:rsidRPr="00181090">
        <w:rPr>
          <w:sz w:val="20"/>
          <w:szCs w:val="20"/>
        </w:rPr>
        <w:t xml:space="preserve"> </w:t>
      </w:r>
      <w:proofErr w:type="spellStart"/>
      <w:r w:rsidRPr="00181090">
        <w:rPr>
          <w:sz w:val="20"/>
          <w:szCs w:val="20"/>
        </w:rPr>
        <w:t>prepFAST</w:t>
      </w:r>
      <w:proofErr w:type="spellEnd"/>
      <w:r w:rsidRPr="00181090">
        <w:rPr>
          <w:sz w:val="20"/>
          <w:szCs w:val="20"/>
        </w:rPr>
        <w:t xml:space="preserve"> column</w:t>
      </w:r>
      <w:r w:rsidR="001B50D2">
        <w:rPr>
          <w:sz w:val="20"/>
          <w:szCs w:val="20"/>
        </w:rPr>
        <w:t>,</w:t>
      </w:r>
      <w:r>
        <w:rPr>
          <w:sz w:val="20"/>
          <w:szCs w:val="20"/>
        </w:rPr>
        <w:t xml:space="preserve"> both</w:t>
      </w:r>
      <w:r w:rsidRPr="00181090">
        <w:rPr>
          <w:sz w:val="20"/>
          <w:szCs w:val="20"/>
        </w:rPr>
        <w:t xml:space="preserve"> filled with Amberlite resin IRA743</w:t>
      </w:r>
      <w:r>
        <w:rPr>
          <w:sz w:val="20"/>
          <w:szCs w:val="20"/>
        </w:rPr>
        <w:t>. Red arrows indicate direction of flow forward (F) or reverse (R).</w:t>
      </w:r>
    </w:p>
    <w:p w14:paraId="0DE943D7" w14:textId="77777777" w:rsidR="00E27841" w:rsidRDefault="00E27841" w:rsidP="00E27841">
      <w:pPr>
        <w:jc w:val="both"/>
        <w:rPr>
          <w:sz w:val="20"/>
          <w:szCs w:val="20"/>
        </w:rPr>
      </w:pPr>
    </w:p>
    <w:p w14:paraId="48DC44D4" w14:textId="77777777" w:rsidR="00E27841" w:rsidRDefault="00E27841" w:rsidP="00E27841"/>
    <w:p w14:paraId="45495BEC" w14:textId="77777777" w:rsidR="00E27841" w:rsidRDefault="00E27841" w:rsidP="00E27841"/>
    <w:p w14:paraId="2A583D95" w14:textId="77777777" w:rsidR="00E27841" w:rsidRDefault="00E27841" w:rsidP="00E2784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909D993" wp14:editId="79ECB3D7">
            <wp:extent cx="57277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ic-column-chemistry-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5699" w14:textId="449CBC99" w:rsidR="00E27841" w:rsidRDefault="00E27841" w:rsidP="00E27841">
      <w:pPr>
        <w:jc w:val="both"/>
        <w:rPr>
          <w:sz w:val="20"/>
          <w:szCs w:val="20"/>
        </w:rPr>
      </w:pPr>
      <w:r w:rsidRPr="004E7C57">
        <w:rPr>
          <w:sz w:val="20"/>
          <w:szCs w:val="20"/>
        </w:rPr>
        <w:t>Fig S2. Illustration of ion exchange chromatography. Buffered sample is loaded onto a resin (</w:t>
      </w:r>
      <w:r w:rsidR="00AA54BD">
        <w:rPr>
          <w:sz w:val="20"/>
          <w:szCs w:val="20"/>
        </w:rPr>
        <w:t>A</w:t>
      </w:r>
      <w:r w:rsidRPr="004E7C57">
        <w:rPr>
          <w:sz w:val="20"/>
          <w:szCs w:val="20"/>
        </w:rPr>
        <w:t xml:space="preserve">) preconditioned with milli-Q </w:t>
      </w:r>
      <w:r>
        <w:rPr>
          <w:sz w:val="20"/>
          <w:szCs w:val="20"/>
        </w:rPr>
        <w:t xml:space="preserve">water </w:t>
      </w:r>
      <w:r w:rsidRPr="004E7C57">
        <w:rPr>
          <w:sz w:val="20"/>
          <w:szCs w:val="20"/>
        </w:rPr>
        <w:t>(increasing the partition coefficient K</w:t>
      </w:r>
      <w:r w:rsidRPr="004E7C57">
        <w:rPr>
          <w:sz w:val="20"/>
          <w:szCs w:val="20"/>
          <w:vertAlign w:val="subscript"/>
        </w:rPr>
        <w:t>D</w:t>
      </w:r>
      <w:r w:rsidRPr="004E7C57">
        <w:rPr>
          <w:sz w:val="20"/>
          <w:szCs w:val="20"/>
        </w:rPr>
        <w:t xml:space="preserve"> between boron and resin to 10</w:t>
      </w:r>
      <w:r w:rsidRPr="004E7C57">
        <w:rPr>
          <w:sz w:val="20"/>
          <w:szCs w:val="20"/>
          <w:vertAlign w:val="superscript"/>
        </w:rPr>
        <w:t>4</w:t>
      </w:r>
      <w:r w:rsidRPr="004E7C57">
        <w:rPr>
          <w:sz w:val="20"/>
          <w:szCs w:val="20"/>
        </w:rPr>
        <w:t>). Matrix is removed with milli-Q</w:t>
      </w:r>
      <w:r w:rsidR="001B50D2">
        <w:rPr>
          <w:sz w:val="20"/>
          <w:szCs w:val="20"/>
        </w:rPr>
        <w:t xml:space="preserve"> water</w:t>
      </w:r>
      <w:r w:rsidRPr="004E7C57">
        <w:rPr>
          <w:sz w:val="20"/>
          <w:szCs w:val="20"/>
        </w:rPr>
        <w:t xml:space="preserve"> (</w:t>
      </w:r>
      <w:r w:rsidR="00AA54BD">
        <w:rPr>
          <w:sz w:val="20"/>
          <w:szCs w:val="20"/>
        </w:rPr>
        <w:t>B</w:t>
      </w:r>
      <w:r w:rsidRPr="004E7C57">
        <w:rPr>
          <w:sz w:val="20"/>
          <w:szCs w:val="20"/>
        </w:rPr>
        <w:t>), and boron eluted with 0.5M nitric acid (</w:t>
      </w:r>
      <w:r w:rsidR="00AA54BD">
        <w:rPr>
          <w:sz w:val="20"/>
          <w:szCs w:val="20"/>
        </w:rPr>
        <w:t>C</w:t>
      </w:r>
      <w:r w:rsidRPr="004E7C57">
        <w:rPr>
          <w:sz w:val="20"/>
          <w:szCs w:val="20"/>
        </w:rPr>
        <w:t xml:space="preserve">). </w:t>
      </w:r>
    </w:p>
    <w:p w14:paraId="16E9DA6A" w14:textId="77777777" w:rsidR="00E27841" w:rsidRDefault="00E27841" w:rsidP="00E27841">
      <w:pPr>
        <w:jc w:val="both"/>
        <w:rPr>
          <w:sz w:val="20"/>
          <w:szCs w:val="20"/>
        </w:rPr>
      </w:pPr>
    </w:p>
    <w:p w14:paraId="246CDC24" w14:textId="77777777" w:rsidR="00E27841" w:rsidRDefault="00E27841" w:rsidP="00E27841">
      <w:pPr>
        <w:jc w:val="both"/>
        <w:rPr>
          <w:sz w:val="20"/>
          <w:szCs w:val="20"/>
        </w:rPr>
      </w:pPr>
    </w:p>
    <w:p w14:paraId="7F461D6D" w14:textId="77777777" w:rsidR="00E27841" w:rsidRDefault="00E27841" w:rsidP="00E2784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C3E56" wp14:editId="38B02D34">
            <wp:extent cx="5727700" cy="2534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set-vs-Na-mass-un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E252" w14:textId="77777777" w:rsidR="00E27841" w:rsidRDefault="00E27841" w:rsidP="00E27841">
      <w:pPr>
        <w:tabs>
          <w:tab w:val="left" w:pos="1019"/>
        </w:tabs>
        <w:rPr>
          <w:sz w:val="20"/>
          <w:szCs w:val="20"/>
        </w:rPr>
      </w:pPr>
    </w:p>
    <w:p w14:paraId="246E4A38" w14:textId="77777777" w:rsidR="00E27841" w:rsidRPr="00A512C1" w:rsidRDefault="00E27841" w:rsidP="00E27841">
      <w:pPr>
        <w:tabs>
          <w:tab w:val="left" w:pos="1019"/>
        </w:tabs>
        <w:rPr>
          <w:sz w:val="20"/>
          <w:szCs w:val="20"/>
        </w:rPr>
      </w:pPr>
      <w:r>
        <w:rPr>
          <w:sz w:val="20"/>
          <w:szCs w:val="20"/>
        </w:rPr>
        <w:t xml:space="preserve">Fig S3. </w:t>
      </w:r>
      <w:r w:rsidRPr="004E44FF">
        <w:rPr>
          <w:rFonts w:ascii="Cambria" w:hAnsi="Cambria"/>
          <w:sz w:val="20"/>
          <w:szCs w:val="20"/>
        </w:rPr>
        <w:t>δ</w:t>
      </w:r>
      <w:r w:rsidRPr="004E44FF">
        <w:rPr>
          <w:sz w:val="20"/>
          <w:szCs w:val="20"/>
          <w:vertAlign w:val="superscript"/>
        </w:rPr>
        <w:t>11</w:t>
      </w:r>
      <w:r w:rsidRPr="004E44FF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o</w:t>
      </w:r>
      <w:r w:rsidRPr="00CD4C91">
        <w:rPr>
          <w:sz w:val="20"/>
          <w:szCs w:val="20"/>
        </w:rPr>
        <w:t>ffset</w:t>
      </w:r>
      <w:r>
        <w:rPr>
          <w:sz w:val="20"/>
          <w:szCs w:val="20"/>
        </w:rPr>
        <w:t xml:space="preserve"> between the </w:t>
      </w:r>
      <w:proofErr w:type="spellStart"/>
      <w:r>
        <w:rPr>
          <w:sz w:val="20"/>
          <w:szCs w:val="20"/>
        </w:rPr>
        <w:t>prepFAST</w:t>
      </w:r>
      <w:proofErr w:type="spellEnd"/>
      <w:r>
        <w:rPr>
          <w:sz w:val="20"/>
          <w:szCs w:val="20"/>
        </w:rPr>
        <w:t xml:space="preserve"> and manual standard</w:t>
      </w:r>
      <w:r w:rsidRPr="00CD4C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method </w:t>
      </w:r>
      <w:r w:rsidRPr="00CD4C91">
        <w:rPr>
          <w:sz w:val="20"/>
          <w:szCs w:val="20"/>
        </w:rPr>
        <w:t>as a function of Na in purified samples</w:t>
      </w:r>
      <w:r>
        <w:rPr>
          <w:sz w:val="20"/>
          <w:szCs w:val="20"/>
        </w:rPr>
        <w:t>. (r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=0.04. p=0.20) showing no correlation between the two. </w:t>
      </w:r>
    </w:p>
    <w:p w14:paraId="3622056F" w14:textId="77777777" w:rsidR="00E27841" w:rsidRDefault="00E27841" w:rsidP="00E27841">
      <w:pPr>
        <w:tabs>
          <w:tab w:val="left" w:pos="1019"/>
        </w:tabs>
        <w:rPr>
          <w:b/>
          <w:color w:val="FF0000"/>
          <w:sz w:val="20"/>
          <w:szCs w:val="20"/>
          <w:lang w:val="en-US"/>
        </w:rPr>
      </w:pPr>
    </w:p>
    <w:p w14:paraId="52374AEA" w14:textId="77777777" w:rsidR="00E27841" w:rsidRDefault="00E27841" w:rsidP="00E27841">
      <w:pPr>
        <w:tabs>
          <w:tab w:val="left" w:pos="1019"/>
        </w:tabs>
        <w:rPr>
          <w:b/>
          <w:color w:val="FF0000"/>
          <w:sz w:val="20"/>
          <w:szCs w:val="20"/>
          <w:lang w:val="en-US"/>
        </w:rPr>
      </w:pPr>
    </w:p>
    <w:p w14:paraId="2E41D9D0" w14:textId="77777777" w:rsidR="00E27841" w:rsidRPr="005F6685" w:rsidRDefault="00E27841" w:rsidP="00E27841">
      <w:pPr>
        <w:tabs>
          <w:tab w:val="left" w:pos="1019"/>
        </w:tabs>
        <w:rPr>
          <w:b/>
          <w:color w:val="FF0000"/>
          <w:sz w:val="20"/>
          <w:szCs w:val="20"/>
          <w:lang w:val="en-US"/>
        </w:rPr>
      </w:pPr>
    </w:p>
    <w:p w14:paraId="2F4DBC22" w14:textId="77777777" w:rsidR="00E27841" w:rsidRDefault="00E27841" w:rsidP="00E27841">
      <w:pPr>
        <w:tabs>
          <w:tab w:val="left" w:pos="101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54372756" w14:textId="77777777" w:rsidR="00E27841" w:rsidRDefault="00E27841" w:rsidP="00E27841"/>
    <w:p w14:paraId="62ECF6EA" w14:textId="77777777" w:rsidR="00E27841" w:rsidRDefault="00E27841" w:rsidP="00E27841">
      <w:pPr>
        <w:tabs>
          <w:tab w:val="left" w:pos="1019"/>
        </w:tabs>
        <w:rPr>
          <w:sz w:val="20"/>
          <w:szCs w:val="20"/>
          <w:lang w:val="en-US"/>
        </w:rPr>
      </w:pPr>
    </w:p>
    <w:p w14:paraId="37C965B2" w14:textId="77777777" w:rsidR="00E27841" w:rsidRDefault="00E27841" w:rsidP="00E27841">
      <w:pPr>
        <w:tabs>
          <w:tab w:val="left" w:pos="1019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59C2F410" wp14:editId="2719F14A">
            <wp:extent cx="5727700" cy="5443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-S4-REVIS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2CB7" w14:textId="77777777" w:rsidR="00E27841" w:rsidRPr="00400E3E" w:rsidRDefault="00E27841" w:rsidP="00E27841">
      <w:pPr>
        <w:tabs>
          <w:tab w:val="left" w:pos="101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Fig S4. (A) Boron yield and (B) elution check as a function of speed of sample load.  </w:t>
      </w:r>
    </w:p>
    <w:p w14:paraId="2C733429" w14:textId="77777777" w:rsidR="00E27841" w:rsidRDefault="00E27841" w:rsidP="00E27841"/>
    <w:p w14:paraId="5AA4CDE7" w14:textId="77777777" w:rsidR="00E27841" w:rsidRDefault="00E27841" w:rsidP="00E27841"/>
    <w:p w14:paraId="7F7BFBEB" w14:textId="77777777" w:rsidR="00E27841" w:rsidRDefault="00E27841" w:rsidP="00E27841"/>
    <w:p w14:paraId="527C60E1" w14:textId="77777777" w:rsidR="00E27841" w:rsidRDefault="00E27841" w:rsidP="00E27841">
      <w:r>
        <w:fldChar w:fldCharType="begin"/>
      </w:r>
      <w:r>
        <w:instrText xml:space="preserve"> ADDIN EN.REFLIST </w:instrText>
      </w:r>
      <w:r>
        <w:fldChar w:fldCharType="end"/>
      </w:r>
    </w:p>
    <w:p w14:paraId="3275D7A6" w14:textId="77777777" w:rsidR="009C74F2" w:rsidRDefault="009C74F2"/>
    <w:sectPr w:rsidR="009C74F2" w:rsidSect="00C604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8cd5c63f.I">
    <w:altName w:val="Cambria"/>
    <w:panose1 w:val="020B0604020202020204"/>
    <w:charset w:val="00"/>
    <w:family w:val="roman"/>
    <w:notTrueType/>
    <w:pitch w:val="default"/>
  </w:font>
  <w:font w:name="Lato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41"/>
    <w:rsid w:val="0009103C"/>
    <w:rsid w:val="000C73B6"/>
    <w:rsid w:val="00164E49"/>
    <w:rsid w:val="001A5428"/>
    <w:rsid w:val="001B50D2"/>
    <w:rsid w:val="00291F71"/>
    <w:rsid w:val="002F0C14"/>
    <w:rsid w:val="003D2ECB"/>
    <w:rsid w:val="00426167"/>
    <w:rsid w:val="00457AC9"/>
    <w:rsid w:val="00477B82"/>
    <w:rsid w:val="004E0567"/>
    <w:rsid w:val="005E7BB6"/>
    <w:rsid w:val="006607F0"/>
    <w:rsid w:val="0077216B"/>
    <w:rsid w:val="007D3F44"/>
    <w:rsid w:val="007D5143"/>
    <w:rsid w:val="00992AB2"/>
    <w:rsid w:val="009B2356"/>
    <w:rsid w:val="009C74F2"/>
    <w:rsid w:val="00A00A77"/>
    <w:rsid w:val="00A94224"/>
    <w:rsid w:val="00AA54BD"/>
    <w:rsid w:val="00AA63FC"/>
    <w:rsid w:val="00C604D1"/>
    <w:rsid w:val="00CC118A"/>
    <w:rsid w:val="00D33757"/>
    <w:rsid w:val="00D3672F"/>
    <w:rsid w:val="00DB1765"/>
    <w:rsid w:val="00DE4922"/>
    <w:rsid w:val="00E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2386D"/>
  <w15:chartTrackingRefBased/>
  <w15:docId w15:val="{D875E894-CE37-7745-A293-30A4708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4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BD"/>
    <w:rPr>
      <w:rFonts w:ascii="Times New Roman" w:hAnsi="Times New Roman" w:cs="Times New Roman"/>
      <w:sz w:val="18"/>
      <w:szCs w:val="18"/>
    </w:rPr>
  </w:style>
  <w:style w:type="paragraph" w:customStyle="1" w:styleId="ADDRESS">
    <w:name w:val="ADDRESS"/>
    <w:rsid w:val="001B50D2"/>
    <w:pPr>
      <w:spacing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1B5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elwyndlv@orange.fr</dc:creator>
  <cp:keywords/>
  <dc:description/>
  <cp:lastModifiedBy>John Monaghan</cp:lastModifiedBy>
  <cp:revision>2</cp:revision>
  <dcterms:created xsi:type="dcterms:W3CDTF">2020-02-17T14:33:00Z</dcterms:created>
  <dcterms:modified xsi:type="dcterms:W3CDTF">2020-02-17T14:33:00Z</dcterms:modified>
</cp:coreProperties>
</file>