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184DA" w14:textId="736A2A3A" w:rsidR="00CE6EAA" w:rsidRPr="00BF1BF9" w:rsidRDefault="00AD3ED9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Journal of Geophysical Research: Oceans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3E6E42CF" w:rsidR="00FF3503" w:rsidRPr="00037612" w:rsidRDefault="00AD3ED9" w:rsidP="00AD3ED9">
      <w:pPr>
        <w:spacing w:before="100" w:beforeAutospacing="1" w:after="100" w:afterAutospacing="1"/>
        <w:jc w:val="center"/>
        <w:rPr>
          <w:rFonts w:ascii="Myriad Pro" w:hAnsi="Myriad Pro"/>
          <w:b/>
          <w:szCs w:val="24"/>
        </w:rPr>
      </w:pPr>
      <w:r w:rsidRPr="00037612">
        <w:rPr>
          <w:rFonts w:ascii="Myriad Pro" w:hAnsi="Myriad Pro"/>
          <w:b/>
          <w:szCs w:val="24"/>
        </w:rPr>
        <w:t>Changing spatial pattern of deep convection in the subpolar North Atlantic</w:t>
      </w:r>
    </w:p>
    <w:p w14:paraId="42FFC78E" w14:textId="416B8A99" w:rsidR="00FF3503" w:rsidRDefault="00AD3ED9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AD3ED9">
        <w:rPr>
          <w:rFonts w:ascii="Myriad Pro" w:hAnsi="Myriad Pro"/>
          <w:sz w:val="22"/>
          <w:szCs w:val="22"/>
        </w:rPr>
        <w:t>Siren Rühs</w:t>
      </w:r>
      <w:r w:rsidRPr="00AD3ED9">
        <w:rPr>
          <w:rFonts w:ascii="Myriad Pro" w:hAnsi="Myriad Pro"/>
          <w:sz w:val="22"/>
          <w:szCs w:val="22"/>
          <w:vertAlign w:val="superscript"/>
        </w:rPr>
        <w:t>1,2</w:t>
      </w:r>
      <w:r w:rsidRPr="00AD3ED9">
        <w:rPr>
          <w:rFonts w:ascii="Myriad Pro" w:hAnsi="Myriad Pro"/>
          <w:sz w:val="22"/>
          <w:szCs w:val="22"/>
        </w:rPr>
        <w:t xml:space="preserve">, Eric </w:t>
      </w:r>
      <w:r w:rsidR="00C92539">
        <w:rPr>
          <w:rFonts w:ascii="Myriad Pro" w:hAnsi="Myriad Pro"/>
          <w:sz w:val="22"/>
          <w:szCs w:val="22"/>
        </w:rPr>
        <w:t xml:space="preserve">C. J. </w:t>
      </w:r>
      <w:r w:rsidRPr="00AD3ED9">
        <w:rPr>
          <w:rFonts w:ascii="Myriad Pro" w:hAnsi="Myriad Pro"/>
          <w:sz w:val="22"/>
          <w:szCs w:val="22"/>
        </w:rPr>
        <w:t>Oliver</w:t>
      </w:r>
      <w:r w:rsidRPr="00AD3ED9">
        <w:rPr>
          <w:rFonts w:ascii="Myriad Pro" w:hAnsi="Myriad Pro"/>
          <w:sz w:val="22"/>
          <w:szCs w:val="22"/>
          <w:vertAlign w:val="superscript"/>
        </w:rPr>
        <w:t>1</w:t>
      </w:r>
      <w:r w:rsidRPr="00AD3ED9">
        <w:rPr>
          <w:rFonts w:ascii="Myriad Pro" w:hAnsi="Myriad Pro"/>
          <w:sz w:val="22"/>
          <w:szCs w:val="22"/>
        </w:rPr>
        <w:t>, Arne Biastoch</w:t>
      </w:r>
      <w:r w:rsidRPr="00AD3ED9">
        <w:rPr>
          <w:rFonts w:ascii="Myriad Pro" w:hAnsi="Myriad Pro"/>
          <w:sz w:val="22"/>
          <w:szCs w:val="22"/>
          <w:vertAlign w:val="superscript"/>
        </w:rPr>
        <w:t>2,3</w:t>
      </w:r>
      <w:r w:rsidRPr="00AD3ED9">
        <w:rPr>
          <w:rFonts w:ascii="Myriad Pro" w:hAnsi="Myriad Pro"/>
          <w:sz w:val="22"/>
          <w:szCs w:val="22"/>
        </w:rPr>
        <w:t>, Claus W. Böning</w:t>
      </w:r>
      <w:r w:rsidRPr="00AD3ED9">
        <w:rPr>
          <w:rFonts w:ascii="Myriad Pro" w:hAnsi="Myriad Pro"/>
          <w:sz w:val="22"/>
          <w:szCs w:val="22"/>
          <w:vertAlign w:val="superscript"/>
        </w:rPr>
        <w:t>2</w:t>
      </w:r>
      <w:r w:rsidRPr="00AD3ED9">
        <w:rPr>
          <w:rFonts w:ascii="Myriad Pro" w:hAnsi="Myriad Pro"/>
          <w:sz w:val="22"/>
          <w:szCs w:val="22"/>
        </w:rPr>
        <w:t>, Michael Dowd</w:t>
      </w:r>
      <w:r w:rsidRPr="00AD3ED9">
        <w:rPr>
          <w:rFonts w:ascii="Myriad Pro" w:hAnsi="Myriad Pro"/>
          <w:sz w:val="22"/>
          <w:szCs w:val="22"/>
          <w:vertAlign w:val="superscript"/>
        </w:rPr>
        <w:t>4</w:t>
      </w:r>
      <w:r w:rsidRPr="00AD3ED9">
        <w:rPr>
          <w:rFonts w:ascii="Myriad Pro" w:hAnsi="Myriad Pro"/>
          <w:sz w:val="22"/>
          <w:szCs w:val="22"/>
        </w:rPr>
        <w:t>, Klaus Getzlaff</w:t>
      </w:r>
      <w:r w:rsidRPr="00AD3ED9">
        <w:rPr>
          <w:rFonts w:ascii="Myriad Pro" w:hAnsi="Myriad Pro"/>
          <w:sz w:val="22"/>
          <w:szCs w:val="22"/>
          <w:vertAlign w:val="superscript"/>
        </w:rPr>
        <w:t>2</w:t>
      </w:r>
      <w:r w:rsidRPr="00AD3ED9">
        <w:rPr>
          <w:rFonts w:ascii="Myriad Pro" w:hAnsi="Myriad Pro"/>
          <w:sz w:val="22"/>
          <w:szCs w:val="22"/>
        </w:rPr>
        <w:t xml:space="preserve">, </w:t>
      </w:r>
      <w:r w:rsidR="005D75D4">
        <w:rPr>
          <w:rFonts w:ascii="Myriad Pro" w:hAnsi="Myriad Pro"/>
          <w:sz w:val="22"/>
          <w:szCs w:val="22"/>
        </w:rPr>
        <w:t>Torge Martin</w:t>
      </w:r>
      <w:r w:rsidR="005D75D4" w:rsidRPr="00E17271">
        <w:rPr>
          <w:rFonts w:ascii="Myriad Pro" w:hAnsi="Myriad Pro"/>
          <w:sz w:val="22"/>
          <w:szCs w:val="22"/>
          <w:vertAlign w:val="superscript"/>
        </w:rPr>
        <w:t>2</w:t>
      </w:r>
      <w:r w:rsidR="005D75D4">
        <w:rPr>
          <w:rFonts w:ascii="Myriad Pro" w:hAnsi="Myriad Pro"/>
          <w:sz w:val="22"/>
          <w:szCs w:val="22"/>
        </w:rPr>
        <w:t xml:space="preserve">, </w:t>
      </w:r>
      <w:r w:rsidRPr="00AD3ED9">
        <w:rPr>
          <w:rFonts w:ascii="Myriad Pro" w:hAnsi="Myriad Pro"/>
          <w:sz w:val="22"/>
          <w:szCs w:val="22"/>
        </w:rPr>
        <w:t>Paul G. Myers</w:t>
      </w:r>
      <w:r w:rsidRPr="00AD3ED9">
        <w:rPr>
          <w:rFonts w:ascii="Myriad Pro" w:hAnsi="Myriad Pro"/>
          <w:sz w:val="22"/>
          <w:szCs w:val="22"/>
          <w:vertAlign w:val="superscript"/>
        </w:rPr>
        <w:t>5</w:t>
      </w:r>
    </w:p>
    <w:p w14:paraId="0329FD35" w14:textId="77777777" w:rsidR="00AD3ED9" w:rsidRDefault="00AD3ED9" w:rsidP="00AD3ED9">
      <w:pPr>
        <w:jc w:val="center"/>
        <w:rPr>
          <w:rFonts w:ascii="Myriad Pro" w:hAnsi="Myriad Pro"/>
          <w:sz w:val="18"/>
          <w:szCs w:val="18"/>
        </w:rPr>
      </w:pPr>
      <w:r w:rsidRPr="00AD3ED9">
        <w:rPr>
          <w:rFonts w:ascii="Myriad Pro" w:hAnsi="Myriad Pro"/>
          <w:sz w:val="18"/>
          <w:szCs w:val="18"/>
          <w:vertAlign w:val="superscript"/>
        </w:rPr>
        <w:t>1</w:t>
      </w:r>
      <w:r w:rsidRPr="00AD3ED9">
        <w:rPr>
          <w:rFonts w:ascii="Myriad Pro" w:hAnsi="Myriad Pro"/>
          <w:sz w:val="18"/>
          <w:szCs w:val="18"/>
        </w:rPr>
        <w:t>Department of Oceanography, Dalhousie University, Halifax, Canada</w:t>
      </w:r>
    </w:p>
    <w:p w14:paraId="6FF845CF" w14:textId="0FC8B42A" w:rsidR="00AD3ED9" w:rsidRPr="00AD3ED9" w:rsidRDefault="00AD3ED9" w:rsidP="00AD3ED9">
      <w:pPr>
        <w:jc w:val="center"/>
        <w:rPr>
          <w:rFonts w:ascii="Myriad Pro" w:hAnsi="Myriad Pro"/>
          <w:sz w:val="18"/>
          <w:szCs w:val="18"/>
        </w:rPr>
      </w:pPr>
      <w:r w:rsidRPr="00AD3ED9">
        <w:rPr>
          <w:rFonts w:ascii="Myriad Pro" w:hAnsi="Myriad Pro"/>
          <w:sz w:val="18"/>
          <w:szCs w:val="18"/>
          <w:vertAlign w:val="superscript"/>
        </w:rPr>
        <w:t>2</w:t>
      </w:r>
      <w:r w:rsidRPr="00AD3ED9">
        <w:rPr>
          <w:rFonts w:ascii="Myriad Pro" w:hAnsi="Myriad Pro"/>
          <w:sz w:val="18"/>
          <w:szCs w:val="18"/>
        </w:rPr>
        <w:t>GEOMAR Helmholtz Cent</w:t>
      </w:r>
      <w:r w:rsidR="00C92539">
        <w:rPr>
          <w:rFonts w:ascii="Myriad Pro" w:hAnsi="Myriad Pro"/>
          <w:sz w:val="18"/>
          <w:szCs w:val="18"/>
        </w:rPr>
        <w:t>re</w:t>
      </w:r>
      <w:r w:rsidRPr="00AD3ED9">
        <w:rPr>
          <w:rFonts w:ascii="Myriad Pro" w:hAnsi="Myriad Pro"/>
          <w:sz w:val="18"/>
          <w:szCs w:val="18"/>
        </w:rPr>
        <w:t xml:space="preserve"> for Ocean Research Kiel, Kiel, Germany</w:t>
      </w:r>
    </w:p>
    <w:p w14:paraId="229AFB21" w14:textId="77777777" w:rsidR="00AD3ED9" w:rsidRPr="00AD3ED9" w:rsidRDefault="00AD3ED9" w:rsidP="00AD3ED9">
      <w:pPr>
        <w:jc w:val="center"/>
        <w:rPr>
          <w:rFonts w:ascii="Myriad Pro" w:hAnsi="Myriad Pro"/>
          <w:sz w:val="18"/>
          <w:szCs w:val="18"/>
          <w:lang w:val="de-DE"/>
        </w:rPr>
      </w:pPr>
      <w:r w:rsidRPr="00AD3ED9">
        <w:rPr>
          <w:rFonts w:ascii="Myriad Pro" w:hAnsi="Myriad Pro"/>
          <w:sz w:val="18"/>
          <w:szCs w:val="18"/>
          <w:vertAlign w:val="superscript"/>
          <w:lang w:val="de-DE"/>
        </w:rPr>
        <w:t>3</w:t>
      </w:r>
      <w:r w:rsidRPr="00AD3ED9">
        <w:rPr>
          <w:rFonts w:ascii="Myriad Pro" w:hAnsi="Myriad Pro"/>
          <w:sz w:val="18"/>
          <w:szCs w:val="18"/>
          <w:lang w:val="de-DE"/>
        </w:rPr>
        <w:t>Christian-Albrechts-Universität zu Kiel, Kiel, Germany</w:t>
      </w:r>
    </w:p>
    <w:p w14:paraId="2EA0EE3E" w14:textId="77777777" w:rsidR="00AD3ED9" w:rsidRPr="00AD3ED9" w:rsidRDefault="00AD3ED9" w:rsidP="00AD3ED9">
      <w:pPr>
        <w:jc w:val="center"/>
        <w:rPr>
          <w:rFonts w:ascii="Myriad Pro" w:hAnsi="Myriad Pro"/>
          <w:sz w:val="18"/>
          <w:szCs w:val="18"/>
        </w:rPr>
      </w:pPr>
      <w:r w:rsidRPr="00AD3ED9">
        <w:rPr>
          <w:rFonts w:ascii="Myriad Pro" w:hAnsi="Myriad Pro"/>
          <w:sz w:val="18"/>
          <w:szCs w:val="18"/>
          <w:vertAlign w:val="superscript"/>
        </w:rPr>
        <w:t>4</w:t>
      </w:r>
      <w:r w:rsidRPr="00AD3ED9">
        <w:rPr>
          <w:rFonts w:ascii="Myriad Pro" w:hAnsi="Myriad Pro"/>
          <w:sz w:val="18"/>
          <w:szCs w:val="18"/>
        </w:rPr>
        <w:t>Department of Mathematics &amp; Statistics, Dalhousie University, Halifax, Canada</w:t>
      </w:r>
    </w:p>
    <w:p w14:paraId="69976EF8" w14:textId="27DF2808" w:rsidR="00B77E40" w:rsidRPr="00B77E40" w:rsidRDefault="00AD3ED9" w:rsidP="00AD3ED9">
      <w:pPr>
        <w:jc w:val="center"/>
        <w:rPr>
          <w:rFonts w:ascii="Myriad Pro" w:hAnsi="Myriad Pro"/>
          <w:sz w:val="18"/>
          <w:szCs w:val="18"/>
        </w:rPr>
      </w:pPr>
      <w:r w:rsidRPr="00AD3ED9">
        <w:rPr>
          <w:rFonts w:ascii="Myriad Pro" w:hAnsi="Myriad Pro"/>
          <w:sz w:val="18"/>
          <w:szCs w:val="18"/>
          <w:vertAlign w:val="superscript"/>
        </w:rPr>
        <w:t>5</w:t>
      </w:r>
      <w:r w:rsidRPr="00AD3ED9">
        <w:rPr>
          <w:rFonts w:ascii="Myriad Pro" w:hAnsi="Myriad Pro"/>
          <w:sz w:val="18"/>
          <w:szCs w:val="18"/>
        </w:rPr>
        <w:t xml:space="preserve">Department of Earth and Atmospheric Sciences, University of Alberta, </w:t>
      </w:r>
      <w:r w:rsidR="00C92539">
        <w:rPr>
          <w:rFonts w:ascii="Myriad Pro" w:hAnsi="Myriad Pro"/>
          <w:sz w:val="18"/>
          <w:szCs w:val="18"/>
        </w:rPr>
        <w:t>Edmonton</w:t>
      </w:r>
      <w:r w:rsidRPr="00AD3ED9">
        <w:rPr>
          <w:rFonts w:ascii="Myriad Pro" w:hAnsi="Myriad Pro"/>
          <w:sz w:val="18"/>
          <w:szCs w:val="18"/>
        </w:rPr>
        <w:t>, Canada</w:t>
      </w:r>
    </w:p>
    <w:p w14:paraId="347237BD" w14:textId="42F102BC" w:rsidR="00094365" w:rsidRPr="00CE6EAA" w:rsidRDefault="00A50033" w:rsidP="00AD3ED9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10640459" w14:textId="7464F324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 w:rsidR="00560AF8">
        <w:rPr>
          <w:rFonts w:ascii="Myriad Pro" w:hAnsi="Myriad Pro"/>
          <w:sz w:val="22"/>
          <w:szCs w:val="22"/>
        </w:rPr>
        <w:t>9</w:t>
      </w:r>
    </w:p>
    <w:p w14:paraId="58131AB7" w14:textId="77777777" w:rsidR="00AD3ED9" w:rsidRPr="00E40896" w:rsidRDefault="00AD3ED9" w:rsidP="00037612">
      <w:pPr>
        <w:rPr>
          <w:rFonts w:ascii="Myriad Pro" w:hAnsi="Myriad Pro"/>
        </w:rPr>
      </w:pPr>
    </w:p>
    <w:p w14:paraId="2323E638" w14:textId="77777777" w:rsidR="00111843" w:rsidRPr="00CE6EAA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Additional Supporting Information (Files uploaded separately)</w:t>
      </w:r>
    </w:p>
    <w:p w14:paraId="3343B9AD" w14:textId="77777777" w:rsidR="00111843" w:rsidRPr="00E40896" w:rsidRDefault="00111843" w:rsidP="00111843">
      <w:pPr>
        <w:rPr>
          <w:rFonts w:ascii="Myriad Pro Light" w:hAnsi="Myriad Pro Light"/>
          <w:b/>
        </w:rPr>
      </w:pPr>
    </w:p>
    <w:p w14:paraId="795CD27E" w14:textId="736A23E9" w:rsidR="00111843" w:rsidRDefault="00111843" w:rsidP="00AD3ED9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Captions for Movies S1 to S</w:t>
      </w:r>
      <w:r w:rsidR="00AD3ED9">
        <w:rPr>
          <w:rFonts w:ascii="Myriad Pro" w:hAnsi="Myriad Pro"/>
          <w:sz w:val="22"/>
          <w:szCs w:val="22"/>
        </w:rPr>
        <w:t>2</w:t>
      </w:r>
    </w:p>
    <w:p w14:paraId="49F087C6" w14:textId="77777777" w:rsidR="00AD3ED9" w:rsidRPr="00AD3ED9" w:rsidRDefault="00AD3ED9" w:rsidP="00AD3ED9">
      <w:pPr>
        <w:ind w:left="720"/>
        <w:rPr>
          <w:rFonts w:ascii="Myriad Pro" w:hAnsi="Myriad Pro"/>
          <w:sz w:val="22"/>
          <w:szCs w:val="22"/>
        </w:rPr>
      </w:pP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19886F0B" w14:textId="54D8F549" w:rsidR="002C030F" w:rsidRPr="0024130A" w:rsidRDefault="0054432F" w:rsidP="009862CA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T</w:t>
      </w:r>
      <w:r w:rsidR="005013B8">
        <w:rPr>
          <w:rFonts w:ascii="Myriad Pro" w:hAnsi="Myriad Pro"/>
          <w:sz w:val="22"/>
          <w:szCs w:val="22"/>
        </w:rPr>
        <w:t>his supporting information includes several additional Figures that do support the argumentation within the main manuscript</w:t>
      </w:r>
      <w:r w:rsidR="00FB5E81">
        <w:rPr>
          <w:rFonts w:ascii="Myriad Pro" w:hAnsi="Myriad Pro"/>
          <w:sz w:val="22"/>
          <w:szCs w:val="22"/>
        </w:rPr>
        <w:t xml:space="preserve"> (Figure S1-S9)</w:t>
      </w:r>
      <w:r w:rsidR="005013B8">
        <w:rPr>
          <w:rFonts w:ascii="Myriad Pro" w:hAnsi="Myriad Pro"/>
          <w:sz w:val="22"/>
          <w:szCs w:val="22"/>
        </w:rPr>
        <w:t>.</w:t>
      </w:r>
      <w:r w:rsidR="007B53CF">
        <w:rPr>
          <w:rFonts w:ascii="Myriad Pro" w:hAnsi="Myriad Pro"/>
          <w:sz w:val="22"/>
          <w:szCs w:val="22"/>
        </w:rPr>
        <w:t xml:space="preserve"> </w:t>
      </w:r>
      <w:r w:rsidR="00FB5E81">
        <w:rPr>
          <w:rFonts w:ascii="Myriad Pro" w:hAnsi="Myriad Pro"/>
          <w:sz w:val="22"/>
          <w:szCs w:val="22"/>
        </w:rPr>
        <w:t>In particular, s</w:t>
      </w:r>
      <w:r w:rsidR="007B53CF">
        <w:rPr>
          <w:rFonts w:ascii="Myriad Pro" w:hAnsi="Myriad Pro"/>
          <w:sz w:val="22"/>
          <w:szCs w:val="22"/>
        </w:rPr>
        <w:t>upplementary Figures S7 and S8 illustrate the variability and associated source regions of upper ocean salinity in the north-western Labrador Sea</w:t>
      </w:r>
      <w:r w:rsidR="0085261B">
        <w:rPr>
          <w:rFonts w:ascii="Myriad Pro" w:hAnsi="Myriad Pro"/>
          <w:sz w:val="22"/>
          <w:szCs w:val="22"/>
        </w:rPr>
        <w:t>,</w:t>
      </w:r>
      <w:r w:rsidR="007B53CF">
        <w:rPr>
          <w:rFonts w:ascii="Myriad Pro" w:hAnsi="Myriad Pro"/>
          <w:sz w:val="22"/>
          <w:szCs w:val="22"/>
        </w:rPr>
        <w:t xml:space="preserve"> supporting the discussion in Section 4.2; the figures aim at providing modeled evidence that both enhanced input of Greenland meltwater into the boundary currents and the recent large-scale fresh anomaly in the eastern North Atlantic </w:t>
      </w:r>
      <w:bookmarkStart w:id="0" w:name="_GoBack"/>
      <w:bookmarkEnd w:id="0"/>
      <w:r w:rsidR="007B53CF">
        <w:rPr>
          <w:rFonts w:ascii="Myriad Pro" w:hAnsi="Myriad Pro"/>
          <w:sz w:val="22"/>
          <w:szCs w:val="22"/>
        </w:rPr>
        <w:t>influence the current evolution of salinity—and thus mixed layer depth—in this region.</w:t>
      </w:r>
      <w:r w:rsidR="00560AF8">
        <w:rPr>
          <w:rFonts w:ascii="Myriad Pro" w:hAnsi="Myriad Pro"/>
          <w:sz w:val="22"/>
          <w:szCs w:val="22"/>
        </w:rPr>
        <w:t xml:space="preserve"> In this respect we also show the evolution of the freshwater flux from Greenland as it is included in the forcing of SIM</w:t>
      </w:r>
      <w:r w:rsidR="00560AF8" w:rsidRPr="00E17271">
        <w:rPr>
          <w:rFonts w:ascii="Myriad Pro" w:hAnsi="Myriad Pro"/>
          <w:sz w:val="22"/>
          <w:szCs w:val="22"/>
          <w:vertAlign w:val="subscript"/>
        </w:rPr>
        <w:t>JRA</w:t>
      </w:r>
      <w:r w:rsidR="00560AF8">
        <w:rPr>
          <w:rFonts w:ascii="Myriad Pro" w:hAnsi="Myriad Pro"/>
          <w:sz w:val="22"/>
          <w:szCs w:val="22"/>
        </w:rPr>
        <w:t xml:space="preserve"> in Figure S9.</w:t>
      </w:r>
      <w:r w:rsidR="005013B8">
        <w:rPr>
          <w:rFonts w:ascii="Myriad Pro" w:hAnsi="Myriad Pro"/>
          <w:sz w:val="22"/>
          <w:szCs w:val="22"/>
        </w:rPr>
        <w:t xml:space="preserve"> Additionally, </w:t>
      </w:r>
      <w:r w:rsidR="0085261B">
        <w:rPr>
          <w:rFonts w:ascii="Myriad Pro" w:hAnsi="Myriad Pro"/>
          <w:sz w:val="22"/>
          <w:szCs w:val="22"/>
        </w:rPr>
        <w:t>this supporting information</w:t>
      </w:r>
      <w:r w:rsidR="005013B8">
        <w:rPr>
          <w:rFonts w:ascii="Myriad Pro" w:hAnsi="Myriad Pro"/>
          <w:sz w:val="22"/>
          <w:szCs w:val="22"/>
        </w:rPr>
        <w:t xml:space="preserve"> provides the captions for two supplementary movies. These movies </w:t>
      </w:r>
      <w:r w:rsidR="009862CA">
        <w:rPr>
          <w:rFonts w:ascii="Myriad Pro" w:hAnsi="Myriad Pro"/>
          <w:sz w:val="22"/>
          <w:szCs w:val="22"/>
        </w:rPr>
        <w:t>help</w:t>
      </w:r>
      <w:r w:rsidR="005013B8">
        <w:rPr>
          <w:rFonts w:ascii="Myriad Pro" w:hAnsi="Myriad Pro"/>
          <w:sz w:val="22"/>
          <w:szCs w:val="22"/>
        </w:rPr>
        <w:t xml:space="preserve"> assessing the robustness of the results between the two model simulations (movie S1), as well as </w:t>
      </w:r>
      <w:r w:rsidR="0024130A">
        <w:rPr>
          <w:rFonts w:ascii="Myriad Pro" w:hAnsi="Myriad Pro"/>
          <w:sz w:val="22"/>
          <w:szCs w:val="22"/>
        </w:rPr>
        <w:t>between model simulation and observations (movie S2)</w:t>
      </w:r>
      <w:r w:rsidR="00B927EF">
        <w:rPr>
          <w:rFonts w:ascii="Myriad Pro" w:hAnsi="Myriad Pro"/>
          <w:sz w:val="22"/>
          <w:szCs w:val="22"/>
        </w:rPr>
        <w:t xml:space="preserve">. </w:t>
      </w:r>
      <w:r w:rsidR="005013B8">
        <w:rPr>
          <w:rFonts w:ascii="Myriad Pro" w:hAnsi="Myriad Pro"/>
          <w:sz w:val="22"/>
          <w:szCs w:val="22"/>
        </w:rPr>
        <w:t>The underlying data is the same as described and referenced in the main manuscript.</w:t>
      </w:r>
    </w:p>
    <w:p w14:paraId="2218C341" w14:textId="77777777" w:rsidR="00015F74" w:rsidRPr="00E40896" w:rsidRDefault="00015F74">
      <w:pPr>
        <w:rPr>
          <w:rFonts w:ascii="Myriad Pro" w:hAnsi="Myriad Pro"/>
          <w:b/>
        </w:rPr>
      </w:pPr>
    </w:p>
    <w:p w14:paraId="2B074851" w14:textId="77777777" w:rsidR="002C030F" w:rsidRPr="00E40896" w:rsidRDefault="002C030F">
      <w:pPr>
        <w:rPr>
          <w:rFonts w:ascii="Myriad Pro" w:hAnsi="Myriad Pro"/>
        </w:rPr>
      </w:pPr>
    </w:p>
    <w:p w14:paraId="516E0BA3" w14:textId="796C98EF" w:rsidR="0020183F" w:rsidRDefault="0020183F"/>
    <w:p w14:paraId="56341384" w14:textId="77777777" w:rsidR="00D47CC1" w:rsidRDefault="00D47CC1"/>
    <w:p w14:paraId="3C7A16EF" w14:textId="77777777" w:rsidR="009A5287" w:rsidRPr="00CE6EAA" w:rsidRDefault="009A5287" w:rsidP="00B9440A">
      <w:pPr>
        <w:pStyle w:val="SMText"/>
        <w:rPr>
          <w:rFonts w:ascii="Myriad Pro" w:hAnsi="Myriad Pro"/>
        </w:rPr>
      </w:pPr>
    </w:p>
    <w:p w14:paraId="32CE9E2D" w14:textId="40B76CF3" w:rsidR="003E1980" w:rsidRPr="00CE6EAA" w:rsidRDefault="00AD3ED9" w:rsidP="009A5287">
      <w:pPr>
        <w:pStyle w:val="SMcaption"/>
        <w:rPr>
          <w:rFonts w:ascii="Myriad Pro" w:hAnsi="Myriad Pro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7DB6B83" wp14:editId="5231B982">
            <wp:extent cx="5486400" cy="135012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_Speed-EKE-MLD_v1supp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65792" r="8993" b="6383"/>
                    <a:stretch/>
                  </pic:blipFill>
                  <pic:spPr bwMode="auto">
                    <a:xfrm>
                      <a:off x="0" y="0"/>
                      <a:ext cx="5486400" cy="135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30BF5" w14:textId="749E6766" w:rsidR="003E1980" w:rsidRPr="00D202B4" w:rsidRDefault="00227D86" w:rsidP="00D202B4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202B4">
        <w:rPr>
          <w:rFonts w:ascii="Myriad Pro" w:hAnsi="Myriad Pro"/>
          <w:b/>
          <w:sz w:val="22"/>
          <w:szCs w:val="22"/>
        </w:rPr>
        <w:t>Figure S1</w:t>
      </w:r>
      <w:r w:rsidR="003E1980" w:rsidRPr="00D202B4">
        <w:rPr>
          <w:rFonts w:ascii="Myriad Pro" w:hAnsi="Myriad Pro"/>
          <w:b/>
          <w:sz w:val="22"/>
          <w:szCs w:val="22"/>
        </w:rPr>
        <w:t xml:space="preserve">. </w:t>
      </w:r>
      <w:r w:rsidR="00AD3ED9" w:rsidRPr="00D202B4">
        <w:rPr>
          <w:rFonts w:ascii="Myriad Pro" w:hAnsi="Myriad Pro"/>
          <w:b/>
          <w:sz w:val="22"/>
          <w:szCs w:val="22"/>
        </w:rPr>
        <w:t>Comparison of simulated and observed spatial pattern of eddy kinetic energy (EKE) and center of deep convection (DCC).</w:t>
      </w:r>
      <w:r w:rsidR="00AD3ED9" w:rsidRPr="00D202B4">
        <w:rPr>
          <w:rFonts w:ascii="Myriad Pro" w:hAnsi="Myriad Pro"/>
          <w:sz w:val="22"/>
          <w:szCs w:val="22"/>
        </w:rPr>
        <w:t xml:space="preserve"> (a) Mean (1990-2019) simulated (SIM</w:t>
      </w:r>
      <w:r w:rsidR="00AD3ED9" w:rsidRPr="00D202B4">
        <w:rPr>
          <w:rFonts w:ascii="Myriad Pro" w:hAnsi="Myriad Pro"/>
          <w:sz w:val="22"/>
          <w:szCs w:val="22"/>
          <w:vertAlign w:val="subscript"/>
        </w:rPr>
        <w:t>JRA</w:t>
      </w:r>
      <w:r w:rsidR="00AD3ED9" w:rsidRPr="00D202B4">
        <w:rPr>
          <w:rFonts w:ascii="Myriad Pro" w:hAnsi="Myriad Pro"/>
          <w:sz w:val="22"/>
          <w:szCs w:val="22"/>
        </w:rPr>
        <w:t xml:space="preserve">) EKE at 112 m depth calculated following </w:t>
      </w:r>
      <w:proofErr w:type="spellStart"/>
      <w:r w:rsidR="00AD3ED9" w:rsidRPr="00D202B4">
        <w:rPr>
          <w:rFonts w:ascii="Myriad Pro" w:hAnsi="Myriad Pro"/>
          <w:sz w:val="22"/>
          <w:szCs w:val="22"/>
        </w:rPr>
        <w:t>Rieck</w:t>
      </w:r>
      <w:proofErr w:type="spellEnd"/>
      <w:r w:rsidR="00AD3ED9" w:rsidRPr="00D202B4">
        <w:rPr>
          <w:rFonts w:ascii="Myriad Pro" w:hAnsi="Myriad Pro"/>
          <w:sz w:val="22"/>
          <w:szCs w:val="22"/>
        </w:rPr>
        <w:t xml:space="preserve"> et al. (2015) based on 5-day mean velocities referenced to the annual mean (color shading), and DCC defined as the area where the mean </w:t>
      </w:r>
      <w:r w:rsidR="00037612" w:rsidRPr="00D202B4">
        <w:rPr>
          <w:rFonts w:ascii="Myriad Pro" w:hAnsi="Myriad Pro"/>
          <w:sz w:val="22"/>
          <w:szCs w:val="22"/>
        </w:rPr>
        <w:t xml:space="preserve">(1990-2019) </w:t>
      </w:r>
      <w:r w:rsidR="00AD3ED9" w:rsidRPr="00D202B4">
        <w:rPr>
          <w:rFonts w:ascii="Myriad Pro" w:hAnsi="Myriad Pro"/>
          <w:sz w:val="22"/>
          <w:szCs w:val="22"/>
        </w:rPr>
        <w:t xml:space="preserve">March MLD exceed </w:t>
      </w:r>
      <w:proofErr w:type="spellStart"/>
      <w:r w:rsidR="00AD3ED9" w:rsidRPr="00D202B4">
        <w:rPr>
          <w:rFonts w:ascii="Myriad Pro" w:hAnsi="Myriad Pro"/>
          <w:sz w:val="22"/>
          <w:szCs w:val="22"/>
        </w:rPr>
        <w:t>z</w:t>
      </w:r>
      <w:r w:rsidR="00AD3ED9" w:rsidRPr="00D202B4">
        <w:rPr>
          <w:rFonts w:ascii="Myriad Pro" w:hAnsi="Myriad Pro"/>
          <w:sz w:val="22"/>
          <w:szCs w:val="22"/>
          <w:vertAlign w:val="subscript"/>
        </w:rPr>
        <w:t>crit</w:t>
      </w:r>
      <w:proofErr w:type="spellEnd"/>
      <w:r w:rsidR="00AD3ED9" w:rsidRPr="00D202B4">
        <w:rPr>
          <w:rFonts w:ascii="Myriad Pro" w:hAnsi="Myriad Pro"/>
          <w:sz w:val="22"/>
          <w:szCs w:val="22"/>
        </w:rPr>
        <w:t xml:space="preserve"> = 1000 m (light red contoured area) or 700 m (white contoured area); (b) Same as (a), but with mean EKE derived from geostrophic surface velocities obtained from satellite altimetry (1993-2017, global ocean gridded product L4, product identifier: SEALEVEL_GLO_PHY_L4_REP_OBSERVATIONS_008_047, made available by the E.U. Copernicus Marine Service) and DCC obtained from the updated ARGO MLD climatology (1990-2019) based on </w:t>
      </w:r>
      <w:proofErr w:type="spellStart"/>
      <w:r w:rsidR="00AD3ED9" w:rsidRPr="00D202B4">
        <w:rPr>
          <w:rFonts w:ascii="Myriad Pro" w:hAnsi="Myriad Pro"/>
          <w:sz w:val="22"/>
          <w:szCs w:val="22"/>
        </w:rPr>
        <w:t>Holte</w:t>
      </w:r>
      <w:proofErr w:type="spellEnd"/>
      <w:r w:rsidR="00AD3ED9" w:rsidRPr="00D202B4">
        <w:rPr>
          <w:rFonts w:ascii="Myriad Pro" w:hAnsi="Myriad Pro"/>
          <w:sz w:val="22"/>
          <w:szCs w:val="22"/>
        </w:rPr>
        <w:t xml:space="preserve"> et al. (2017).</w:t>
      </w:r>
    </w:p>
    <w:p w14:paraId="34CE76F8" w14:textId="77777777" w:rsidR="005314B5" w:rsidRDefault="005314B5" w:rsidP="00477182">
      <w:pPr>
        <w:pStyle w:val="SMcaption"/>
        <w:rPr>
          <w:rFonts w:ascii="Myriad Pro" w:hAnsi="Myriad Pro"/>
          <w:sz w:val="22"/>
          <w:szCs w:val="22"/>
        </w:rPr>
      </w:pPr>
    </w:p>
    <w:p w14:paraId="4F03545D" w14:textId="659297D2" w:rsidR="00D202B4" w:rsidRPr="003B3E70" w:rsidRDefault="00D202B4" w:rsidP="003B3E70">
      <w:pPr>
        <w:pStyle w:val="SMcaption"/>
        <w:jc w:val="both"/>
        <w:rPr>
          <w:rFonts w:ascii="Myriad Pro" w:hAnsi="Myriad Pro"/>
          <w:b/>
          <w:i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9718BCD" wp14:editId="2A900C1A">
            <wp:extent cx="5399405" cy="616373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EPCONV_SIMsomxl010_OBSdt_deepconv1000m750m_numberfloats_v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8" r="8522" b="7660"/>
                    <a:stretch/>
                  </pic:blipFill>
                  <pic:spPr bwMode="auto">
                    <a:xfrm>
                      <a:off x="0" y="0"/>
                      <a:ext cx="5400000" cy="616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02B4">
        <w:rPr>
          <w:rFonts w:ascii="Myriad Pro" w:hAnsi="Myriad Pro"/>
          <w:b/>
          <w:sz w:val="22"/>
          <w:szCs w:val="22"/>
        </w:rPr>
        <w:t>Figure S2: Year-to-year variability (2000-2018) of the number of ARGO float observations in the three sub-regions WEST (blue), MID (light blue) and EAST (green) during the deep convection season (Jan-Apr).</w:t>
      </w:r>
      <w:r w:rsidRPr="00D202B4">
        <w:rPr>
          <w:rFonts w:ascii="Myriad Pro" w:hAnsi="Myriad Pro"/>
          <w:sz w:val="22"/>
          <w:szCs w:val="22"/>
        </w:rPr>
        <w:t xml:space="preserve"> (a) locations of ARGO profiles with MLD &gt; 1000 m diagnosed using the variable density threshold (MLD-</w:t>
      </w:r>
      <w:proofErr w:type="spellStart"/>
      <w:r w:rsidRPr="00D202B4">
        <w:rPr>
          <w:rFonts w:ascii="Myriad Pro" w:hAnsi="Myriad Pro"/>
          <w:sz w:val="22"/>
          <w:szCs w:val="22"/>
        </w:rPr>
        <w:t>DTv</w:t>
      </w:r>
      <w:proofErr w:type="spellEnd"/>
      <w:r w:rsidRPr="00D202B4">
        <w:rPr>
          <w:rFonts w:ascii="Myriad Pro" w:hAnsi="Myriad Pro"/>
          <w:sz w:val="22"/>
          <w:szCs w:val="22"/>
        </w:rPr>
        <w:t>, colored dots), with MLD &gt; 700 m diagnosed using the density algorithm (MLD-DA, red contoured dots), and with MLD-</w:t>
      </w:r>
      <w:proofErr w:type="spellStart"/>
      <w:r w:rsidRPr="00D202B4">
        <w:rPr>
          <w:rFonts w:ascii="Myriad Pro" w:hAnsi="Myriad Pro"/>
          <w:sz w:val="22"/>
          <w:szCs w:val="22"/>
        </w:rPr>
        <w:t>DTv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&lt; 1000 m and MLD-DA &lt; 700 m (grey dots), as well as the simulated (SIM</w:t>
      </w:r>
      <w:r w:rsidRPr="00D202B4">
        <w:rPr>
          <w:rFonts w:ascii="Myriad Pro" w:hAnsi="Myriad Pro"/>
          <w:sz w:val="22"/>
          <w:szCs w:val="22"/>
          <w:vertAlign w:val="subscript"/>
        </w:rPr>
        <w:t>JRA</w:t>
      </w:r>
      <w:r w:rsidRPr="00D202B4">
        <w:rPr>
          <w:rFonts w:ascii="Myriad Pro" w:hAnsi="Myriad Pro"/>
          <w:sz w:val="22"/>
          <w:szCs w:val="22"/>
        </w:rPr>
        <w:t xml:space="preserve">) potential deep convection region based on MLDs diagnosed using the fixed density threshold (MLD-DT, black contour) and a turbulent mixing coefficient criterion (MLD-diff, light red contour, representing the </w:t>
      </w:r>
      <w:proofErr w:type="spellStart"/>
      <w:r w:rsidRPr="00D202B4">
        <w:rPr>
          <w:rFonts w:ascii="Myriad Pro" w:hAnsi="Myriad Pro"/>
          <w:sz w:val="22"/>
          <w:szCs w:val="22"/>
        </w:rPr>
        <w:t>turbocline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depth or actively mixing layer) ; (b) annual number of ARGO profiles in the sub-regions defined by the dotted frames in (a); number of ARGO profiles with (c) MLD-</w:t>
      </w:r>
      <w:proofErr w:type="spellStart"/>
      <w:r w:rsidRPr="00D202B4">
        <w:rPr>
          <w:rFonts w:ascii="Myriad Pro" w:hAnsi="Myriad Pro"/>
          <w:sz w:val="22"/>
          <w:szCs w:val="22"/>
        </w:rPr>
        <w:t>DTv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&gt; 1000 and (d)  MLD-DA &gt; 700 m in the three sub-domains; (e) fraction of annual ARGO profiles surpassing MLD-</w:t>
      </w:r>
      <w:proofErr w:type="spellStart"/>
      <w:r w:rsidRPr="00D202B4">
        <w:rPr>
          <w:rFonts w:ascii="Myriad Pro" w:hAnsi="Myriad Pro"/>
          <w:sz w:val="22"/>
          <w:szCs w:val="22"/>
        </w:rPr>
        <w:t>DTv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&gt; 1000 (single-colored lines) and MLD-DA &gt; 700 m (red-colored dashed lines). </w:t>
      </w:r>
    </w:p>
    <w:p w14:paraId="204DFF2D" w14:textId="5A455013" w:rsidR="00D202B4" w:rsidRDefault="00D202B4">
      <w:pPr>
        <w:rPr>
          <w:rFonts w:ascii="Myriad Pro" w:hAnsi="Myriad Pro"/>
          <w:b/>
          <w:i/>
          <w:sz w:val="22"/>
          <w:szCs w:val="22"/>
        </w:rPr>
      </w:pPr>
      <w:r>
        <w:rPr>
          <w:rFonts w:cstheme="minorHAnsi"/>
          <w:b/>
          <w:noProof/>
          <w:color w:val="FF0000"/>
        </w:rPr>
        <w:lastRenderedPageBreak/>
        <w:drawing>
          <wp:inline distT="0" distB="0" distL="0" distR="0" wp14:anchorId="301DE00A" wp14:editId="7340F778">
            <wp:extent cx="5486400" cy="4350407"/>
            <wp:effectExtent l="0" t="0" r="0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ming_AnnualmaxMLD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" t="7705" r="9153" b="8189"/>
                    <a:stretch/>
                  </pic:blipFill>
                  <pic:spPr bwMode="auto">
                    <a:xfrm>
                      <a:off x="0" y="0"/>
                      <a:ext cx="5486400" cy="435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BFE7C" w14:textId="31674BFA" w:rsidR="00D202B4" w:rsidRPr="00D202B4" w:rsidRDefault="00D202B4" w:rsidP="00D202B4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 w:rsidRPr="00D202B4">
        <w:rPr>
          <w:rFonts w:ascii="Myriad Pro" w:hAnsi="Myriad Pro"/>
          <w:b/>
          <w:sz w:val="22"/>
          <w:szCs w:val="22"/>
        </w:rPr>
        <w:t>Figure S3: Timing of annual maximum mixed layer depths (</w:t>
      </w:r>
      <w:proofErr w:type="spellStart"/>
      <w:r w:rsidRPr="00D202B4">
        <w:rPr>
          <w:rFonts w:ascii="Myriad Pro" w:hAnsi="Myriad Pro"/>
          <w:b/>
          <w:sz w:val="22"/>
          <w:szCs w:val="22"/>
        </w:rPr>
        <w:t>MLD</w:t>
      </w:r>
      <w:r w:rsidRPr="00D202B4">
        <w:rPr>
          <w:rFonts w:ascii="Myriad Pro" w:hAnsi="Myriad Pro"/>
          <w:b/>
          <w:sz w:val="22"/>
          <w:szCs w:val="22"/>
          <w:vertAlign w:val="subscript"/>
        </w:rPr>
        <w:t>a</w:t>
      </w:r>
      <w:proofErr w:type="spellEnd"/>
      <w:r w:rsidRPr="00D202B4">
        <w:rPr>
          <w:rFonts w:ascii="Myriad Pro" w:hAnsi="Myriad Pro"/>
          <w:b/>
          <w:sz w:val="22"/>
          <w:szCs w:val="22"/>
        </w:rPr>
        <w:t>) in SIM</w:t>
      </w:r>
      <w:r w:rsidRPr="00D202B4">
        <w:rPr>
          <w:rFonts w:ascii="Myriad Pro" w:hAnsi="Myriad Pro"/>
          <w:b/>
          <w:sz w:val="22"/>
          <w:szCs w:val="22"/>
          <w:vertAlign w:val="subscript"/>
        </w:rPr>
        <w:t>JRA</w:t>
      </w:r>
      <w:r w:rsidRPr="00D202B4">
        <w:rPr>
          <w:rFonts w:ascii="Myriad Pro" w:hAnsi="Myriad Pro"/>
          <w:b/>
          <w:sz w:val="22"/>
          <w:szCs w:val="22"/>
        </w:rPr>
        <w:t xml:space="preserve"> (</w:t>
      </w:r>
      <w:proofErr w:type="spellStart"/>
      <w:proofErr w:type="gramStart"/>
      <w:r w:rsidRPr="00D202B4">
        <w:rPr>
          <w:rFonts w:ascii="Myriad Pro" w:hAnsi="Myriad Pro"/>
          <w:b/>
          <w:sz w:val="22"/>
          <w:szCs w:val="22"/>
        </w:rPr>
        <w:t>a,c</w:t>
      </w:r>
      <w:proofErr w:type="gramEnd"/>
      <w:r w:rsidRPr="00D202B4">
        <w:rPr>
          <w:rFonts w:ascii="Myriad Pro" w:hAnsi="Myriad Pro"/>
          <w:b/>
          <w:sz w:val="22"/>
          <w:szCs w:val="22"/>
        </w:rPr>
        <w:t>,e</w:t>
      </w:r>
      <w:proofErr w:type="spellEnd"/>
      <w:r w:rsidRPr="00D202B4">
        <w:rPr>
          <w:rFonts w:ascii="Myriad Pro" w:hAnsi="Myriad Pro"/>
          <w:b/>
          <w:sz w:val="22"/>
          <w:szCs w:val="22"/>
        </w:rPr>
        <w:t>) and SIM</w:t>
      </w:r>
      <w:r w:rsidRPr="00D202B4">
        <w:rPr>
          <w:rFonts w:ascii="Myriad Pro" w:hAnsi="Myriad Pro"/>
          <w:b/>
          <w:sz w:val="22"/>
          <w:szCs w:val="22"/>
          <w:vertAlign w:val="subscript"/>
        </w:rPr>
        <w:t>CORE</w:t>
      </w:r>
      <w:r w:rsidRPr="00D202B4">
        <w:rPr>
          <w:rFonts w:ascii="Myriad Pro" w:hAnsi="Myriad Pro"/>
          <w:b/>
          <w:sz w:val="22"/>
          <w:szCs w:val="22"/>
        </w:rPr>
        <w:t xml:space="preserve"> (</w:t>
      </w:r>
      <w:proofErr w:type="spellStart"/>
      <w:r w:rsidRPr="00D202B4">
        <w:rPr>
          <w:rFonts w:ascii="Myriad Pro" w:hAnsi="Myriad Pro"/>
          <w:b/>
          <w:sz w:val="22"/>
          <w:szCs w:val="22"/>
        </w:rPr>
        <w:t>b,d,f</w:t>
      </w:r>
      <w:proofErr w:type="spellEnd"/>
      <w:r w:rsidRPr="00D202B4">
        <w:rPr>
          <w:rFonts w:ascii="Myriad Pro" w:hAnsi="Myriad Pro"/>
          <w:b/>
          <w:sz w:val="22"/>
          <w:szCs w:val="22"/>
        </w:rPr>
        <w:t xml:space="preserve">). </w:t>
      </w:r>
      <w:r w:rsidRPr="00D202B4">
        <w:rPr>
          <w:rFonts w:ascii="Myriad Pro" w:hAnsi="Myriad Pro"/>
          <w:sz w:val="22"/>
          <w:szCs w:val="22"/>
        </w:rPr>
        <w:t xml:space="preserve">Relative number of grid points that experience </w:t>
      </w:r>
      <w:proofErr w:type="spellStart"/>
      <w:r w:rsidRPr="00D202B4">
        <w:rPr>
          <w:rFonts w:ascii="Myriad Pro" w:hAnsi="Myriad Pro"/>
          <w:sz w:val="22"/>
          <w:szCs w:val="22"/>
        </w:rPr>
        <w:t>MLD</w:t>
      </w:r>
      <w:r w:rsidRPr="00D202B4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in the respective month, considering (</w:t>
      </w:r>
      <w:proofErr w:type="spellStart"/>
      <w:r w:rsidRPr="00D202B4">
        <w:rPr>
          <w:rFonts w:ascii="Myriad Pro" w:hAnsi="Myriad Pro"/>
          <w:sz w:val="22"/>
          <w:szCs w:val="22"/>
        </w:rPr>
        <w:t>a,b</w:t>
      </w:r>
      <w:proofErr w:type="spellEnd"/>
      <w:r w:rsidRPr="00D202B4">
        <w:rPr>
          <w:rFonts w:ascii="Myriad Pro" w:hAnsi="Myriad Pro"/>
          <w:sz w:val="22"/>
          <w:szCs w:val="22"/>
        </w:rPr>
        <w:t>) all ocean points between 47 to 66°N and 28 to 65°W (in total 435311), (</w:t>
      </w:r>
      <w:proofErr w:type="spellStart"/>
      <w:r w:rsidRPr="00D202B4">
        <w:rPr>
          <w:rFonts w:ascii="Myriad Pro" w:hAnsi="Myriad Pro"/>
          <w:sz w:val="22"/>
          <w:szCs w:val="22"/>
        </w:rPr>
        <w:t>c,d</w:t>
      </w:r>
      <w:proofErr w:type="spellEnd"/>
      <w:r w:rsidRPr="00D202B4">
        <w:rPr>
          <w:rFonts w:ascii="Myriad Pro" w:hAnsi="Myriad Pro"/>
          <w:sz w:val="22"/>
          <w:szCs w:val="22"/>
        </w:rPr>
        <w:t>) all grid points in the potential deep convection region (in total 99429), and (</w:t>
      </w:r>
      <w:proofErr w:type="spellStart"/>
      <w:r w:rsidRPr="00D202B4">
        <w:rPr>
          <w:rFonts w:ascii="Myriad Pro" w:hAnsi="Myriad Pro"/>
          <w:sz w:val="22"/>
          <w:szCs w:val="22"/>
        </w:rPr>
        <w:t>e,f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) only those grid points in the actual annual deep convection region (total number varies between the simulations and from year to year) with </w:t>
      </w:r>
      <w:proofErr w:type="spellStart"/>
      <w:r w:rsidRPr="00D202B4">
        <w:rPr>
          <w:rFonts w:ascii="Myriad Pro" w:hAnsi="Myriad Pro"/>
          <w:sz w:val="22"/>
          <w:szCs w:val="22"/>
        </w:rPr>
        <w:t>MLD</w:t>
      </w:r>
      <w:r w:rsidRPr="00D202B4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&gt; </w:t>
      </w:r>
      <w:proofErr w:type="spellStart"/>
      <w:r w:rsidRPr="00D202B4">
        <w:rPr>
          <w:rFonts w:ascii="Myriad Pro" w:hAnsi="Myriad Pro"/>
          <w:sz w:val="22"/>
          <w:szCs w:val="22"/>
        </w:rPr>
        <w:t>z</w:t>
      </w:r>
      <w:r w:rsidRPr="00D202B4">
        <w:rPr>
          <w:rFonts w:ascii="Myriad Pro" w:hAnsi="Myriad Pro"/>
          <w:sz w:val="22"/>
          <w:szCs w:val="22"/>
          <w:vertAlign w:val="subscript"/>
        </w:rPr>
        <w:t>crit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. Note that the relative frequency for each month varies in space </w:t>
      </w:r>
      <w:r>
        <w:rPr>
          <w:rFonts w:ascii="Myriad Pro" w:hAnsi="Myriad Pro"/>
          <w:sz w:val="22"/>
          <w:szCs w:val="22"/>
        </w:rPr>
        <w:t xml:space="preserve">and </w:t>
      </w:r>
      <w:r w:rsidRPr="00D202B4">
        <w:rPr>
          <w:rFonts w:ascii="Myriad Pro" w:hAnsi="Myriad Pro"/>
          <w:sz w:val="22"/>
          <w:szCs w:val="22"/>
        </w:rPr>
        <w:t>in time</w:t>
      </w:r>
      <w:r>
        <w:rPr>
          <w:rFonts w:ascii="Myriad Pro" w:hAnsi="Myriad Pro"/>
          <w:sz w:val="22"/>
          <w:szCs w:val="22"/>
        </w:rPr>
        <w:t>.</w:t>
      </w:r>
      <w:r w:rsidRPr="00D202B4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>On</w:t>
      </w:r>
      <w:r w:rsidRPr="00D202B4">
        <w:rPr>
          <w:rFonts w:ascii="Myriad Pro" w:hAnsi="Myriad Pro"/>
          <w:sz w:val="22"/>
          <w:szCs w:val="22"/>
        </w:rPr>
        <w:t xml:space="preserve"> average, for the whole box only 29% (30%) of the grid points experience their </w:t>
      </w:r>
      <w:proofErr w:type="spellStart"/>
      <w:r w:rsidRPr="00D202B4">
        <w:rPr>
          <w:rFonts w:ascii="Myriad Pro" w:hAnsi="Myriad Pro"/>
          <w:sz w:val="22"/>
          <w:szCs w:val="22"/>
        </w:rPr>
        <w:t>MLD</w:t>
      </w:r>
      <w:r w:rsidRPr="00D202B4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in March, while this ratio increases for the potential deep convection region to 54% (55%), and for the actual deep convection regions to 73% (69%) in SIM</w:t>
      </w:r>
      <w:r w:rsidRPr="00D202B4">
        <w:rPr>
          <w:rFonts w:ascii="Myriad Pro" w:hAnsi="Myriad Pro"/>
          <w:sz w:val="22"/>
          <w:szCs w:val="22"/>
          <w:vertAlign w:val="subscript"/>
        </w:rPr>
        <w:t>JRA</w:t>
      </w:r>
      <w:r w:rsidRPr="00D202B4">
        <w:rPr>
          <w:rFonts w:ascii="Myriad Pro" w:hAnsi="Myriad Pro"/>
          <w:sz w:val="22"/>
          <w:szCs w:val="22"/>
        </w:rPr>
        <w:t xml:space="preserve"> (SIM</w:t>
      </w:r>
      <w:r w:rsidRPr="00D202B4">
        <w:rPr>
          <w:rFonts w:ascii="Myriad Pro" w:hAnsi="Myriad Pro"/>
          <w:sz w:val="22"/>
          <w:szCs w:val="22"/>
          <w:vertAlign w:val="subscript"/>
        </w:rPr>
        <w:t>CORE</w:t>
      </w:r>
      <w:r w:rsidRPr="00D202B4">
        <w:rPr>
          <w:rFonts w:ascii="Myriad Pro" w:hAnsi="Myriad Pro"/>
          <w:sz w:val="22"/>
          <w:szCs w:val="22"/>
        </w:rPr>
        <w:t>)</w:t>
      </w:r>
      <w:r>
        <w:rPr>
          <w:rFonts w:ascii="Myriad Pro" w:hAnsi="Myriad Pro"/>
          <w:sz w:val="22"/>
          <w:szCs w:val="22"/>
        </w:rPr>
        <w:t>.</w:t>
      </w:r>
      <w:r w:rsidRPr="00D202B4">
        <w:rPr>
          <w:rFonts w:ascii="Myriad Pro" w:hAnsi="Myriad Pro"/>
          <w:sz w:val="22"/>
          <w:szCs w:val="22"/>
        </w:rPr>
        <w:t xml:space="preserve"> However, on average, in the actual deep convection region all grid</w:t>
      </w:r>
      <w:r>
        <w:rPr>
          <w:rFonts w:ascii="Myriad Pro" w:hAnsi="Myriad Pro"/>
          <w:sz w:val="22"/>
          <w:szCs w:val="22"/>
        </w:rPr>
        <w:t xml:space="preserve"> </w:t>
      </w:r>
      <w:r w:rsidRPr="00D202B4">
        <w:rPr>
          <w:rFonts w:ascii="Myriad Pro" w:hAnsi="Myriad Pro"/>
          <w:sz w:val="22"/>
          <w:szCs w:val="22"/>
        </w:rPr>
        <w:t xml:space="preserve">points, and in the potential deep convection region nearly all grid points (98% and 97% in SIMJRA and SIMCORE, respectively), experience their </w:t>
      </w:r>
      <w:proofErr w:type="spellStart"/>
      <w:r w:rsidRPr="00D202B4">
        <w:rPr>
          <w:rFonts w:ascii="Myriad Pro" w:hAnsi="Myriad Pro"/>
          <w:sz w:val="22"/>
          <w:szCs w:val="22"/>
        </w:rPr>
        <w:t>MLD</w:t>
      </w:r>
      <w:r w:rsidRPr="00D202B4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in January to April.</w:t>
      </w:r>
    </w:p>
    <w:p w14:paraId="674AF9BF" w14:textId="77777777" w:rsidR="00D202B4" w:rsidRPr="00D202B4" w:rsidRDefault="00D202B4" w:rsidP="00CE6EAA">
      <w:pPr>
        <w:pStyle w:val="SMHeading"/>
        <w:rPr>
          <w:rFonts w:ascii="Myriad Pro" w:hAnsi="Myriad Pro"/>
          <w:b w:val="0"/>
          <w:sz w:val="22"/>
          <w:szCs w:val="22"/>
        </w:rPr>
      </w:pPr>
    </w:p>
    <w:p w14:paraId="7B11133D" w14:textId="7C11FBF3" w:rsidR="00CB146E" w:rsidRDefault="00D202B4" w:rsidP="00D202B4">
      <w:pPr>
        <w:jc w:val="both"/>
        <w:rPr>
          <w:rFonts w:ascii="Myriad Pro" w:hAnsi="Myriad Pro"/>
          <w:sz w:val="22"/>
          <w:szCs w:val="22"/>
        </w:rPr>
      </w:pPr>
      <w:r>
        <w:rPr>
          <w:rFonts w:cstheme="minorHAnsi"/>
          <w:i/>
          <w:noProof/>
          <w:sz w:val="22"/>
          <w:szCs w:val="22"/>
        </w:rPr>
        <w:drawing>
          <wp:inline distT="0" distB="0" distL="0" distR="0" wp14:anchorId="3860F3B7" wp14:editId="0DA0E9A0">
            <wp:extent cx="5486400" cy="1967119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Fig_Timeseries_DeepConvPeriod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" t="39836" r="7531" b="32228"/>
                    <a:stretch/>
                  </pic:blipFill>
                  <pic:spPr bwMode="auto">
                    <a:xfrm>
                      <a:off x="0" y="0"/>
                      <a:ext cx="5486400" cy="196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02B4">
        <w:rPr>
          <w:rFonts w:ascii="Myriad Pro" w:hAnsi="Myriad Pro"/>
          <w:b/>
          <w:sz w:val="22"/>
          <w:szCs w:val="22"/>
        </w:rPr>
        <w:t xml:space="preserve">Figure S4: Definition of moderate and major deep convection periods. </w:t>
      </w:r>
      <w:r w:rsidRPr="00D202B4">
        <w:rPr>
          <w:rFonts w:ascii="Myriad Pro" w:hAnsi="Myriad Pro"/>
          <w:sz w:val="22"/>
          <w:szCs w:val="22"/>
        </w:rPr>
        <w:t xml:space="preserve">Moderate (light shading, at least one grid point with </w:t>
      </w:r>
      <w:proofErr w:type="spellStart"/>
      <w:r w:rsidRPr="00D202B4">
        <w:rPr>
          <w:rFonts w:ascii="Myriad Pro" w:hAnsi="Myriad Pro"/>
          <w:sz w:val="22"/>
          <w:szCs w:val="22"/>
        </w:rPr>
        <w:t>MLD</w:t>
      </w:r>
      <w:r w:rsidRPr="00D202B4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&gt; </w:t>
      </w:r>
      <w:proofErr w:type="spellStart"/>
      <w:r w:rsidRPr="00D202B4">
        <w:rPr>
          <w:rFonts w:ascii="Myriad Pro" w:hAnsi="Myriad Pro"/>
          <w:sz w:val="22"/>
          <w:szCs w:val="22"/>
        </w:rPr>
        <w:t>z</w:t>
      </w:r>
      <w:r w:rsidRPr="00D202B4">
        <w:rPr>
          <w:rFonts w:ascii="Myriad Pro" w:hAnsi="Myriad Pro"/>
          <w:sz w:val="22"/>
          <w:szCs w:val="22"/>
          <w:vertAlign w:val="subscript"/>
        </w:rPr>
        <w:t>crit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) and major (dark shading, at least 25% of grid-points with </w:t>
      </w:r>
      <w:proofErr w:type="spellStart"/>
      <w:r w:rsidRPr="00D202B4">
        <w:rPr>
          <w:rFonts w:ascii="Myriad Pro" w:hAnsi="Myriad Pro"/>
          <w:sz w:val="22"/>
          <w:szCs w:val="22"/>
        </w:rPr>
        <w:t>MLD</w:t>
      </w:r>
      <w:r w:rsidRPr="00D202B4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&gt; </w:t>
      </w:r>
      <w:proofErr w:type="spellStart"/>
      <w:r w:rsidRPr="00D202B4">
        <w:rPr>
          <w:rFonts w:ascii="Myriad Pro" w:hAnsi="Myriad Pro"/>
          <w:sz w:val="22"/>
          <w:szCs w:val="22"/>
        </w:rPr>
        <w:t>z</w:t>
      </w:r>
      <w:r w:rsidRPr="00D202B4">
        <w:rPr>
          <w:rFonts w:ascii="Myriad Pro" w:hAnsi="Myriad Pro"/>
          <w:sz w:val="22"/>
          <w:szCs w:val="22"/>
          <w:vertAlign w:val="subscript"/>
        </w:rPr>
        <w:t>crit</w:t>
      </w:r>
      <w:proofErr w:type="spellEnd"/>
      <w:r w:rsidRPr="00D202B4">
        <w:rPr>
          <w:rFonts w:ascii="Myriad Pro" w:hAnsi="Myriad Pro"/>
          <w:sz w:val="22"/>
          <w:szCs w:val="22"/>
        </w:rPr>
        <w:t>) deep convection periods derived from (a) SIM</w:t>
      </w:r>
      <w:r w:rsidRPr="00D202B4">
        <w:rPr>
          <w:rFonts w:ascii="Myriad Pro" w:hAnsi="Myriad Pro"/>
          <w:sz w:val="22"/>
          <w:szCs w:val="22"/>
          <w:vertAlign w:val="subscript"/>
        </w:rPr>
        <w:t>JRA</w:t>
      </w:r>
      <w:r w:rsidRPr="00D202B4">
        <w:rPr>
          <w:rFonts w:ascii="Myriad Pro" w:hAnsi="Myriad Pro"/>
          <w:sz w:val="22"/>
          <w:szCs w:val="22"/>
        </w:rPr>
        <w:t>, (b) SIM</w:t>
      </w:r>
      <w:r w:rsidRPr="00D202B4">
        <w:rPr>
          <w:rFonts w:ascii="Myriad Pro" w:hAnsi="Myriad Pro"/>
          <w:sz w:val="22"/>
          <w:szCs w:val="22"/>
          <w:vertAlign w:val="subscript"/>
        </w:rPr>
        <w:t>CORE</w:t>
      </w:r>
      <w:r w:rsidRPr="00D202B4">
        <w:rPr>
          <w:rFonts w:ascii="Myriad Pro" w:hAnsi="Myriad Pro"/>
          <w:sz w:val="22"/>
          <w:szCs w:val="22"/>
        </w:rPr>
        <w:t>, (c) SIM</w:t>
      </w:r>
      <w:r w:rsidRPr="00D202B4">
        <w:rPr>
          <w:rFonts w:ascii="Myriad Pro" w:hAnsi="Myriad Pro"/>
          <w:sz w:val="22"/>
          <w:szCs w:val="22"/>
          <w:vertAlign w:val="subscript"/>
        </w:rPr>
        <w:t>JRA</w:t>
      </w:r>
      <w:r w:rsidRPr="00D202B4">
        <w:rPr>
          <w:rFonts w:ascii="Myriad Pro" w:hAnsi="Myriad Pro"/>
          <w:sz w:val="22"/>
          <w:szCs w:val="22"/>
        </w:rPr>
        <w:t xml:space="preserve"> + SIM</w:t>
      </w:r>
      <w:r w:rsidRPr="00D202B4">
        <w:rPr>
          <w:rFonts w:ascii="Myriad Pro" w:hAnsi="Myriad Pro"/>
          <w:sz w:val="22"/>
          <w:szCs w:val="22"/>
          <w:vertAlign w:val="subscript"/>
        </w:rPr>
        <w:t>CORE</w:t>
      </w:r>
      <w:r w:rsidRPr="00D202B4">
        <w:rPr>
          <w:rFonts w:ascii="Myriad Pro" w:hAnsi="Myriad Pro"/>
          <w:sz w:val="22"/>
          <w:szCs w:val="22"/>
        </w:rPr>
        <w:t xml:space="preserve"> (in the overlapping period 1980-2009 the respective criteria must be fulfilled by both simulations) for the potential deep convection region of the whole subpolar gyre (SPG, grey) and it’s sub-regions in the Labrador Sea (WEST, blue), south of Cape Farewell (MIDD, cyan), and in the </w:t>
      </w:r>
      <w:proofErr w:type="spellStart"/>
      <w:r w:rsidRPr="00D202B4">
        <w:rPr>
          <w:rFonts w:ascii="Myriad Pro" w:hAnsi="Myriad Pro"/>
          <w:sz w:val="22"/>
          <w:szCs w:val="22"/>
        </w:rPr>
        <w:t>Irminger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Sea (EAST, green).</w:t>
      </w:r>
    </w:p>
    <w:p w14:paraId="58FB9EF3" w14:textId="77777777" w:rsidR="00CB146E" w:rsidRDefault="00CB146E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2AAAF8A8" w14:textId="77777777" w:rsidR="00CB146E" w:rsidRDefault="00CB146E" w:rsidP="00D202B4">
      <w:pPr>
        <w:jc w:val="both"/>
        <w:rPr>
          <w:rFonts w:ascii="Myriad Pro" w:hAnsi="Myriad Pro"/>
          <w:sz w:val="22"/>
          <w:szCs w:val="22"/>
        </w:rPr>
      </w:pPr>
    </w:p>
    <w:p w14:paraId="3427BDF2" w14:textId="77777777" w:rsidR="00CB146E" w:rsidRDefault="00CB146E" w:rsidP="00D202B4">
      <w:pPr>
        <w:jc w:val="both"/>
        <w:rPr>
          <w:rFonts w:ascii="Myriad Pro" w:hAnsi="Myriad Pro"/>
          <w:sz w:val="22"/>
          <w:szCs w:val="22"/>
        </w:rPr>
      </w:pPr>
      <w:r>
        <w:rPr>
          <w:rFonts w:cstheme="minorHAnsi"/>
          <w:noProof/>
        </w:rPr>
        <w:drawing>
          <wp:inline distT="0" distB="0" distL="0" distR="0" wp14:anchorId="20914721" wp14:editId="6D082D50">
            <wp:extent cx="5486400" cy="260951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KING20X.L46_1m_somxl010_MLDCOMP-JRAkurz-CORE_Timeseries-DeepConvAreaSubdomains-deepconvcontr_area_depth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8259" r="8321" b="52277"/>
                    <a:stretch/>
                  </pic:blipFill>
                  <pic:spPr bwMode="auto">
                    <a:xfrm>
                      <a:off x="0" y="0"/>
                      <a:ext cx="5486400" cy="260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90F77" w14:textId="6924D0BB" w:rsidR="00CB146E" w:rsidRDefault="00CB146E" w:rsidP="00D202B4">
      <w:pPr>
        <w:jc w:val="both"/>
        <w:rPr>
          <w:rFonts w:ascii="Myriad Pro" w:hAnsi="Myriad Pro"/>
          <w:sz w:val="22"/>
          <w:szCs w:val="22"/>
        </w:rPr>
      </w:pPr>
      <w:r w:rsidRPr="00CB146E">
        <w:rPr>
          <w:rFonts w:ascii="Myriad Pro" w:hAnsi="Myriad Pro"/>
          <w:b/>
          <w:sz w:val="22"/>
          <w:szCs w:val="22"/>
        </w:rPr>
        <w:t xml:space="preserve">Figure S5: Simulated year-to-year variability of </w:t>
      </w:r>
      <w:r>
        <w:rPr>
          <w:rFonts w:ascii="Myriad Pro" w:hAnsi="Myriad Pro"/>
          <w:b/>
          <w:sz w:val="22"/>
          <w:szCs w:val="22"/>
        </w:rPr>
        <w:t xml:space="preserve">annual maximum </w:t>
      </w:r>
      <w:r w:rsidRPr="00CB146E">
        <w:rPr>
          <w:rFonts w:ascii="Myriad Pro" w:hAnsi="Myriad Pro"/>
          <w:b/>
          <w:sz w:val="22"/>
          <w:szCs w:val="22"/>
        </w:rPr>
        <w:t>deep convection area and mean deep convection depth</w:t>
      </w:r>
      <w:r w:rsidRPr="00CB146E">
        <w:rPr>
          <w:rFonts w:ascii="Myriad Pro" w:hAnsi="Myriad Pro"/>
          <w:sz w:val="22"/>
          <w:szCs w:val="22"/>
        </w:rPr>
        <w:t xml:space="preserve">. (a) annual maximum deep convection area, and (b) area-weighted spatial mean annual maximum deep convection depth for the Labrador Sea (blue), the region south of Cape Farewell (cyan), and the </w:t>
      </w:r>
      <w:proofErr w:type="spellStart"/>
      <w:r w:rsidRPr="00CB146E">
        <w:rPr>
          <w:rFonts w:ascii="Myriad Pro" w:hAnsi="Myriad Pro"/>
          <w:sz w:val="22"/>
          <w:szCs w:val="22"/>
        </w:rPr>
        <w:t>Irminger</w:t>
      </w:r>
      <w:proofErr w:type="spellEnd"/>
      <w:r w:rsidRPr="00CB146E">
        <w:rPr>
          <w:rFonts w:ascii="Myriad Pro" w:hAnsi="Myriad Pro"/>
          <w:sz w:val="22"/>
          <w:szCs w:val="22"/>
        </w:rPr>
        <w:t xml:space="preserve"> Sea (green) as simulated with SIM</w:t>
      </w:r>
      <w:r w:rsidRPr="00CB146E">
        <w:rPr>
          <w:rFonts w:ascii="Myriad Pro" w:hAnsi="Myriad Pro"/>
          <w:sz w:val="22"/>
          <w:szCs w:val="22"/>
          <w:vertAlign w:val="subscript"/>
        </w:rPr>
        <w:t>JRA</w:t>
      </w:r>
      <w:r w:rsidRPr="00CB146E">
        <w:rPr>
          <w:rFonts w:ascii="Myriad Pro" w:hAnsi="Myriad Pro"/>
          <w:sz w:val="22"/>
          <w:szCs w:val="22"/>
        </w:rPr>
        <w:t xml:space="preserve"> (solid lines with filled markers) and SIM</w:t>
      </w:r>
      <w:r w:rsidRPr="00CB146E">
        <w:rPr>
          <w:rFonts w:ascii="Myriad Pro" w:hAnsi="Myriad Pro"/>
          <w:sz w:val="22"/>
          <w:szCs w:val="22"/>
          <w:vertAlign w:val="subscript"/>
        </w:rPr>
        <w:t>CORE</w:t>
      </w:r>
      <w:r w:rsidRPr="00CB146E">
        <w:rPr>
          <w:rFonts w:ascii="Myriad Pro" w:hAnsi="Myriad Pro"/>
          <w:sz w:val="22"/>
          <w:szCs w:val="22"/>
        </w:rPr>
        <w:t xml:space="preserve"> (dotted lines with non-filled markers); grey shading highlights major deep convection periods as defined in Figure 2e (identical to Figure S4c) and red shading the years 2015-2018 with anomalous high (low) relative </w:t>
      </w:r>
      <w:r>
        <w:rPr>
          <w:rFonts w:ascii="Myriad Pro" w:hAnsi="Myriad Pro"/>
          <w:sz w:val="22"/>
          <w:szCs w:val="22"/>
        </w:rPr>
        <w:t>annual deep convection volume</w:t>
      </w:r>
      <w:r w:rsidRPr="00CB146E">
        <w:rPr>
          <w:rFonts w:ascii="Myriad Pro" w:hAnsi="Myriad Pro"/>
          <w:sz w:val="22"/>
          <w:szCs w:val="22"/>
        </w:rPr>
        <w:t xml:space="preserve"> contribution of the EAST (WEST) deep convection sub-region.</w:t>
      </w:r>
    </w:p>
    <w:p w14:paraId="44688115" w14:textId="782CD2B9" w:rsidR="00CB146E" w:rsidRDefault="00CB146E" w:rsidP="00D202B4">
      <w:pPr>
        <w:jc w:val="both"/>
        <w:rPr>
          <w:rFonts w:ascii="Myriad Pro" w:hAnsi="Myriad Pro"/>
          <w:sz w:val="22"/>
          <w:szCs w:val="22"/>
        </w:rPr>
      </w:pPr>
    </w:p>
    <w:p w14:paraId="6A9D0A13" w14:textId="2598794F" w:rsidR="00CB146E" w:rsidRDefault="00CB146E" w:rsidP="00D202B4">
      <w:pPr>
        <w:jc w:val="both"/>
        <w:rPr>
          <w:rFonts w:ascii="Myriad Pro" w:hAnsi="Myriad Pro"/>
          <w:sz w:val="22"/>
          <w:szCs w:val="22"/>
        </w:rPr>
      </w:pPr>
    </w:p>
    <w:p w14:paraId="65728F95" w14:textId="57784D73" w:rsidR="00CB146E" w:rsidRDefault="00CB146E" w:rsidP="00D202B4">
      <w:pPr>
        <w:jc w:val="both"/>
        <w:rPr>
          <w:rFonts w:ascii="Myriad Pro" w:hAnsi="Myriad Pro"/>
          <w:sz w:val="22"/>
          <w:szCs w:val="22"/>
        </w:rPr>
      </w:pPr>
      <w:r>
        <w:rPr>
          <w:rFonts w:cstheme="minorHAnsi"/>
          <w:i/>
          <w:noProof/>
          <w:sz w:val="22"/>
          <w:szCs w:val="22"/>
        </w:rPr>
        <w:drawing>
          <wp:inline distT="0" distB="0" distL="0" distR="0" wp14:anchorId="1E6E3643" wp14:editId="037C6D43">
            <wp:extent cx="5486400" cy="2692389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KING20X.L46_1m_somxl010_MLDCOMP-JRAkurz-CORE_Timeseries-DeepConvAreaSubdomains-volumecontr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" t="5909" r="9251" b="29101"/>
                    <a:stretch/>
                  </pic:blipFill>
                  <pic:spPr bwMode="auto">
                    <a:xfrm>
                      <a:off x="0" y="0"/>
                      <a:ext cx="5486400" cy="269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011C4" w14:textId="0EB94667" w:rsidR="00DD2D68" w:rsidRDefault="00CB146E" w:rsidP="00D202B4">
      <w:pPr>
        <w:jc w:val="both"/>
        <w:rPr>
          <w:rFonts w:ascii="Myriad Pro" w:hAnsi="Myriad Pro"/>
          <w:sz w:val="22"/>
          <w:szCs w:val="22"/>
        </w:rPr>
      </w:pPr>
      <w:r w:rsidRPr="00CB146E">
        <w:rPr>
          <w:rFonts w:ascii="Myriad Pro" w:hAnsi="Myriad Pro"/>
          <w:b/>
          <w:sz w:val="22"/>
          <w:szCs w:val="22"/>
        </w:rPr>
        <w:t>Figure S6: Simulated year-to-year variability of annual mixed layer depth volume.</w:t>
      </w:r>
      <w:r w:rsidRPr="00CB146E">
        <w:rPr>
          <w:rFonts w:ascii="Myriad Pro" w:hAnsi="Myriad Pro"/>
          <w:sz w:val="22"/>
          <w:szCs w:val="22"/>
        </w:rPr>
        <w:t xml:space="preserve"> (a) absolute, and (b) relative contributions of the Labrador Sea (blue), the region south of Cape Farewell (cyan), and the </w:t>
      </w:r>
      <w:proofErr w:type="spellStart"/>
      <w:r w:rsidRPr="00CB146E">
        <w:rPr>
          <w:rFonts w:ascii="Myriad Pro" w:hAnsi="Myriad Pro"/>
          <w:sz w:val="22"/>
          <w:szCs w:val="22"/>
        </w:rPr>
        <w:t>Irminger</w:t>
      </w:r>
      <w:proofErr w:type="spellEnd"/>
      <w:r w:rsidRPr="00CB146E">
        <w:rPr>
          <w:rFonts w:ascii="Myriad Pro" w:hAnsi="Myriad Pro"/>
          <w:sz w:val="22"/>
          <w:szCs w:val="22"/>
        </w:rPr>
        <w:t xml:space="preserve"> Sea (green) to the mixed layer depth volume in the potential deep convection region as simulated with SIM</w:t>
      </w:r>
      <w:r w:rsidRPr="00CB146E">
        <w:rPr>
          <w:rFonts w:ascii="Myriad Pro" w:hAnsi="Myriad Pro"/>
          <w:sz w:val="22"/>
          <w:szCs w:val="22"/>
          <w:vertAlign w:val="subscript"/>
        </w:rPr>
        <w:t>JRA</w:t>
      </w:r>
      <w:r w:rsidRPr="00CB146E">
        <w:rPr>
          <w:rFonts w:ascii="Myriad Pro" w:hAnsi="Myriad Pro"/>
          <w:sz w:val="22"/>
          <w:szCs w:val="22"/>
        </w:rPr>
        <w:t xml:space="preserve"> (solid lines with filled markers) and SIM</w:t>
      </w:r>
      <w:r w:rsidRPr="00CB146E">
        <w:rPr>
          <w:rFonts w:ascii="Myriad Pro" w:hAnsi="Myriad Pro"/>
          <w:sz w:val="22"/>
          <w:szCs w:val="22"/>
          <w:vertAlign w:val="subscript"/>
        </w:rPr>
        <w:t>CORE</w:t>
      </w:r>
      <w:r w:rsidRPr="00CB146E">
        <w:rPr>
          <w:rFonts w:ascii="Myriad Pro" w:hAnsi="Myriad Pro"/>
          <w:sz w:val="22"/>
          <w:szCs w:val="22"/>
        </w:rPr>
        <w:t xml:space="preserve"> (dotted lines with non-filled markers); grey and red background shading as in Figures 4,5, and S5.</w:t>
      </w:r>
    </w:p>
    <w:p w14:paraId="7FDD9B8E" w14:textId="73A5A5EC" w:rsidR="005D75D4" w:rsidRDefault="005D75D4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7DBEB1D6" w14:textId="3A20C241" w:rsidR="005D75D4" w:rsidRDefault="005D75D4" w:rsidP="00D202B4">
      <w:pPr>
        <w:jc w:val="both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noProof/>
          <w:sz w:val="22"/>
          <w:szCs w:val="22"/>
        </w:rPr>
        <w:lastRenderedPageBreak/>
        <w:drawing>
          <wp:inline distT="0" distB="0" distL="0" distR="0" wp14:anchorId="15C91594" wp14:editId="3F92F2D6">
            <wp:extent cx="5477944" cy="22658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bSea_freshening_source_saltAno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44" cy="226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3B02" w14:textId="44926C3E" w:rsidR="005D75D4" w:rsidRDefault="005D75D4" w:rsidP="00D202B4">
      <w:pPr>
        <w:jc w:val="both"/>
        <w:rPr>
          <w:rFonts w:ascii="Myriad Pro" w:hAnsi="Myriad Pro"/>
          <w:sz w:val="22"/>
          <w:szCs w:val="22"/>
        </w:rPr>
      </w:pPr>
      <w:r w:rsidRPr="005D75D4">
        <w:rPr>
          <w:rFonts w:ascii="Myriad Pro" w:hAnsi="Myriad Pro"/>
          <w:b/>
          <w:sz w:val="22"/>
          <w:szCs w:val="22"/>
        </w:rPr>
        <w:t xml:space="preserve">Figure S7: Simulated </w:t>
      </w:r>
      <w:r w:rsidR="00A643EB">
        <w:rPr>
          <w:rFonts w:ascii="Myriad Pro" w:hAnsi="Myriad Pro"/>
          <w:b/>
          <w:sz w:val="22"/>
          <w:szCs w:val="22"/>
        </w:rPr>
        <w:t>(SIM</w:t>
      </w:r>
      <w:r w:rsidR="00A643EB" w:rsidRPr="00F042E3">
        <w:rPr>
          <w:rFonts w:ascii="Myriad Pro" w:hAnsi="Myriad Pro"/>
          <w:b/>
          <w:sz w:val="22"/>
          <w:szCs w:val="22"/>
          <w:vertAlign w:val="subscript"/>
        </w:rPr>
        <w:t>JRA</w:t>
      </w:r>
      <w:r w:rsidR="00A643EB">
        <w:rPr>
          <w:rFonts w:ascii="Myriad Pro" w:hAnsi="Myriad Pro"/>
          <w:b/>
          <w:sz w:val="22"/>
          <w:szCs w:val="22"/>
        </w:rPr>
        <w:t xml:space="preserve">) </w:t>
      </w:r>
      <w:r w:rsidRPr="005D75D4">
        <w:rPr>
          <w:rFonts w:ascii="Myriad Pro" w:hAnsi="Myriad Pro"/>
          <w:b/>
          <w:sz w:val="22"/>
          <w:szCs w:val="22"/>
        </w:rPr>
        <w:t>upper ocean (0-200 m) salinity anomalies.</w:t>
      </w:r>
      <w:r>
        <w:rPr>
          <w:rFonts w:ascii="Myriad Pro" w:hAnsi="Myriad Pro"/>
          <w:sz w:val="22"/>
          <w:szCs w:val="22"/>
        </w:rPr>
        <w:t xml:space="preserve"> (a) Salinity anomaly in the subpolar North Atlantic of the years 2015-2018. (b) Salinity anomalies at selected locations in the East </w:t>
      </w:r>
      <w:r w:rsidR="005C7146">
        <w:rPr>
          <w:rFonts w:ascii="Myriad Pro" w:hAnsi="Myriad Pro"/>
          <w:sz w:val="22"/>
          <w:szCs w:val="22"/>
        </w:rPr>
        <w:t xml:space="preserve">Greenland Current </w:t>
      </w:r>
      <w:r>
        <w:rPr>
          <w:rFonts w:ascii="Myriad Pro" w:hAnsi="Myriad Pro"/>
          <w:sz w:val="22"/>
          <w:szCs w:val="22"/>
        </w:rPr>
        <w:t>(EGC</w:t>
      </w:r>
      <w:r w:rsidR="00B217F8">
        <w:rPr>
          <w:rFonts w:ascii="Myriad Pro" w:hAnsi="Myriad Pro"/>
          <w:sz w:val="22"/>
          <w:szCs w:val="22"/>
        </w:rPr>
        <w:t>, orange colors</w:t>
      </w:r>
      <w:r>
        <w:rPr>
          <w:rFonts w:ascii="Myriad Pro" w:hAnsi="Myriad Pro"/>
          <w:sz w:val="22"/>
          <w:szCs w:val="22"/>
        </w:rPr>
        <w:t>) and West Greenland Current (WGC</w:t>
      </w:r>
      <w:r w:rsidR="00B217F8">
        <w:rPr>
          <w:rFonts w:ascii="Myriad Pro" w:hAnsi="Myriad Pro"/>
          <w:sz w:val="22"/>
          <w:szCs w:val="22"/>
        </w:rPr>
        <w:t>, red</w:t>
      </w:r>
      <w:r>
        <w:rPr>
          <w:rFonts w:ascii="Myriad Pro" w:hAnsi="Myriad Pro"/>
          <w:sz w:val="22"/>
          <w:szCs w:val="22"/>
        </w:rPr>
        <w:t xml:space="preserve">) with a final point in the </w:t>
      </w:r>
      <w:r w:rsidR="00B217F8">
        <w:rPr>
          <w:rFonts w:ascii="Myriad Pro" w:hAnsi="Myriad Pro"/>
          <w:sz w:val="22"/>
          <w:szCs w:val="22"/>
        </w:rPr>
        <w:t xml:space="preserve">northern Labrador Sea (bold dark red), where </w:t>
      </w:r>
      <w:proofErr w:type="spellStart"/>
      <w:r w:rsidR="005C7146">
        <w:rPr>
          <w:rFonts w:ascii="Myriad Pro" w:hAnsi="Myriad Pro"/>
          <w:sz w:val="22"/>
          <w:szCs w:val="22"/>
        </w:rPr>
        <w:t>Irminger</w:t>
      </w:r>
      <w:proofErr w:type="spellEnd"/>
      <w:r w:rsidR="005C7146">
        <w:rPr>
          <w:rFonts w:ascii="Myriad Pro" w:hAnsi="Myriad Pro"/>
          <w:sz w:val="22"/>
          <w:szCs w:val="22"/>
        </w:rPr>
        <w:t xml:space="preserve"> Rings</w:t>
      </w:r>
      <w:r w:rsidR="00B217F8">
        <w:rPr>
          <w:rFonts w:ascii="Myriad Pro" w:hAnsi="Myriad Pro"/>
          <w:sz w:val="22"/>
          <w:szCs w:val="22"/>
        </w:rPr>
        <w:t xml:space="preserve"> strongly influence salinity and </w:t>
      </w:r>
      <w:r w:rsidR="00C23499">
        <w:rPr>
          <w:rFonts w:ascii="Myriad Pro" w:hAnsi="Myriad Pro"/>
          <w:sz w:val="22"/>
          <w:szCs w:val="22"/>
        </w:rPr>
        <w:t>MLDs</w:t>
      </w:r>
      <w:r w:rsidR="00B217F8">
        <w:rPr>
          <w:rFonts w:ascii="Myriad Pro" w:hAnsi="Myriad Pro"/>
          <w:sz w:val="22"/>
          <w:szCs w:val="22"/>
        </w:rPr>
        <w:t xml:space="preserve">; time series </w:t>
      </w:r>
      <w:r w:rsidR="00C23499">
        <w:rPr>
          <w:rFonts w:ascii="Myriad Pro" w:hAnsi="Myriad Pro"/>
          <w:sz w:val="22"/>
          <w:szCs w:val="22"/>
        </w:rPr>
        <w:t>refer</w:t>
      </w:r>
      <w:r w:rsidR="00B217F8">
        <w:rPr>
          <w:rFonts w:ascii="Myriad Pro" w:hAnsi="Myriad Pro"/>
          <w:sz w:val="22"/>
          <w:szCs w:val="22"/>
        </w:rPr>
        <w:t xml:space="preserve"> to crosses of same color in (a). (c) Salinity anomalies at selected locations from the eastern North Atlantic (pale green), passing Reykjanes Ridge and Cape Farewell</w:t>
      </w:r>
      <w:r w:rsidR="003C69C7">
        <w:rPr>
          <w:rFonts w:ascii="Myriad Pro" w:hAnsi="Myriad Pro"/>
          <w:sz w:val="22"/>
          <w:szCs w:val="22"/>
        </w:rPr>
        <w:t xml:space="preserve"> (medium greens)</w:t>
      </w:r>
      <w:r w:rsidR="00B217F8">
        <w:rPr>
          <w:rFonts w:ascii="Myriad Pro" w:hAnsi="Myriad Pro"/>
          <w:sz w:val="22"/>
          <w:szCs w:val="22"/>
        </w:rPr>
        <w:t xml:space="preserve">, entering the </w:t>
      </w:r>
      <w:r w:rsidR="00C23499">
        <w:rPr>
          <w:rFonts w:ascii="Myriad Pro" w:hAnsi="Myriad Pro"/>
          <w:sz w:val="22"/>
          <w:szCs w:val="22"/>
        </w:rPr>
        <w:t>central</w:t>
      </w:r>
      <w:r w:rsidR="00B217F8">
        <w:rPr>
          <w:rFonts w:ascii="Myriad Pro" w:hAnsi="Myriad Pro"/>
          <w:sz w:val="22"/>
          <w:szCs w:val="22"/>
        </w:rPr>
        <w:t xml:space="preserve"> Labrador Sea (bold dark green); time series refer to filled circles of same color in (a).</w:t>
      </w:r>
      <w:r>
        <w:rPr>
          <w:rFonts w:ascii="Myriad Pro" w:hAnsi="Myriad Pro"/>
          <w:sz w:val="22"/>
          <w:szCs w:val="22"/>
        </w:rPr>
        <w:t xml:space="preserve"> All anomalies are computed </w:t>
      </w:r>
      <w:r w:rsidR="00A643EB">
        <w:rPr>
          <w:rFonts w:ascii="Myriad Pro" w:hAnsi="Myriad Pro"/>
          <w:sz w:val="22"/>
          <w:szCs w:val="22"/>
        </w:rPr>
        <w:t xml:space="preserve">based on annual mean values </w:t>
      </w:r>
      <w:r>
        <w:rPr>
          <w:rFonts w:ascii="Myriad Pro" w:hAnsi="Myriad Pro"/>
          <w:sz w:val="22"/>
          <w:szCs w:val="22"/>
        </w:rPr>
        <w:t>with respect to the reference period 1980-2009.</w:t>
      </w:r>
    </w:p>
    <w:p w14:paraId="7B9651AA" w14:textId="50C7E17D" w:rsidR="00551382" w:rsidRDefault="00551382" w:rsidP="00D202B4">
      <w:pPr>
        <w:jc w:val="both"/>
        <w:rPr>
          <w:rFonts w:ascii="Myriad Pro" w:hAnsi="Myriad Pro"/>
          <w:sz w:val="22"/>
          <w:szCs w:val="22"/>
        </w:rPr>
      </w:pPr>
    </w:p>
    <w:p w14:paraId="1F2266A2" w14:textId="05C80FC0" w:rsidR="00551382" w:rsidRDefault="00551382" w:rsidP="00D202B4">
      <w:pPr>
        <w:jc w:val="both"/>
        <w:rPr>
          <w:rFonts w:ascii="Myriad Pro" w:hAnsi="Myriad Pro"/>
          <w:sz w:val="22"/>
          <w:szCs w:val="22"/>
        </w:rPr>
      </w:pPr>
    </w:p>
    <w:p w14:paraId="6710E362" w14:textId="033C231B" w:rsidR="00551382" w:rsidRDefault="005D1681" w:rsidP="00D202B4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drawing>
          <wp:inline distT="0" distB="0" distL="0" distR="0" wp14:anchorId="351B7456" wp14:editId="1A6086CE">
            <wp:extent cx="5486400" cy="2216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bSea_freshening_source_saltCorr_LabSea_on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60950" w14:textId="63283059" w:rsidR="00551382" w:rsidRDefault="00551382" w:rsidP="00D202B4">
      <w:pPr>
        <w:jc w:val="both"/>
        <w:rPr>
          <w:rFonts w:ascii="Myriad Pro" w:hAnsi="Myriad Pro"/>
          <w:sz w:val="22"/>
          <w:szCs w:val="22"/>
        </w:rPr>
      </w:pPr>
      <w:r w:rsidRPr="00E17271">
        <w:rPr>
          <w:rFonts w:ascii="Myriad Pro" w:hAnsi="Myriad Pro"/>
          <w:b/>
          <w:sz w:val="22"/>
          <w:szCs w:val="22"/>
        </w:rPr>
        <w:t xml:space="preserve">Figure S8: </w:t>
      </w:r>
      <w:proofErr w:type="spellStart"/>
      <w:r w:rsidRPr="00E17271">
        <w:rPr>
          <w:rFonts w:ascii="Myriad Pro" w:hAnsi="Myriad Pro"/>
          <w:b/>
          <w:sz w:val="22"/>
          <w:szCs w:val="22"/>
        </w:rPr>
        <w:t>Covariability</w:t>
      </w:r>
      <w:proofErr w:type="spellEnd"/>
      <w:r w:rsidRPr="00E17271">
        <w:rPr>
          <w:rFonts w:ascii="Myriad Pro" w:hAnsi="Myriad Pro"/>
          <w:b/>
          <w:sz w:val="22"/>
          <w:szCs w:val="22"/>
        </w:rPr>
        <w:t xml:space="preserve"> of </w:t>
      </w:r>
      <w:r w:rsidR="00A643EB">
        <w:rPr>
          <w:rFonts w:ascii="Myriad Pro" w:hAnsi="Myriad Pro"/>
          <w:b/>
          <w:sz w:val="22"/>
          <w:szCs w:val="22"/>
        </w:rPr>
        <w:t>simulated (SIM</w:t>
      </w:r>
      <w:r w:rsidR="00A643EB" w:rsidRPr="00E17271">
        <w:rPr>
          <w:rFonts w:ascii="Myriad Pro" w:hAnsi="Myriad Pro"/>
          <w:b/>
          <w:sz w:val="22"/>
          <w:szCs w:val="22"/>
          <w:vertAlign w:val="subscript"/>
        </w:rPr>
        <w:t>JRA</w:t>
      </w:r>
      <w:r w:rsidR="00A643EB">
        <w:rPr>
          <w:rFonts w:ascii="Myriad Pro" w:hAnsi="Myriad Pro"/>
          <w:b/>
          <w:sz w:val="22"/>
          <w:szCs w:val="22"/>
        </w:rPr>
        <w:t xml:space="preserve">) </w:t>
      </w:r>
      <w:r w:rsidRPr="00E17271">
        <w:rPr>
          <w:rFonts w:ascii="Myriad Pro" w:hAnsi="Myriad Pro"/>
          <w:b/>
          <w:sz w:val="22"/>
          <w:szCs w:val="22"/>
        </w:rPr>
        <w:t xml:space="preserve">salinity in the Labrador Sea </w:t>
      </w:r>
      <w:r w:rsidR="00A643EB">
        <w:rPr>
          <w:rFonts w:ascii="Myriad Pro" w:hAnsi="Myriad Pro"/>
          <w:b/>
          <w:sz w:val="22"/>
          <w:szCs w:val="22"/>
        </w:rPr>
        <w:t xml:space="preserve">and the </w:t>
      </w:r>
      <w:proofErr w:type="gramStart"/>
      <w:r w:rsidR="00A643EB">
        <w:rPr>
          <w:rFonts w:ascii="Myriad Pro" w:hAnsi="Myriad Pro"/>
          <w:b/>
          <w:sz w:val="22"/>
          <w:szCs w:val="22"/>
        </w:rPr>
        <w:t xml:space="preserve">larger </w:t>
      </w:r>
      <w:r w:rsidRPr="00E17271">
        <w:rPr>
          <w:rFonts w:ascii="Myriad Pro" w:hAnsi="Myriad Pro"/>
          <w:b/>
          <w:sz w:val="22"/>
          <w:szCs w:val="22"/>
        </w:rPr>
        <w:t xml:space="preserve"> subpolar</w:t>
      </w:r>
      <w:proofErr w:type="gramEnd"/>
      <w:r w:rsidRPr="00E17271">
        <w:rPr>
          <w:rFonts w:ascii="Myriad Pro" w:hAnsi="Myriad Pro"/>
          <w:b/>
          <w:sz w:val="22"/>
          <w:szCs w:val="22"/>
        </w:rPr>
        <w:t xml:space="preserve"> North Atlantic</w:t>
      </w:r>
      <w:r>
        <w:rPr>
          <w:rFonts w:ascii="Myriad Pro" w:hAnsi="Myriad Pro"/>
          <w:b/>
          <w:sz w:val="22"/>
          <w:szCs w:val="22"/>
        </w:rPr>
        <w:t>.</w:t>
      </w:r>
      <w:r>
        <w:rPr>
          <w:rFonts w:ascii="Myriad Pro" w:hAnsi="Myriad Pro"/>
          <w:sz w:val="22"/>
          <w:szCs w:val="22"/>
        </w:rPr>
        <w:t xml:space="preserve"> (a) </w:t>
      </w:r>
      <w:proofErr w:type="spellStart"/>
      <w:r>
        <w:rPr>
          <w:rFonts w:ascii="Myriad Pro" w:hAnsi="Myriad Pro"/>
          <w:sz w:val="22"/>
          <w:szCs w:val="22"/>
        </w:rPr>
        <w:t>Covariability</w:t>
      </w:r>
      <w:proofErr w:type="spellEnd"/>
      <w:r>
        <w:rPr>
          <w:rFonts w:ascii="Myriad Pro" w:hAnsi="Myriad Pro"/>
          <w:sz w:val="22"/>
          <w:szCs w:val="22"/>
        </w:rPr>
        <w:t xml:space="preserve"> of</w:t>
      </w:r>
      <w:r w:rsidR="002A4674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hAnsi="Myriad Pro"/>
          <w:sz w:val="22"/>
          <w:szCs w:val="22"/>
        </w:rPr>
        <w:t xml:space="preserve">simulated </w:t>
      </w:r>
      <w:r w:rsidR="002A4674">
        <w:rPr>
          <w:rFonts w:ascii="Myriad Pro" w:hAnsi="Myriad Pro"/>
          <w:sz w:val="22"/>
          <w:szCs w:val="22"/>
        </w:rPr>
        <w:t xml:space="preserve">local </w:t>
      </w:r>
      <w:r w:rsidR="00A643EB">
        <w:rPr>
          <w:rFonts w:ascii="Myriad Pro" w:hAnsi="Myriad Pro"/>
          <w:sz w:val="22"/>
          <w:szCs w:val="22"/>
        </w:rPr>
        <w:t xml:space="preserve">annual mean </w:t>
      </w:r>
      <w:r w:rsidR="002A4674">
        <w:rPr>
          <w:rFonts w:ascii="Myriad Pro" w:hAnsi="Myriad Pro"/>
          <w:sz w:val="22"/>
          <w:szCs w:val="22"/>
        </w:rPr>
        <w:t xml:space="preserve">upper ocean (0-200 m) </w:t>
      </w:r>
      <w:r>
        <w:rPr>
          <w:rFonts w:ascii="Myriad Pro" w:hAnsi="Myriad Pro"/>
          <w:sz w:val="22"/>
          <w:szCs w:val="22"/>
        </w:rPr>
        <w:t xml:space="preserve">salinity </w:t>
      </w:r>
      <w:r w:rsidR="002A4674">
        <w:rPr>
          <w:rFonts w:ascii="Myriad Pro" w:hAnsi="Myriad Pro"/>
          <w:sz w:val="22"/>
          <w:szCs w:val="22"/>
        </w:rPr>
        <w:t xml:space="preserve">with salinity at selected locations </w:t>
      </w:r>
      <w:proofErr w:type="gramStart"/>
      <w:r w:rsidR="002A4674">
        <w:rPr>
          <w:rFonts w:ascii="Myriad Pro" w:hAnsi="Myriad Pro"/>
          <w:sz w:val="22"/>
          <w:szCs w:val="22"/>
        </w:rPr>
        <w:t xml:space="preserve">in </w:t>
      </w:r>
      <w:r>
        <w:rPr>
          <w:rFonts w:ascii="Myriad Pro" w:hAnsi="Myriad Pro"/>
          <w:sz w:val="22"/>
          <w:szCs w:val="22"/>
        </w:rPr>
        <w:t xml:space="preserve"> </w:t>
      </w:r>
      <w:r w:rsidR="002A4674">
        <w:rPr>
          <w:rFonts w:ascii="Myriad Pro" w:hAnsi="Myriad Pro"/>
          <w:sz w:val="22"/>
          <w:szCs w:val="22"/>
        </w:rPr>
        <w:t>(</w:t>
      </w:r>
      <w:proofErr w:type="gramEnd"/>
      <w:r w:rsidR="002A4674">
        <w:rPr>
          <w:rFonts w:ascii="Myriad Pro" w:hAnsi="Myriad Pro"/>
          <w:sz w:val="22"/>
          <w:szCs w:val="22"/>
        </w:rPr>
        <w:t xml:space="preserve">a) </w:t>
      </w:r>
      <w:r>
        <w:rPr>
          <w:rFonts w:ascii="Myriad Pro" w:hAnsi="Myriad Pro"/>
          <w:sz w:val="22"/>
          <w:szCs w:val="22"/>
        </w:rPr>
        <w:t xml:space="preserve">northern </w:t>
      </w:r>
      <w:r w:rsidR="002A4674">
        <w:rPr>
          <w:rFonts w:ascii="Myriad Pro" w:hAnsi="Myriad Pro"/>
          <w:sz w:val="22"/>
          <w:szCs w:val="22"/>
        </w:rPr>
        <w:t xml:space="preserve">(black cross, equals dark red cross in Figure S7a) and (b) central (black dot, equals dark red dot in Figure S7a) </w:t>
      </w:r>
      <w:r>
        <w:rPr>
          <w:rFonts w:ascii="Myriad Pro" w:hAnsi="Myriad Pro"/>
          <w:sz w:val="22"/>
          <w:szCs w:val="22"/>
        </w:rPr>
        <w:t>Labrador Sea</w:t>
      </w:r>
      <w:r w:rsidR="002A4674">
        <w:rPr>
          <w:rFonts w:ascii="Myriad Pro" w:hAnsi="Myriad Pro"/>
          <w:sz w:val="22"/>
          <w:szCs w:val="22"/>
        </w:rPr>
        <w:t>,</w:t>
      </w:r>
      <w:r>
        <w:rPr>
          <w:rFonts w:ascii="Myriad Pro" w:hAnsi="Myriad Pro"/>
          <w:sz w:val="22"/>
          <w:szCs w:val="22"/>
        </w:rPr>
        <w:t xml:space="preserve"> illustrated by c</w:t>
      </w:r>
      <w:r w:rsidRPr="00551382">
        <w:rPr>
          <w:rFonts w:ascii="Myriad Pro" w:hAnsi="Myriad Pro"/>
          <w:sz w:val="22"/>
          <w:szCs w:val="22"/>
        </w:rPr>
        <w:t>orrelation coefficients (Pearson’s r)</w:t>
      </w:r>
      <w:r w:rsidR="003D3F8F">
        <w:rPr>
          <w:rFonts w:ascii="Myriad Pro" w:hAnsi="Myriad Pro"/>
          <w:sz w:val="22"/>
          <w:szCs w:val="22"/>
        </w:rPr>
        <w:t>.</w:t>
      </w:r>
    </w:p>
    <w:p w14:paraId="020B3FA4" w14:textId="1643CF57" w:rsidR="0013300F" w:rsidRDefault="0013300F">
      <w:pPr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01683848" w14:textId="5D9BE2EB" w:rsidR="0013300F" w:rsidRDefault="0013300F" w:rsidP="00D202B4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405D291D" wp14:editId="00EFC175">
            <wp:extent cx="5486400" cy="27285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RA_Grnl_total_FW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71D4" w14:textId="063B1B73" w:rsidR="0013300F" w:rsidRPr="00CB146E" w:rsidRDefault="0013300F" w:rsidP="00D202B4">
      <w:pPr>
        <w:jc w:val="both"/>
        <w:rPr>
          <w:rFonts w:ascii="Myriad Pro" w:hAnsi="Myriad Pro"/>
          <w:sz w:val="22"/>
          <w:szCs w:val="22"/>
        </w:rPr>
      </w:pPr>
      <w:r w:rsidRPr="00E17271">
        <w:rPr>
          <w:rFonts w:ascii="Myriad Pro" w:hAnsi="Myriad Pro"/>
          <w:b/>
          <w:sz w:val="22"/>
          <w:szCs w:val="22"/>
        </w:rPr>
        <w:t>Figure S9: Annual mean freshwater flux (runoff and calving) from Greenland.</w:t>
      </w:r>
      <w:r>
        <w:rPr>
          <w:rFonts w:ascii="Myriad Pro" w:hAnsi="Myriad Pro"/>
          <w:sz w:val="22"/>
          <w:szCs w:val="22"/>
        </w:rPr>
        <w:t xml:space="preserve"> The plot shows the runoff and calving rates (which we added as liquid flux to the runoff) as included in the JRA55-do forcing version 1.4 (</w:t>
      </w:r>
      <w:proofErr w:type="spellStart"/>
      <w:r>
        <w:rPr>
          <w:rFonts w:ascii="Myriad Pro" w:hAnsi="Myriad Pro"/>
          <w:sz w:val="22"/>
          <w:szCs w:val="22"/>
        </w:rPr>
        <w:t>Tsujino</w:t>
      </w:r>
      <w:proofErr w:type="spellEnd"/>
      <w:r>
        <w:rPr>
          <w:rFonts w:ascii="Myriad Pro" w:hAnsi="Myriad Pro"/>
          <w:sz w:val="22"/>
          <w:szCs w:val="22"/>
        </w:rPr>
        <w:t xml:space="preserve"> et al, 2018), which we applied to SIM</w:t>
      </w:r>
      <w:r w:rsidRPr="00E17271">
        <w:rPr>
          <w:rFonts w:ascii="Myriad Pro" w:hAnsi="Myriad Pro"/>
          <w:sz w:val="22"/>
          <w:szCs w:val="22"/>
          <w:vertAlign w:val="subscript"/>
        </w:rPr>
        <w:t>JRA</w:t>
      </w:r>
      <w:r>
        <w:rPr>
          <w:rFonts w:ascii="Myriad Pro" w:hAnsi="Myriad Pro"/>
          <w:sz w:val="22"/>
          <w:szCs w:val="22"/>
        </w:rPr>
        <w:t>. Note, these fluxes originate from Bamber et al. (2018). Ocean basins</w:t>
      </w:r>
      <w:r w:rsidR="00984764">
        <w:rPr>
          <w:rFonts w:ascii="Myriad Pro" w:hAnsi="Myriad Pro"/>
          <w:sz w:val="22"/>
          <w:szCs w:val="22"/>
        </w:rPr>
        <w:t xml:space="preserve"> (black and gray lines)</w:t>
      </w:r>
      <w:r>
        <w:rPr>
          <w:rFonts w:ascii="Myriad Pro" w:hAnsi="Myriad Pro"/>
          <w:sz w:val="22"/>
          <w:szCs w:val="22"/>
        </w:rPr>
        <w:t xml:space="preserve"> </w:t>
      </w:r>
      <w:r w:rsidR="002A4674">
        <w:rPr>
          <w:rFonts w:ascii="Myriad Pro" w:hAnsi="Myriad Pro"/>
          <w:sz w:val="22"/>
          <w:szCs w:val="22"/>
        </w:rPr>
        <w:t xml:space="preserve">also </w:t>
      </w:r>
      <w:r>
        <w:rPr>
          <w:rFonts w:ascii="Myriad Pro" w:hAnsi="Myriad Pro"/>
          <w:sz w:val="22"/>
          <w:szCs w:val="22"/>
        </w:rPr>
        <w:t>refer to those defined in Bamber et al.</w:t>
      </w:r>
      <w:r w:rsidR="002A4674">
        <w:rPr>
          <w:rFonts w:ascii="Myriad Pro" w:hAnsi="Myriad Pro"/>
          <w:sz w:val="22"/>
          <w:szCs w:val="22"/>
        </w:rPr>
        <w:t xml:space="preserve"> (2018)</w:t>
      </w:r>
      <w:r>
        <w:rPr>
          <w:rFonts w:ascii="Myriad Pro" w:hAnsi="Myriad Pro"/>
          <w:sz w:val="22"/>
          <w:szCs w:val="22"/>
        </w:rPr>
        <w:t>, their Figure 4.</w:t>
      </w:r>
    </w:p>
    <w:p w14:paraId="3F306930" w14:textId="2148CE7F" w:rsidR="00CB146E" w:rsidRDefault="00CB146E" w:rsidP="0013300F">
      <w:pPr>
        <w:rPr>
          <w:rFonts w:ascii="Myriad Pro" w:hAnsi="Myriad Pro"/>
          <w:sz w:val="22"/>
          <w:szCs w:val="22"/>
        </w:rPr>
      </w:pPr>
    </w:p>
    <w:p w14:paraId="0126A386" w14:textId="425C06CC" w:rsidR="0013300F" w:rsidRDefault="0013300F" w:rsidP="0013300F">
      <w:pPr>
        <w:rPr>
          <w:rFonts w:ascii="Myriad Pro" w:hAnsi="Myriad Pro"/>
          <w:sz w:val="22"/>
          <w:szCs w:val="22"/>
        </w:rPr>
      </w:pPr>
    </w:p>
    <w:p w14:paraId="5F7DA603" w14:textId="77777777" w:rsidR="0013300F" w:rsidRDefault="0013300F" w:rsidP="00E17271">
      <w:pPr>
        <w:rPr>
          <w:rFonts w:ascii="Myriad Pro" w:hAnsi="Myriad Pro"/>
          <w:sz w:val="22"/>
          <w:szCs w:val="22"/>
        </w:rPr>
      </w:pPr>
    </w:p>
    <w:p w14:paraId="0809A4FE" w14:textId="77777777" w:rsidR="00A643EB" w:rsidRPr="00B44FBC" w:rsidRDefault="00A643EB" w:rsidP="00B44FBC">
      <w:pPr>
        <w:rPr>
          <w:rFonts w:ascii="Myriad Pro" w:hAnsi="Myriad Pro"/>
          <w:b/>
          <w:sz w:val="22"/>
        </w:rPr>
      </w:pPr>
      <w:r>
        <w:rPr>
          <w:rFonts w:ascii="Myriad Pro" w:hAnsi="Myriad Pro"/>
          <w:b/>
          <w:sz w:val="22"/>
          <w:szCs w:val="22"/>
        </w:rPr>
        <w:br w:type="page"/>
      </w:r>
    </w:p>
    <w:p w14:paraId="71650A80" w14:textId="7A0E0CB0" w:rsidR="00D202B4" w:rsidRPr="00CB146E" w:rsidRDefault="00CB146E" w:rsidP="00D202B4">
      <w:pPr>
        <w:jc w:val="both"/>
        <w:rPr>
          <w:rFonts w:ascii="Myriad Pro" w:hAnsi="Myriad Pro"/>
          <w:sz w:val="22"/>
          <w:szCs w:val="22"/>
        </w:rPr>
      </w:pPr>
      <w:r w:rsidRPr="00AA604F">
        <w:rPr>
          <w:rFonts w:ascii="Myriad Pro" w:hAnsi="Myriad Pro"/>
          <w:b/>
          <w:sz w:val="22"/>
          <w:szCs w:val="22"/>
        </w:rPr>
        <w:lastRenderedPageBreak/>
        <w:t>Movie S1: Year-to-year variability in the spatial pattern of annual maximum MLD (anomalies) in SIM</w:t>
      </w:r>
      <w:r w:rsidRPr="00AA604F">
        <w:rPr>
          <w:rFonts w:ascii="Myriad Pro" w:hAnsi="Myriad Pro"/>
          <w:b/>
          <w:sz w:val="22"/>
          <w:szCs w:val="22"/>
          <w:vertAlign w:val="subscript"/>
        </w:rPr>
        <w:t>JRA</w:t>
      </w:r>
      <w:r w:rsidRPr="00AA604F">
        <w:rPr>
          <w:rFonts w:ascii="Myriad Pro" w:hAnsi="Myriad Pro"/>
          <w:b/>
          <w:sz w:val="22"/>
          <w:szCs w:val="22"/>
        </w:rPr>
        <w:t xml:space="preserve"> and SIM</w:t>
      </w:r>
      <w:r w:rsidRPr="00AA604F">
        <w:rPr>
          <w:rFonts w:ascii="Myriad Pro" w:hAnsi="Myriad Pro"/>
          <w:b/>
          <w:sz w:val="22"/>
          <w:szCs w:val="22"/>
          <w:vertAlign w:val="subscript"/>
        </w:rPr>
        <w:t>CORE</w:t>
      </w:r>
      <w:r w:rsidRPr="00AA604F">
        <w:rPr>
          <w:rFonts w:ascii="Myriad Pro" w:hAnsi="Myriad Pro"/>
          <w:b/>
          <w:sz w:val="22"/>
          <w:szCs w:val="22"/>
        </w:rPr>
        <w:t>.</w:t>
      </w:r>
      <w:r w:rsidRPr="00AA604F">
        <w:rPr>
          <w:rFonts w:ascii="Myriad Pro" w:hAnsi="Myriad Pro"/>
          <w:sz w:val="22"/>
          <w:szCs w:val="22"/>
        </w:rPr>
        <w:t xml:space="preserve"> </w:t>
      </w:r>
      <w:r w:rsidR="00210608" w:rsidRPr="00210608">
        <w:rPr>
          <w:rFonts w:ascii="Myriad Pro" w:hAnsi="Myriad Pro"/>
          <w:sz w:val="22"/>
          <w:szCs w:val="22"/>
        </w:rPr>
        <w:t xml:space="preserve">Upper </w:t>
      </w:r>
      <w:proofErr w:type="spellStart"/>
      <w:r w:rsidR="00210608" w:rsidRPr="00210608">
        <w:rPr>
          <w:rFonts w:ascii="Myriad Pro" w:hAnsi="Myriad Pro"/>
          <w:sz w:val="22"/>
          <w:szCs w:val="22"/>
        </w:rPr>
        <w:t>pan</w:t>
      </w:r>
      <w:r w:rsidR="00AA604F">
        <w:rPr>
          <w:rFonts w:ascii="Myriad Pro" w:hAnsi="Myriad Pro"/>
          <w:sz w:val="22"/>
          <w:szCs w:val="22"/>
        </w:rPr>
        <w:t>n</w:t>
      </w:r>
      <w:r w:rsidR="00210608" w:rsidRPr="00210608">
        <w:rPr>
          <w:rFonts w:ascii="Myriad Pro" w:hAnsi="Myriad Pro"/>
          <w:sz w:val="22"/>
          <w:szCs w:val="22"/>
        </w:rPr>
        <w:t>el</w:t>
      </w:r>
      <w:proofErr w:type="spellEnd"/>
      <w:r w:rsidR="00210608" w:rsidRPr="00210608">
        <w:rPr>
          <w:rFonts w:ascii="Myriad Pro" w:hAnsi="Myriad Pro"/>
          <w:sz w:val="22"/>
          <w:szCs w:val="22"/>
        </w:rPr>
        <w:t>:</w:t>
      </w:r>
      <w:r w:rsidR="00210608" w:rsidRPr="00AA604F">
        <w:rPr>
          <w:rFonts w:ascii="Myriad Pro" w:hAnsi="Myriad Pro"/>
          <w:sz w:val="22"/>
          <w:szCs w:val="22"/>
        </w:rPr>
        <w:t xml:space="preserve"> Year-to-year variability of spatial </w:t>
      </w:r>
      <w:proofErr w:type="spellStart"/>
      <w:r w:rsidR="00210608" w:rsidRPr="00AA604F">
        <w:rPr>
          <w:rFonts w:ascii="Myriad Pro" w:hAnsi="Myriad Pro"/>
          <w:sz w:val="22"/>
          <w:szCs w:val="22"/>
        </w:rPr>
        <w:t>MLD</w:t>
      </w:r>
      <w:r w:rsidR="00210608" w:rsidRPr="00AA604F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="00210608" w:rsidRPr="00AA604F">
        <w:rPr>
          <w:rFonts w:ascii="Myriad Pro" w:hAnsi="Myriad Pro"/>
          <w:sz w:val="22"/>
          <w:szCs w:val="22"/>
        </w:rPr>
        <w:t xml:space="preserve"> aggregates for the </w:t>
      </w:r>
      <w:r w:rsidR="00AA604F" w:rsidRPr="00AA604F">
        <w:rPr>
          <w:rFonts w:ascii="Myriad Pro" w:hAnsi="Myriad Pro"/>
          <w:sz w:val="22"/>
          <w:szCs w:val="22"/>
        </w:rPr>
        <w:t xml:space="preserve">whole </w:t>
      </w:r>
      <w:r w:rsidR="00210608" w:rsidRPr="00AA604F">
        <w:rPr>
          <w:rFonts w:ascii="Myriad Pro" w:hAnsi="Myriad Pro"/>
          <w:sz w:val="22"/>
          <w:szCs w:val="22"/>
        </w:rPr>
        <w:t>potential deep convection region</w:t>
      </w:r>
      <w:r w:rsidR="00AA604F" w:rsidRPr="00AA604F">
        <w:rPr>
          <w:rFonts w:ascii="Myriad Pro" w:hAnsi="Myriad Pro"/>
          <w:sz w:val="22"/>
          <w:szCs w:val="22"/>
        </w:rPr>
        <w:t xml:space="preserve"> a</w:t>
      </w:r>
      <w:r w:rsidR="00AA604F">
        <w:rPr>
          <w:rFonts w:ascii="Myriad Pro" w:hAnsi="Myriad Pro"/>
          <w:sz w:val="22"/>
          <w:szCs w:val="22"/>
        </w:rPr>
        <w:t>s</w:t>
      </w:r>
      <w:r w:rsidR="00AA604F" w:rsidRPr="00AA604F">
        <w:rPr>
          <w:rFonts w:ascii="Myriad Pro" w:hAnsi="Myriad Pro"/>
          <w:sz w:val="22"/>
          <w:szCs w:val="22"/>
        </w:rPr>
        <w:t xml:space="preserve"> simulated with SIM</w:t>
      </w:r>
      <w:r w:rsidR="00AA604F" w:rsidRPr="00AA604F">
        <w:rPr>
          <w:rFonts w:ascii="Myriad Pro" w:hAnsi="Myriad Pro"/>
          <w:sz w:val="22"/>
          <w:szCs w:val="22"/>
          <w:vertAlign w:val="subscript"/>
        </w:rPr>
        <w:t>JRA</w:t>
      </w:r>
      <w:r w:rsidR="00AA604F" w:rsidRPr="00AA604F">
        <w:rPr>
          <w:rFonts w:ascii="Myriad Pro" w:hAnsi="Myriad Pro"/>
          <w:sz w:val="22"/>
          <w:szCs w:val="22"/>
        </w:rPr>
        <w:t xml:space="preserve"> (solid lines, grey shading, colored maps) and SIM</w:t>
      </w:r>
      <w:r w:rsidR="00AA604F" w:rsidRPr="00AA604F">
        <w:rPr>
          <w:rFonts w:ascii="Myriad Pro" w:hAnsi="Myriad Pro"/>
          <w:sz w:val="22"/>
          <w:szCs w:val="22"/>
          <w:vertAlign w:val="subscript"/>
        </w:rPr>
        <w:t>CORE</w:t>
      </w:r>
      <w:r w:rsidR="00AA604F" w:rsidRPr="00AA604F">
        <w:rPr>
          <w:rFonts w:ascii="Myriad Pro" w:hAnsi="Myriad Pro"/>
          <w:sz w:val="22"/>
          <w:szCs w:val="22"/>
        </w:rPr>
        <w:t xml:space="preserve"> (dotted lines) and displayed in Figure 2a; </w:t>
      </w:r>
      <w:r w:rsidR="00AA604F">
        <w:rPr>
          <w:rFonts w:ascii="Myriad Pro" w:hAnsi="Myriad Pro"/>
          <w:sz w:val="22"/>
          <w:szCs w:val="22"/>
        </w:rPr>
        <w:t xml:space="preserve">Lower left: </w:t>
      </w:r>
      <w:r w:rsidR="0013311D">
        <w:rPr>
          <w:rFonts w:ascii="Myriad Pro" w:hAnsi="Myriad Pro"/>
          <w:sz w:val="22"/>
          <w:szCs w:val="22"/>
        </w:rPr>
        <w:t xml:space="preserve">Long-term mean (1980-2009) </w:t>
      </w:r>
      <w:proofErr w:type="spellStart"/>
      <w:r w:rsidR="0000420C">
        <w:rPr>
          <w:rFonts w:ascii="Myriad Pro" w:hAnsi="Myriad Pro"/>
          <w:sz w:val="22"/>
          <w:szCs w:val="22"/>
        </w:rPr>
        <w:t>MLD</w:t>
      </w:r>
      <w:r w:rsidR="0000420C" w:rsidRPr="0000420C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="0000420C">
        <w:rPr>
          <w:rFonts w:ascii="Myriad Pro" w:hAnsi="Myriad Pro"/>
          <w:sz w:val="22"/>
          <w:szCs w:val="22"/>
        </w:rPr>
        <w:t xml:space="preserve">; Lower middle: time-evolving </w:t>
      </w:r>
      <w:proofErr w:type="spellStart"/>
      <w:r w:rsidR="0000420C">
        <w:rPr>
          <w:rFonts w:ascii="Myriad Pro" w:hAnsi="Myriad Pro"/>
          <w:sz w:val="22"/>
          <w:szCs w:val="22"/>
        </w:rPr>
        <w:t>MLD</w:t>
      </w:r>
      <w:r w:rsidR="0000420C" w:rsidRPr="0000420C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="0000420C">
        <w:rPr>
          <w:rFonts w:ascii="Myriad Pro" w:hAnsi="Myriad Pro"/>
          <w:sz w:val="22"/>
          <w:szCs w:val="22"/>
        </w:rPr>
        <w:t xml:space="preserve">; Lower right: time-evolving </w:t>
      </w:r>
      <w:proofErr w:type="spellStart"/>
      <w:r w:rsidR="0000420C">
        <w:rPr>
          <w:rFonts w:ascii="Myriad Pro" w:hAnsi="Myriad Pro"/>
          <w:sz w:val="22"/>
          <w:szCs w:val="22"/>
        </w:rPr>
        <w:t>MLD</w:t>
      </w:r>
      <w:r w:rsidR="0000420C" w:rsidRPr="0000420C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="0000420C">
        <w:rPr>
          <w:rFonts w:ascii="Myriad Pro" w:hAnsi="Myriad Pro"/>
          <w:sz w:val="22"/>
          <w:szCs w:val="22"/>
        </w:rPr>
        <w:t xml:space="preserve"> anomaly</w:t>
      </w:r>
      <w:r w:rsidRPr="00CB146E">
        <w:rPr>
          <w:rFonts w:ascii="Myriad Pro" w:hAnsi="Myriad Pro"/>
          <w:sz w:val="22"/>
          <w:szCs w:val="22"/>
        </w:rPr>
        <w:t xml:space="preserve"> referenced to the </w:t>
      </w:r>
      <w:r w:rsidR="0000420C">
        <w:rPr>
          <w:rFonts w:ascii="Myriad Pro" w:hAnsi="Myriad Pro"/>
          <w:sz w:val="22"/>
          <w:szCs w:val="22"/>
        </w:rPr>
        <w:t>long-term (</w:t>
      </w:r>
      <w:r w:rsidR="0000420C" w:rsidRPr="00CB146E">
        <w:rPr>
          <w:rFonts w:ascii="Myriad Pro" w:hAnsi="Myriad Pro"/>
          <w:sz w:val="22"/>
          <w:szCs w:val="22"/>
        </w:rPr>
        <w:t>1980-2009</w:t>
      </w:r>
      <w:r w:rsidR="0000420C">
        <w:rPr>
          <w:rFonts w:ascii="Myriad Pro" w:hAnsi="Myriad Pro"/>
          <w:sz w:val="22"/>
          <w:szCs w:val="22"/>
        </w:rPr>
        <w:t xml:space="preserve">) </w:t>
      </w:r>
      <w:r w:rsidRPr="00CB146E">
        <w:rPr>
          <w:rFonts w:ascii="Myriad Pro" w:hAnsi="Myriad Pro"/>
          <w:sz w:val="22"/>
          <w:szCs w:val="22"/>
        </w:rPr>
        <w:t xml:space="preserve">mean </w:t>
      </w:r>
      <w:proofErr w:type="spellStart"/>
      <w:r w:rsidRPr="00CB146E">
        <w:rPr>
          <w:rFonts w:ascii="Myriad Pro" w:hAnsi="Myriad Pro"/>
          <w:sz w:val="22"/>
          <w:szCs w:val="22"/>
        </w:rPr>
        <w:t>MLD</w:t>
      </w:r>
      <w:r w:rsidR="0000420C" w:rsidRPr="0000420C">
        <w:rPr>
          <w:rFonts w:ascii="Myriad Pro" w:hAnsi="Myriad Pro"/>
          <w:sz w:val="22"/>
          <w:szCs w:val="22"/>
          <w:vertAlign w:val="subscript"/>
        </w:rPr>
        <w:t>a</w:t>
      </w:r>
      <w:proofErr w:type="spellEnd"/>
      <w:r w:rsidR="0000420C" w:rsidRPr="0000420C">
        <w:rPr>
          <w:rFonts w:ascii="Myriad Pro" w:hAnsi="Myriad Pro"/>
          <w:sz w:val="22"/>
          <w:szCs w:val="22"/>
        </w:rPr>
        <w:t>.</w:t>
      </w:r>
      <w:r w:rsidR="0000420C">
        <w:rPr>
          <w:rFonts w:ascii="Myriad Pro" w:hAnsi="Myriad Pro"/>
          <w:sz w:val="22"/>
          <w:szCs w:val="22"/>
        </w:rPr>
        <w:t xml:space="preserve"> </w:t>
      </w:r>
      <w:r w:rsidR="0000420C" w:rsidRPr="0000420C">
        <w:rPr>
          <w:rFonts w:ascii="Myriad Pro" w:hAnsi="Myriad Pro"/>
          <w:sz w:val="22"/>
          <w:szCs w:val="22"/>
        </w:rPr>
        <w:t>Potential (grey contour) and actual (light red contour) deep convection regions are highlighted.</w:t>
      </w:r>
    </w:p>
    <w:p w14:paraId="7F792F84" w14:textId="3BEC5280" w:rsidR="00B9440A" w:rsidRDefault="00B9440A" w:rsidP="00B9440A">
      <w:pPr>
        <w:pStyle w:val="SMcaption"/>
      </w:pPr>
    </w:p>
    <w:p w14:paraId="7425C66C" w14:textId="77777777" w:rsidR="009862CA" w:rsidRDefault="009862CA" w:rsidP="00B9440A">
      <w:pPr>
        <w:pStyle w:val="SMcaption"/>
      </w:pPr>
    </w:p>
    <w:p w14:paraId="3A89A540" w14:textId="7AC9F765" w:rsidR="00CB146E" w:rsidRPr="00CB146E" w:rsidRDefault="00CB146E" w:rsidP="00CB146E">
      <w:pPr>
        <w:jc w:val="both"/>
        <w:rPr>
          <w:rFonts w:ascii="Myriad Pro" w:hAnsi="Myriad Pro"/>
          <w:sz w:val="22"/>
          <w:szCs w:val="22"/>
        </w:rPr>
      </w:pPr>
      <w:r w:rsidRPr="00CB146E">
        <w:rPr>
          <w:rFonts w:ascii="Myriad Pro" w:hAnsi="Myriad Pro"/>
          <w:b/>
          <w:sz w:val="22"/>
          <w:szCs w:val="22"/>
        </w:rPr>
        <w:t xml:space="preserve">Movie S2: Year-to-year variability in the spatial pattern of deep convection (Jan-Apr) </w:t>
      </w:r>
      <w:r w:rsidR="00AA604F">
        <w:rPr>
          <w:rFonts w:ascii="Myriad Pro" w:hAnsi="Myriad Pro"/>
          <w:b/>
          <w:sz w:val="22"/>
          <w:szCs w:val="22"/>
        </w:rPr>
        <w:t xml:space="preserve">as </w:t>
      </w:r>
      <w:r w:rsidRPr="00CB146E">
        <w:rPr>
          <w:rFonts w:ascii="Myriad Pro" w:hAnsi="Myriad Pro"/>
          <w:b/>
          <w:sz w:val="22"/>
          <w:szCs w:val="22"/>
        </w:rPr>
        <w:t>inferred from ARGO observations and simulated with SIM</w:t>
      </w:r>
      <w:r w:rsidRPr="00CB146E">
        <w:rPr>
          <w:rFonts w:ascii="Myriad Pro" w:hAnsi="Myriad Pro"/>
          <w:b/>
          <w:sz w:val="22"/>
          <w:szCs w:val="22"/>
          <w:vertAlign w:val="subscript"/>
        </w:rPr>
        <w:t>JRA</w:t>
      </w:r>
      <w:r w:rsidRPr="00CB146E">
        <w:rPr>
          <w:rFonts w:ascii="Myriad Pro" w:hAnsi="Myriad Pro"/>
          <w:sz w:val="22"/>
          <w:szCs w:val="22"/>
        </w:rPr>
        <w:t xml:space="preserve">. Locations of individual ARGO profiles </w:t>
      </w:r>
      <w:r>
        <w:rPr>
          <w:rFonts w:ascii="Myriad Pro" w:hAnsi="Myriad Pro"/>
          <w:sz w:val="22"/>
          <w:szCs w:val="22"/>
        </w:rPr>
        <w:t>(</w:t>
      </w:r>
      <w:proofErr w:type="spellStart"/>
      <w:r>
        <w:rPr>
          <w:rFonts w:ascii="Myriad Pro" w:hAnsi="Myriad Pro"/>
          <w:sz w:val="22"/>
          <w:szCs w:val="22"/>
        </w:rPr>
        <w:t>i</w:t>
      </w:r>
      <w:proofErr w:type="spellEnd"/>
      <w:r>
        <w:rPr>
          <w:rFonts w:ascii="Myriad Pro" w:hAnsi="Myriad Pro"/>
          <w:sz w:val="22"/>
          <w:szCs w:val="22"/>
        </w:rPr>
        <w:t xml:space="preserve">) with </w:t>
      </w:r>
      <w:r w:rsidRPr="00CB146E">
        <w:rPr>
          <w:rFonts w:ascii="Myriad Pro" w:hAnsi="Myriad Pro"/>
          <w:sz w:val="22"/>
          <w:szCs w:val="22"/>
        </w:rPr>
        <w:t xml:space="preserve">MLDs &gt; 1000 m diagnosed </w:t>
      </w:r>
      <w:r>
        <w:rPr>
          <w:rFonts w:ascii="Myriad Pro" w:hAnsi="Myriad Pro"/>
          <w:sz w:val="22"/>
          <w:szCs w:val="22"/>
        </w:rPr>
        <w:t xml:space="preserve">using </w:t>
      </w:r>
      <w:r w:rsidRPr="00CB146E">
        <w:rPr>
          <w:rFonts w:ascii="Myriad Pro" w:hAnsi="Myriad Pro"/>
          <w:sz w:val="22"/>
          <w:szCs w:val="22"/>
        </w:rPr>
        <w:t>the variable density threshold (MLD-</w:t>
      </w:r>
      <w:proofErr w:type="spellStart"/>
      <w:r w:rsidRPr="00CB146E">
        <w:rPr>
          <w:rFonts w:ascii="Myriad Pro" w:hAnsi="Myriad Pro"/>
          <w:sz w:val="22"/>
          <w:szCs w:val="22"/>
        </w:rPr>
        <w:t>DTv</w:t>
      </w:r>
      <w:proofErr w:type="spellEnd"/>
      <w:r w:rsidRPr="00CB146E">
        <w:rPr>
          <w:rFonts w:ascii="Myriad Pro" w:hAnsi="Myriad Pro"/>
          <w:sz w:val="22"/>
          <w:szCs w:val="22"/>
        </w:rPr>
        <w:t>, colored dots)</w:t>
      </w:r>
      <w:r>
        <w:rPr>
          <w:rFonts w:ascii="Myriad Pro" w:hAnsi="Myriad Pro"/>
          <w:sz w:val="22"/>
          <w:szCs w:val="22"/>
        </w:rPr>
        <w:t xml:space="preserve">, (ii) </w:t>
      </w:r>
      <w:r w:rsidRPr="00CB146E">
        <w:rPr>
          <w:rFonts w:ascii="Myriad Pro" w:hAnsi="Myriad Pro"/>
          <w:sz w:val="22"/>
          <w:szCs w:val="22"/>
        </w:rPr>
        <w:t xml:space="preserve">with MLD &gt; 700 m diagnosed using the density algorithm (MLD-DA, red contoured dots), and </w:t>
      </w:r>
      <w:r>
        <w:rPr>
          <w:rFonts w:ascii="Myriad Pro" w:hAnsi="Myriad Pro"/>
          <w:sz w:val="22"/>
          <w:szCs w:val="22"/>
        </w:rPr>
        <w:t xml:space="preserve">(iii) </w:t>
      </w:r>
      <w:r w:rsidRPr="00CB146E">
        <w:rPr>
          <w:rFonts w:ascii="Myriad Pro" w:hAnsi="Myriad Pro"/>
          <w:sz w:val="22"/>
          <w:szCs w:val="22"/>
        </w:rPr>
        <w:t>without MLD-</w:t>
      </w:r>
      <w:proofErr w:type="spellStart"/>
      <w:r w:rsidRPr="00CB146E">
        <w:rPr>
          <w:rFonts w:ascii="Myriad Pro" w:hAnsi="Myriad Pro"/>
          <w:sz w:val="22"/>
          <w:szCs w:val="22"/>
        </w:rPr>
        <w:t>DTv</w:t>
      </w:r>
      <w:proofErr w:type="spellEnd"/>
      <w:r w:rsidRPr="00CB146E">
        <w:rPr>
          <w:rFonts w:ascii="Myriad Pro" w:hAnsi="Myriad Pro"/>
          <w:sz w:val="22"/>
          <w:szCs w:val="22"/>
        </w:rPr>
        <w:t xml:space="preserve"> &gt; 1000 m or MLD-DA &gt; 700 m (grey dots); simulated annual deep convection area defined by all grid points that feature simulated MLD &gt; 1000 m using the fixed density threshold method (MLD-DT, black contour) and </w:t>
      </w:r>
      <w:r w:rsidRPr="00D202B4">
        <w:rPr>
          <w:rFonts w:ascii="Myriad Pro" w:hAnsi="Myriad Pro"/>
          <w:sz w:val="22"/>
          <w:szCs w:val="22"/>
        </w:rPr>
        <w:t xml:space="preserve">a turbulent mixing coefficient criterion (MLD-diff, light red contour, representing the </w:t>
      </w:r>
      <w:proofErr w:type="spellStart"/>
      <w:r w:rsidRPr="00D202B4">
        <w:rPr>
          <w:rFonts w:ascii="Myriad Pro" w:hAnsi="Myriad Pro"/>
          <w:sz w:val="22"/>
          <w:szCs w:val="22"/>
        </w:rPr>
        <w:t>turbocline</w:t>
      </w:r>
      <w:proofErr w:type="spellEnd"/>
      <w:r w:rsidRPr="00D202B4">
        <w:rPr>
          <w:rFonts w:ascii="Myriad Pro" w:hAnsi="Myriad Pro"/>
          <w:sz w:val="22"/>
          <w:szCs w:val="22"/>
        </w:rPr>
        <w:t xml:space="preserve"> depth or actively mixing layer)</w:t>
      </w:r>
      <w:r>
        <w:rPr>
          <w:rFonts w:ascii="Myriad Pro" w:hAnsi="Myriad Pro"/>
          <w:sz w:val="22"/>
          <w:szCs w:val="22"/>
        </w:rPr>
        <w:t>.</w:t>
      </w:r>
    </w:p>
    <w:p w14:paraId="2A57E872" w14:textId="097D2234" w:rsidR="00CB146E" w:rsidRDefault="00CB146E" w:rsidP="00B9440A">
      <w:pPr>
        <w:pStyle w:val="SMcaption"/>
      </w:pPr>
    </w:p>
    <w:p w14:paraId="2095CEA1" w14:textId="77777777" w:rsidR="00CB146E" w:rsidRPr="00015F74" w:rsidRDefault="00CB146E" w:rsidP="00B9440A">
      <w:pPr>
        <w:pStyle w:val="SMcaption"/>
      </w:pPr>
    </w:p>
    <w:sectPr w:rsidR="00CB146E" w:rsidRPr="00015F74" w:rsidSect="00F125E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90CBF" w14:textId="77777777" w:rsidR="00505ACA" w:rsidRDefault="00505ACA">
      <w:r>
        <w:separator/>
      </w:r>
    </w:p>
  </w:endnote>
  <w:endnote w:type="continuationSeparator" w:id="0">
    <w:p w14:paraId="0342E3BF" w14:textId="77777777" w:rsidR="00505ACA" w:rsidRDefault="00505ACA">
      <w:r>
        <w:continuationSeparator/>
      </w:r>
    </w:p>
  </w:endnote>
  <w:endnote w:type="continuationNotice" w:id="1">
    <w:p w14:paraId="6966B5BC" w14:textId="77777777" w:rsidR="00505ACA" w:rsidRDefault="00505A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Myriad Pro Light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102A" w14:textId="77777777" w:rsidR="001966FD" w:rsidRDefault="001966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E7ED" w14:textId="77777777" w:rsidR="00F125EE" w:rsidRDefault="00114193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BBCA3" w14:textId="77777777" w:rsidR="001966FD" w:rsidRDefault="001966F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859E0D" w14:textId="77777777" w:rsidR="00505ACA" w:rsidRDefault="00505ACA">
      <w:r>
        <w:separator/>
      </w:r>
    </w:p>
  </w:footnote>
  <w:footnote w:type="continuationSeparator" w:id="0">
    <w:p w14:paraId="409E615F" w14:textId="77777777" w:rsidR="00505ACA" w:rsidRDefault="00505ACA">
      <w:r>
        <w:continuationSeparator/>
      </w:r>
    </w:p>
  </w:footnote>
  <w:footnote w:type="continuationNotice" w:id="1">
    <w:p w14:paraId="014F1F54" w14:textId="77777777" w:rsidR="00505ACA" w:rsidRDefault="00505A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9EF6B" w14:textId="77777777" w:rsidR="001966FD" w:rsidRDefault="001966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C5ADD" w14:textId="77777777" w:rsidR="001966FD" w:rsidRDefault="001966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420C"/>
    <w:rsid w:val="00015F74"/>
    <w:rsid w:val="00037612"/>
    <w:rsid w:val="00043571"/>
    <w:rsid w:val="00065EBD"/>
    <w:rsid w:val="00083B44"/>
    <w:rsid w:val="000850DC"/>
    <w:rsid w:val="00094365"/>
    <w:rsid w:val="000B2E64"/>
    <w:rsid w:val="000C03E8"/>
    <w:rsid w:val="000C2771"/>
    <w:rsid w:val="000D68BD"/>
    <w:rsid w:val="000E57D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3300F"/>
    <w:rsid w:val="0013311D"/>
    <w:rsid w:val="0016337A"/>
    <w:rsid w:val="00164269"/>
    <w:rsid w:val="001966FD"/>
    <w:rsid w:val="00197826"/>
    <w:rsid w:val="001A1BDE"/>
    <w:rsid w:val="001A7CB6"/>
    <w:rsid w:val="001C7B4E"/>
    <w:rsid w:val="001D1FD2"/>
    <w:rsid w:val="001F0876"/>
    <w:rsid w:val="001F167C"/>
    <w:rsid w:val="001F5E91"/>
    <w:rsid w:val="0020183F"/>
    <w:rsid w:val="002077B9"/>
    <w:rsid w:val="00210608"/>
    <w:rsid w:val="00221C70"/>
    <w:rsid w:val="002251AF"/>
    <w:rsid w:val="00227D86"/>
    <w:rsid w:val="0024130A"/>
    <w:rsid w:val="00243B68"/>
    <w:rsid w:val="00256443"/>
    <w:rsid w:val="00262D72"/>
    <w:rsid w:val="002632BE"/>
    <w:rsid w:val="002800B6"/>
    <w:rsid w:val="002A4674"/>
    <w:rsid w:val="002B35D4"/>
    <w:rsid w:val="002B491A"/>
    <w:rsid w:val="002C030F"/>
    <w:rsid w:val="002F3966"/>
    <w:rsid w:val="00320E2C"/>
    <w:rsid w:val="003314E2"/>
    <w:rsid w:val="00331D75"/>
    <w:rsid w:val="00355362"/>
    <w:rsid w:val="00363E44"/>
    <w:rsid w:val="00395E86"/>
    <w:rsid w:val="003A2FD8"/>
    <w:rsid w:val="003B2998"/>
    <w:rsid w:val="003B3E70"/>
    <w:rsid w:val="003B40E6"/>
    <w:rsid w:val="003C007A"/>
    <w:rsid w:val="003C69C7"/>
    <w:rsid w:val="003D3F8F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A0964"/>
    <w:rsid w:val="004B2481"/>
    <w:rsid w:val="004B7BE7"/>
    <w:rsid w:val="004D2A8C"/>
    <w:rsid w:val="004E42D8"/>
    <w:rsid w:val="004E7BA2"/>
    <w:rsid w:val="004F7EDF"/>
    <w:rsid w:val="005001AC"/>
    <w:rsid w:val="005013B8"/>
    <w:rsid w:val="00505ACA"/>
    <w:rsid w:val="00517016"/>
    <w:rsid w:val="00527D71"/>
    <w:rsid w:val="00527D84"/>
    <w:rsid w:val="005314B5"/>
    <w:rsid w:val="0054432F"/>
    <w:rsid w:val="005461BF"/>
    <w:rsid w:val="00551382"/>
    <w:rsid w:val="00552C23"/>
    <w:rsid w:val="005607DD"/>
    <w:rsid w:val="00560AF8"/>
    <w:rsid w:val="00572DFF"/>
    <w:rsid w:val="005A558C"/>
    <w:rsid w:val="005B186E"/>
    <w:rsid w:val="005C6651"/>
    <w:rsid w:val="005C7146"/>
    <w:rsid w:val="005D1681"/>
    <w:rsid w:val="005D6D71"/>
    <w:rsid w:val="005D75D4"/>
    <w:rsid w:val="005E28F8"/>
    <w:rsid w:val="005E6513"/>
    <w:rsid w:val="00611F9E"/>
    <w:rsid w:val="006237D4"/>
    <w:rsid w:val="00642112"/>
    <w:rsid w:val="00651114"/>
    <w:rsid w:val="006557DD"/>
    <w:rsid w:val="00662192"/>
    <w:rsid w:val="006622CF"/>
    <w:rsid w:val="00664A12"/>
    <w:rsid w:val="0066722B"/>
    <w:rsid w:val="00670299"/>
    <w:rsid w:val="0068469F"/>
    <w:rsid w:val="00691985"/>
    <w:rsid w:val="006955B2"/>
    <w:rsid w:val="006962C1"/>
    <w:rsid w:val="006A1B64"/>
    <w:rsid w:val="006B03AD"/>
    <w:rsid w:val="006F602A"/>
    <w:rsid w:val="00706BD7"/>
    <w:rsid w:val="007108F5"/>
    <w:rsid w:val="00713AF2"/>
    <w:rsid w:val="00713E5B"/>
    <w:rsid w:val="007402FC"/>
    <w:rsid w:val="007411A1"/>
    <w:rsid w:val="00753BF4"/>
    <w:rsid w:val="007563F2"/>
    <w:rsid w:val="00764008"/>
    <w:rsid w:val="00783A9F"/>
    <w:rsid w:val="007B53CF"/>
    <w:rsid w:val="007C6B14"/>
    <w:rsid w:val="00807D35"/>
    <w:rsid w:val="008115D9"/>
    <w:rsid w:val="00825950"/>
    <w:rsid w:val="00846664"/>
    <w:rsid w:val="0085261B"/>
    <w:rsid w:val="008631F0"/>
    <w:rsid w:val="00885C9B"/>
    <w:rsid w:val="008927D0"/>
    <w:rsid w:val="008C0FB3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253"/>
    <w:rsid w:val="009447DC"/>
    <w:rsid w:val="00961BA5"/>
    <w:rsid w:val="009743A9"/>
    <w:rsid w:val="00975720"/>
    <w:rsid w:val="00984764"/>
    <w:rsid w:val="009859A7"/>
    <w:rsid w:val="009862CA"/>
    <w:rsid w:val="009909B0"/>
    <w:rsid w:val="009A5287"/>
    <w:rsid w:val="009B2AC5"/>
    <w:rsid w:val="009B7984"/>
    <w:rsid w:val="009D278A"/>
    <w:rsid w:val="009F4BED"/>
    <w:rsid w:val="009F7D93"/>
    <w:rsid w:val="00A276DF"/>
    <w:rsid w:val="00A3084A"/>
    <w:rsid w:val="00A3403B"/>
    <w:rsid w:val="00A50033"/>
    <w:rsid w:val="00A51A12"/>
    <w:rsid w:val="00A627D4"/>
    <w:rsid w:val="00A643EB"/>
    <w:rsid w:val="00A74DA2"/>
    <w:rsid w:val="00A92733"/>
    <w:rsid w:val="00AA604F"/>
    <w:rsid w:val="00AA76F3"/>
    <w:rsid w:val="00AC7DA6"/>
    <w:rsid w:val="00AD3ED9"/>
    <w:rsid w:val="00AD499C"/>
    <w:rsid w:val="00B217F8"/>
    <w:rsid w:val="00B30334"/>
    <w:rsid w:val="00B3147F"/>
    <w:rsid w:val="00B36869"/>
    <w:rsid w:val="00B37009"/>
    <w:rsid w:val="00B43B31"/>
    <w:rsid w:val="00B44FBC"/>
    <w:rsid w:val="00B47CFA"/>
    <w:rsid w:val="00B57F00"/>
    <w:rsid w:val="00B626CB"/>
    <w:rsid w:val="00B7560C"/>
    <w:rsid w:val="00B77E40"/>
    <w:rsid w:val="00B82C22"/>
    <w:rsid w:val="00B927EF"/>
    <w:rsid w:val="00B93DBA"/>
    <w:rsid w:val="00B9440A"/>
    <w:rsid w:val="00B952C1"/>
    <w:rsid w:val="00B968D7"/>
    <w:rsid w:val="00BA3953"/>
    <w:rsid w:val="00BB2D2A"/>
    <w:rsid w:val="00BD58CF"/>
    <w:rsid w:val="00BE5A9E"/>
    <w:rsid w:val="00BF1BEB"/>
    <w:rsid w:val="00BF1BF9"/>
    <w:rsid w:val="00C04CC1"/>
    <w:rsid w:val="00C071FC"/>
    <w:rsid w:val="00C22C02"/>
    <w:rsid w:val="00C23499"/>
    <w:rsid w:val="00C27F6F"/>
    <w:rsid w:val="00C30E83"/>
    <w:rsid w:val="00C50C6D"/>
    <w:rsid w:val="00C600D9"/>
    <w:rsid w:val="00C634D7"/>
    <w:rsid w:val="00C73E09"/>
    <w:rsid w:val="00C92539"/>
    <w:rsid w:val="00CB146E"/>
    <w:rsid w:val="00CC1384"/>
    <w:rsid w:val="00CD3720"/>
    <w:rsid w:val="00CE6EAA"/>
    <w:rsid w:val="00CF1848"/>
    <w:rsid w:val="00CF5C2F"/>
    <w:rsid w:val="00D02CFD"/>
    <w:rsid w:val="00D04BCF"/>
    <w:rsid w:val="00D10134"/>
    <w:rsid w:val="00D143D9"/>
    <w:rsid w:val="00D202B4"/>
    <w:rsid w:val="00D4372A"/>
    <w:rsid w:val="00D47CC1"/>
    <w:rsid w:val="00D60BB0"/>
    <w:rsid w:val="00D65708"/>
    <w:rsid w:val="00D8159F"/>
    <w:rsid w:val="00D90E41"/>
    <w:rsid w:val="00DD1D04"/>
    <w:rsid w:val="00DD2D68"/>
    <w:rsid w:val="00DD2E17"/>
    <w:rsid w:val="00DD79D7"/>
    <w:rsid w:val="00DF3E19"/>
    <w:rsid w:val="00E17271"/>
    <w:rsid w:val="00E20431"/>
    <w:rsid w:val="00E257C8"/>
    <w:rsid w:val="00E40896"/>
    <w:rsid w:val="00E43D2D"/>
    <w:rsid w:val="00E449CB"/>
    <w:rsid w:val="00E52457"/>
    <w:rsid w:val="00E63760"/>
    <w:rsid w:val="00E64049"/>
    <w:rsid w:val="00E9773B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B5E81"/>
    <w:rsid w:val="00FD33B6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Default Paragraph Font" w:uiPriority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30EA"/>
    <w:rPr>
      <w:sz w:val="24"/>
    </w:rPr>
  </w:style>
  <w:style w:type="paragraph" w:styleId="berschrift1">
    <w:name w:val="heading 1"/>
    <w:basedOn w:val="Standard"/>
    <w:next w:val="Standard"/>
    <w:link w:val="berschrift1Zchn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berschrift2">
    <w:name w:val="heading 2"/>
    <w:basedOn w:val="Standard"/>
    <w:next w:val="Standard"/>
    <w:link w:val="berschrift2Zchn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berschrift4">
    <w:name w:val="heading 4"/>
    <w:basedOn w:val="Standard"/>
    <w:next w:val="Standard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berschrift5">
    <w:name w:val="heading 5"/>
    <w:basedOn w:val="Standard"/>
    <w:next w:val="Standard"/>
    <w:link w:val="berschrift5Zchn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semiHidden/>
    <w:rsid w:val="00477182"/>
  </w:style>
  <w:style w:type="character" w:customStyle="1" w:styleId="berschrift1Zchn">
    <w:name w:val="Überschrift 1 Zchn"/>
    <w:link w:val="berschrift1"/>
    <w:semiHidden/>
    <w:rsid w:val="00FF04E3"/>
    <w:rPr>
      <w:b/>
      <w:bCs/>
      <w:kern w:val="32"/>
      <w:sz w:val="24"/>
      <w:szCs w:val="24"/>
    </w:rPr>
  </w:style>
  <w:style w:type="character" w:customStyle="1" w:styleId="berschrift2Zchn">
    <w:name w:val="Überschrift 2 Zchn"/>
    <w:link w:val="berschrift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berschrift5Zchn">
    <w:name w:val="Überschrift 5 Zchn"/>
    <w:link w:val="berschrift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FF04E3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berschrift1"/>
    <w:qFormat/>
    <w:rsid w:val="00F74F95"/>
  </w:style>
  <w:style w:type="paragraph" w:customStyle="1" w:styleId="SMSubheading">
    <w:name w:val="SM Subheading"/>
    <w:basedOn w:val="Standard"/>
    <w:qFormat/>
    <w:rsid w:val="00B9440A"/>
    <w:rPr>
      <w:u w:val="words"/>
    </w:rPr>
  </w:style>
  <w:style w:type="paragraph" w:customStyle="1" w:styleId="SMText">
    <w:name w:val="SM Text"/>
    <w:basedOn w:val="Standard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Sprechblasentext">
    <w:name w:val="Balloon Text"/>
    <w:basedOn w:val="Standard"/>
    <w:link w:val="SprechblasentextZchn"/>
    <w:semiHidden/>
    <w:rsid w:val="004053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FF04E3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uiPriority w:val="37"/>
    <w:semiHidden/>
    <w:rsid w:val="00405336"/>
  </w:style>
  <w:style w:type="paragraph" w:styleId="Blocktext">
    <w:name w:val="Block Text"/>
    <w:basedOn w:val="Standard"/>
    <w:semiHidden/>
    <w:rsid w:val="00405336"/>
    <w:pPr>
      <w:spacing w:after="120"/>
      <w:ind w:left="1440" w:right="1440"/>
    </w:pPr>
  </w:style>
  <w:style w:type="paragraph" w:styleId="Textkrper">
    <w:name w:val="Body Text"/>
    <w:basedOn w:val="Standard"/>
    <w:link w:val="TextkrperZchn"/>
    <w:semiHidden/>
    <w:rsid w:val="00405336"/>
    <w:pPr>
      <w:spacing w:after="120"/>
    </w:pPr>
  </w:style>
  <w:style w:type="character" w:customStyle="1" w:styleId="TextkrperZchn">
    <w:name w:val="Textkörper Zchn"/>
    <w:link w:val="Textkrper"/>
    <w:semiHidden/>
    <w:rsid w:val="00FF04E3"/>
    <w:rPr>
      <w:sz w:val="24"/>
    </w:rPr>
  </w:style>
  <w:style w:type="paragraph" w:styleId="Textkrper2">
    <w:name w:val="Body Text 2"/>
    <w:basedOn w:val="Standard"/>
    <w:link w:val="Textkrper2Zchn"/>
    <w:semiHidden/>
    <w:rsid w:val="00405336"/>
    <w:pPr>
      <w:spacing w:after="120" w:line="480" w:lineRule="auto"/>
    </w:pPr>
  </w:style>
  <w:style w:type="character" w:customStyle="1" w:styleId="Textkrper2Zchn">
    <w:name w:val="Textkörper 2 Zchn"/>
    <w:link w:val="Textkrper2"/>
    <w:semiHidden/>
    <w:rsid w:val="00FF04E3"/>
    <w:rPr>
      <w:sz w:val="24"/>
    </w:rPr>
  </w:style>
  <w:style w:type="paragraph" w:styleId="Textkrper3">
    <w:name w:val="Body Text 3"/>
    <w:basedOn w:val="Standard"/>
    <w:link w:val="Textkrper3Zchn"/>
    <w:semiHidden/>
    <w:rsid w:val="00405336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semiHidden/>
    <w:rsid w:val="00FF04E3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rsid w:val="00405336"/>
    <w:pPr>
      <w:ind w:firstLine="210"/>
    </w:pPr>
  </w:style>
  <w:style w:type="character" w:customStyle="1" w:styleId="Textkrper-ErstzeileneinzugZchn">
    <w:name w:val="Textkörper-Erstzeileneinzug Zchn"/>
    <w:basedOn w:val="TextkrperZchn"/>
    <w:link w:val="Textkrper-Erstzeileneinzug"/>
    <w:semiHidden/>
    <w:rsid w:val="00FF04E3"/>
    <w:rPr>
      <w:sz w:val="24"/>
    </w:rPr>
  </w:style>
  <w:style w:type="paragraph" w:styleId="Textkrper-Zeileneinzug">
    <w:name w:val="Body Text Indent"/>
    <w:basedOn w:val="Standard"/>
    <w:link w:val="Textkrper-ZeileneinzugZchn"/>
    <w:semiHidden/>
    <w:rsid w:val="00405336"/>
    <w:pPr>
      <w:spacing w:after="120"/>
      <w:ind w:left="360"/>
    </w:pPr>
  </w:style>
  <w:style w:type="character" w:customStyle="1" w:styleId="Textkrper-ZeileneinzugZchn">
    <w:name w:val="Textkörper-Zeileneinzug Zchn"/>
    <w:link w:val="Textkrper-Zeileneinzug"/>
    <w:semiHidden/>
    <w:rsid w:val="00FF04E3"/>
    <w:rPr>
      <w:sz w:val="24"/>
    </w:rPr>
  </w:style>
  <w:style w:type="paragraph" w:styleId="Textkrper-Erstzeileneinzug2">
    <w:name w:val="Body Text First Indent 2"/>
    <w:basedOn w:val="Textkrper-Zeileneinzug"/>
    <w:link w:val="Textkrper-Erstzeileneinzug2Zchn"/>
    <w:semiHidden/>
    <w:rsid w:val="00405336"/>
    <w:pPr>
      <w:ind w:firstLine="21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semiHidden/>
    <w:rsid w:val="00FF04E3"/>
    <w:rPr>
      <w:sz w:val="24"/>
    </w:rPr>
  </w:style>
  <w:style w:type="paragraph" w:styleId="Textkrper-Einzug2">
    <w:name w:val="Body Text Indent 2"/>
    <w:basedOn w:val="Standard"/>
    <w:link w:val="Textkrper-Einzug2Zchn"/>
    <w:semiHidden/>
    <w:rsid w:val="00405336"/>
    <w:pPr>
      <w:spacing w:after="120" w:line="480" w:lineRule="auto"/>
      <w:ind w:left="360"/>
    </w:pPr>
  </w:style>
  <w:style w:type="character" w:customStyle="1" w:styleId="Textkrper-Einzug2Zchn">
    <w:name w:val="Textkörper-Einzug 2 Zchn"/>
    <w:link w:val="Textkrper-Einzug2"/>
    <w:semiHidden/>
    <w:rsid w:val="00FF04E3"/>
    <w:rPr>
      <w:sz w:val="24"/>
    </w:rPr>
  </w:style>
  <w:style w:type="paragraph" w:styleId="Textkrper-Einzug3">
    <w:name w:val="Body Text Indent 3"/>
    <w:basedOn w:val="Standard"/>
    <w:link w:val="Textkrper-Einzug3Zchn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semiHidden/>
    <w:rsid w:val="00FF04E3"/>
    <w:rPr>
      <w:sz w:val="16"/>
      <w:szCs w:val="16"/>
    </w:rPr>
  </w:style>
  <w:style w:type="paragraph" w:styleId="Beschriftung">
    <w:name w:val="caption"/>
    <w:basedOn w:val="Standard"/>
    <w:next w:val="Standard"/>
    <w:semiHidden/>
    <w:qFormat/>
    <w:rsid w:val="00405336"/>
    <w:rPr>
      <w:b/>
      <w:bCs/>
      <w:sz w:val="20"/>
    </w:rPr>
  </w:style>
  <w:style w:type="paragraph" w:styleId="Gruformel">
    <w:name w:val="Closing"/>
    <w:basedOn w:val="Standard"/>
    <w:link w:val="GruformelZchn"/>
    <w:semiHidden/>
    <w:rsid w:val="00405336"/>
    <w:pPr>
      <w:ind w:left="4320"/>
    </w:pPr>
  </w:style>
  <w:style w:type="character" w:customStyle="1" w:styleId="GruformelZchn">
    <w:name w:val="Grußformel Zchn"/>
    <w:link w:val="Gruformel"/>
    <w:semiHidden/>
    <w:rsid w:val="00FF04E3"/>
    <w:rPr>
      <w:sz w:val="24"/>
    </w:rPr>
  </w:style>
  <w:style w:type="paragraph" w:styleId="Kommentartext">
    <w:name w:val="annotation text"/>
    <w:basedOn w:val="Standard"/>
    <w:link w:val="KommentartextZchn"/>
    <w:uiPriority w:val="99"/>
    <w:rsid w:val="00405336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F04E3"/>
  </w:style>
  <w:style w:type="paragraph" w:styleId="Kommentarthema">
    <w:name w:val="annotation subject"/>
    <w:basedOn w:val="Kommentartext"/>
    <w:next w:val="Kommentartext"/>
    <w:link w:val="KommentarthemaZchn"/>
    <w:semiHidden/>
    <w:rsid w:val="00405336"/>
    <w:rPr>
      <w:b/>
      <w:bCs/>
    </w:rPr>
  </w:style>
  <w:style w:type="character" w:customStyle="1" w:styleId="KommentarthemaZchn">
    <w:name w:val="Kommentarthema Zchn"/>
    <w:link w:val="Kommentarthema"/>
    <w:semiHidden/>
    <w:rsid w:val="00FF04E3"/>
    <w:rPr>
      <w:b/>
      <w:bCs/>
    </w:rPr>
  </w:style>
  <w:style w:type="paragraph" w:styleId="Datum">
    <w:name w:val="Date"/>
    <w:basedOn w:val="Standard"/>
    <w:next w:val="Standard"/>
    <w:link w:val="DatumZchn"/>
    <w:semiHidden/>
    <w:rsid w:val="00405336"/>
  </w:style>
  <w:style w:type="character" w:customStyle="1" w:styleId="DatumZchn">
    <w:name w:val="Datum Zchn"/>
    <w:link w:val="Datum"/>
    <w:semiHidden/>
    <w:rsid w:val="00FF04E3"/>
    <w:rPr>
      <w:sz w:val="24"/>
    </w:rPr>
  </w:style>
  <w:style w:type="paragraph" w:styleId="Dokumentstruktur">
    <w:name w:val="Document Map"/>
    <w:basedOn w:val="Standard"/>
    <w:link w:val="DokumentstrukturZchn"/>
    <w:semiHidden/>
    <w:rsid w:val="00405336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FF04E3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semiHidden/>
    <w:rsid w:val="00405336"/>
  </w:style>
  <w:style w:type="character" w:customStyle="1" w:styleId="E-Mail-SignaturZchn">
    <w:name w:val="E-Mail-Signatur Zchn"/>
    <w:link w:val="E-Mail-Signatur"/>
    <w:semiHidden/>
    <w:rsid w:val="00FF04E3"/>
    <w:rPr>
      <w:sz w:val="24"/>
    </w:rPr>
  </w:style>
  <w:style w:type="paragraph" w:styleId="Endnotentext">
    <w:name w:val="endnote text"/>
    <w:basedOn w:val="Standard"/>
    <w:link w:val="EndnotentextZchn"/>
    <w:semiHidden/>
    <w:rsid w:val="00405336"/>
    <w:rPr>
      <w:sz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FF04E3"/>
  </w:style>
  <w:style w:type="paragraph" w:styleId="Umschlagadresse">
    <w:name w:val="envelope address"/>
    <w:basedOn w:val="Standard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Umschlagabsenderadresse">
    <w:name w:val="envelope return"/>
    <w:basedOn w:val="Standard"/>
    <w:semiHidden/>
    <w:rsid w:val="00405336"/>
    <w:rPr>
      <w:rFonts w:ascii="Cambria" w:hAnsi="Cambria"/>
      <w:sz w:val="20"/>
    </w:rPr>
  </w:style>
  <w:style w:type="paragraph" w:styleId="Fuzeile">
    <w:name w:val="footer"/>
    <w:basedOn w:val="Standard"/>
    <w:link w:val="FuzeileZchn"/>
    <w:semiHidden/>
    <w:rsid w:val="00405336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semiHidden/>
    <w:rsid w:val="00FF04E3"/>
    <w:rPr>
      <w:sz w:val="24"/>
    </w:rPr>
  </w:style>
  <w:style w:type="paragraph" w:styleId="Funotentext">
    <w:name w:val="footnote text"/>
    <w:basedOn w:val="Standard"/>
    <w:link w:val="FunotentextZchn"/>
    <w:semiHidden/>
    <w:rsid w:val="00405336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F04E3"/>
  </w:style>
  <w:style w:type="paragraph" w:styleId="Kopfzeile">
    <w:name w:val="header"/>
    <w:basedOn w:val="Standard"/>
    <w:link w:val="KopfzeileZchn"/>
    <w:semiHidden/>
    <w:rsid w:val="00405336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semiHidden/>
    <w:rsid w:val="00FF04E3"/>
    <w:rPr>
      <w:sz w:val="24"/>
    </w:rPr>
  </w:style>
  <w:style w:type="paragraph" w:styleId="HTMLAdresse">
    <w:name w:val="HTML Address"/>
    <w:basedOn w:val="Standard"/>
    <w:link w:val="HTMLAdresseZchn"/>
    <w:semiHidden/>
    <w:rsid w:val="00405336"/>
    <w:rPr>
      <w:i/>
      <w:iCs/>
    </w:rPr>
  </w:style>
  <w:style w:type="character" w:customStyle="1" w:styleId="HTMLAdresseZchn">
    <w:name w:val="HTML Adresse Zchn"/>
    <w:link w:val="HTMLAdresse"/>
    <w:semiHidden/>
    <w:rsid w:val="00FF04E3"/>
    <w:rPr>
      <w:i/>
      <w:iCs/>
      <w:sz w:val="24"/>
    </w:rPr>
  </w:style>
  <w:style w:type="paragraph" w:styleId="HTMLVorformatiert">
    <w:name w:val="HTML Preformatted"/>
    <w:basedOn w:val="Standard"/>
    <w:link w:val="HTMLVorformatiertZchn"/>
    <w:semiHidden/>
    <w:rsid w:val="00405336"/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link w:val="HTMLVorformatiert"/>
    <w:semiHidden/>
    <w:rsid w:val="00FF04E3"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semiHidden/>
    <w:rsid w:val="00405336"/>
    <w:pPr>
      <w:ind w:left="240" w:hanging="240"/>
    </w:pPr>
  </w:style>
  <w:style w:type="paragraph" w:styleId="Index2">
    <w:name w:val="index 2"/>
    <w:basedOn w:val="Standard"/>
    <w:next w:val="Standard"/>
    <w:autoRedefine/>
    <w:semiHidden/>
    <w:rsid w:val="00405336"/>
    <w:pPr>
      <w:ind w:left="480" w:hanging="240"/>
    </w:pPr>
  </w:style>
  <w:style w:type="paragraph" w:styleId="Index3">
    <w:name w:val="index 3"/>
    <w:basedOn w:val="Standard"/>
    <w:next w:val="Standard"/>
    <w:autoRedefine/>
    <w:semiHidden/>
    <w:rsid w:val="00405336"/>
    <w:pPr>
      <w:ind w:left="720" w:hanging="240"/>
    </w:pPr>
  </w:style>
  <w:style w:type="paragraph" w:styleId="Index4">
    <w:name w:val="index 4"/>
    <w:basedOn w:val="Standard"/>
    <w:next w:val="Standard"/>
    <w:autoRedefine/>
    <w:semiHidden/>
    <w:rsid w:val="00405336"/>
    <w:pPr>
      <w:ind w:left="960" w:hanging="240"/>
    </w:pPr>
  </w:style>
  <w:style w:type="paragraph" w:styleId="Index5">
    <w:name w:val="index 5"/>
    <w:basedOn w:val="Standard"/>
    <w:next w:val="Standard"/>
    <w:autoRedefine/>
    <w:semiHidden/>
    <w:rsid w:val="00405336"/>
    <w:pPr>
      <w:ind w:left="1200" w:hanging="240"/>
    </w:pPr>
  </w:style>
  <w:style w:type="paragraph" w:styleId="Index6">
    <w:name w:val="index 6"/>
    <w:basedOn w:val="Standard"/>
    <w:next w:val="Standard"/>
    <w:autoRedefine/>
    <w:semiHidden/>
    <w:rsid w:val="00405336"/>
    <w:pPr>
      <w:ind w:left="1440" w:hanging="240"/>
    </w:pPr>
  </w:style>
  <w:style w:type="paragraph" w:styleId="Index7">
    <w:name w:val="index 7"/>
    <w:basedOn w:val="Standard"/>
    <w:next w:val="Standard"/>
    <w:autoRedefine/>
    <w:semiHidden/>
    <w:rsid w:val="00405336"/>
    <w:pPr>
      <w:ind w:left="1680" w:hanging="240"/>
    </w:pPr>
  </w:style>
  <w:style w:type="paragraph" w:styleId="Index8">
    <w:name w:val="index 8"/>
    <w:basedOn w:val="Standard"/>
    <w:next w:val="Standard"/>
    <w:autoRedefine/>
    <w:semiHidden/>
    <w:rsid w:val="00405336"/>
    <w:pPr>
      <w:ind w:left="1920" w:hanging="240"/>
    </w:pPr>
  </w:style>
  <w:style w:type="paragraph" w:styleId="Index9">
    <w:name w:val="index 9"/>
    <w:basedOn w:val="Standard"/>
    <w:next w:val="Standard"/>
    <w:autoRedefine/>
    <w:semiHidden/>
    <w:rsid w:val="00405336"/>
    <w:pPr>
      <w:ind w:left="2160" w:hanging="240"/>
    </w:pPr>
  </w:style>
  <w:style w:type="paragraph" w:styleId="Indexberschrift">
    <w:name w:val="index heading"/>
    <w:basedOn w:val="Standard"/>
    <w:next w:val="Index1"/>
    <w:semiHidden/>
    <w:rsid w:val="00405336"/>
    <w:rPr>
      <w:rFonts w:ascii="Cambria" w:hAnsi="Cambria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Standard"/>
    <w:semiHidden/>
    <w:rsid w:val="00405336"/>
    <w:pPr>
      <w:ind w:left="360" w:hanging="360"/>
      <w:contextualSpacing/>
    </w:pPr>
  </w:style>
  <w:style w:type="paragraph" w:styleId="Liste2">
    <w:name w:val="List 2"/>
    <w:basedOn w:val="Standard"/>
    <w:semiHidden/>
    <w:rsid w:val="00405336"/>
    <w:pPr>
      <w:ind w:left="720" w:hanging="360"/>
      <w:contextualSpacing/>
    </w:pPr>
  </w:style>
  <w:style w:type="paragraph" w:styleId="Liste3">
    <w:name w:val="List 3"/>
    <w:basedOn w:val="Standard"/>
    <w:semiHidden/>
    <w:rsid w:val="00405336"/>
    <w:pPr>
      <w:ind w:left="1080" w:hanging="360"/>
      <w:contextualSpacing/>
    </w:pPr>
  </w:style>
  <w:style w:type="paragraph" w:styleId="Liste4">
    <w:name w:val="List 4"/>
    <w:basedOn w:val="Standard"/>
    <w:semiHidden/>
    <w:rsid w:val="00405336"/>
    <w:pPr>
      <w:ind w:left="1440" w:hanging="360"/>
      <w:contextualSpacing/>
    </w:pPr>
  </w:style>
  <w:style w:type="paragraph" w:styleId="Liste5">
    <w:name w:val="List 5"/>
    <w:basedOn w:val="Standard"/>
    <w:semiHidden/>
    <w:rsid w:val="00405336"/>
    <w:pPr>
      <w:ind w:left="1800" w:hanging="360"/>
      <w:contextualSpacing/>
    </w:pPr>
  </w:style>
  <w:style w:type="paragraph" w:styleId="Aufzhlungszeichen">
    <w:name w:val="List Bullet"/>
    <w:basedOn w:val="Standard"/>
    <w:semiHidden/>
    <w:rsid w:val="00405336"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rsid w:val="00405336"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rsid w:val="00405336"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rsid w:val="00405336"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rsid w:val="00405336"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rsid w:val="00405336"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rsid w:val="00405336"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rsid w:val="00405336"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rsid w:val="00405336"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rsid w:val="00405336"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rsid w:val="00405336"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rsid w:val="00405336"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rsid w:val="00405336"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rsid w:val="00405336"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rsid w:val="00405336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qFormat/>
    <w:rsid w:val="00405336"/>
    <w:pPr>
      <w:ind w:left="720"/>
    </w:pPr>
  </w:style>
  <w:style w:type="paragraph" w:styleId="Makrotext">
    <w:name w:val="macro"/>
    <w:link w:val="MakrotextZchn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link w:val="Mak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Nachrichtenkopf">
    <w:name w:val="Message Header"/>
    <w:basedOn w:val="Standard"/>
    <w:link w:val="NachrichtenkopfZchn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NachrichtenkopfZchn">
    <w:name w:val="Nachrichtenkopf Zchn"/>
    <w:link w:val="Nachrichtenkop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KeinLeerraum">
    <w:name w:val="No Spacing"/>
    <w:uiPriority w:val="1"/>
    <w:semiHidden/>
    <w:qFormat/>
    <w:rsid w:val="00405336"/>
    <w:rPr>
      <w:sz w:val="24"/>
    </w:rPr>
  </w:style>
  <w:style w:type="paragraph" w:styleId="StandardWeb">
    <w:name w:val="Normal (Web)"/>
    <w:basedOn w:val="Standard"/>
    <w:uiPriority w:val="99"/>
    <w:semiHidden/>
    <w:rsid w:val="00405336"/>
    <w:rPr>
      <w:szCs w:val="24"/>
    </w:rPr>
  </w:style>
  <w:style w:type="paragraph" w:styleId="Standardeinzug">
    <w:name w:val="Normal Indent"/>
    <w:basedOn w:val="Standard"/>
    <w:semiHidden/>
    <w:rsid w:val="00405336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semiHidden/>
    <w:rsid w:val="00405336"/>
  </w:style>
  <w:style w:type="character" w:customStyle="1" w:styleId="Fu-EndnotenberschriftZchn">
    <w:name w:val="Fuß/-Endnotenüberschrift Zchn"/>
    <w:link w:val="Fu-Endnotenberschrift"/>
    <w:semiHidden/>
    <w:rsid w:val="00FF04E3"/>
    <w:rPr>
      <w:sz w:val="24"/>
    </w:rPr>
  </w:style>
  <w:style w:type="paragraph" w:styleId="NurText">
    <w:name w:val="Plain Text"/>
    <w:basedOn w:val="Standard"/>
    <w:link w:val="NurTextZchn"/>
    <w:semiHidden/>
    <w:rsid w:val="00405336"/>
    <w:rPr>
      <w:rFonts w:ascii="Courier New" w:hAnsi="Courier New" w:cs="Courier New"/>
      <w:sz w:val="20"/>
    </w:rPr>
  </w:style>
  <w:style w:type="character" w:customStyle="1" w:styleId="NurTextZchn">
    <w:name w:val="Nur Text Zchn"/>
    <w:link w:val="NurText"/>
    <w:semiHidden/>
    <w:rsid w:val="00FF04E3"/>
    <w:rPr>
      <w:rFonts w:ascii="Courier New" w:hAnsi="Courier New" w:cs="Courier New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405336"/>
    <w:rPr>
      <w:i/>
      <w:iCs/>
      <w:color w:val="000000"/>
    </w:rPr>
  </w:style>
  <w:style w:type="character" w:customStyle="1" w:styleId="ZitatZchn">
    <w:name w:val="Zitat Zchn"/>
    <w:link w:val="Zitat"/>
    <w:uiPriority w:val="29"/>
    <w:semiHidden/>
    <w:rsid w:val="00FF04E3"/>
    <w:rPr>
      <w:i/>
      <w:iCs/>
      <w:color w:val="000000"/>
      <w:sz w:val="24"/>
    </w:rPr>
  </w:style>
  <w:style w:type="paragraph" w:styleId="Anrede">
    <w:name w:val="Salutation"/>
    <w:basedOn w:val="Standard"/>
    <w:next w:val="Standard"/>
    <w:link w:val="AnredeZchn"/>
    <w:semiHidden/>
    <w:rsid w:val="00405336"/>
  </w:style>
  <w:style w:type="character" w:customStyle="1" w:styleId="AnredeZchn">
    <w:name w:val="Anrede Zchn"/>
    <w:link w:val="Anrede"/>
    <w:semiHidden/>
    <w:rsid w:val="00FF04E3"/>
    <w:rPr>
      <w:sz w:val="24"/>
    </w:rPr>
  </w:style>
  <w:style w:type="paragraph" w:styleId="Unterschrift">
    <w:name w:val="Signature"/>
    <w:basedOn w:val="Standard"/>
    <w:link w:val="UnterschriftZchn"/>
    <w:semiHidden/>
    <w:rsid w:val="00405336"/>
    <w:pPr>
      <w:ind w:left="4320"/>
    </w:pPr>
  </w:style>
  <w:style w:type="character" w:customStyle="1" w:styleId="UnterschriftZchn">
    <w:name w:val="Unterschrift Zchn"/>
    <w:link w:val="Unterschrift"/>
    <w:semiHidden/>
    <w:rsid w:val="00FF04E3"/>
    <w:rPr>
      <w:sz w:val="24"/>
    </w:rPr>
  </w:style>
  <w:style w:type="paragraph" w:styleId="Untertitel">
    <w:name w:val="Subtitle"/>
    <w:basedOn w:val="Standard"/>
    <w:next w:val="Standard"/>
    <w:link w:val="UntertitelZchn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UntertitelZchn">
    <w:name w:val="Untertitel Zchn"/>
    <w:link w:val="Untertitel"/>
    <w:semiHidden/>
    <w:rsid w:val="00FF04E3"/>
    <w:rPr>
      <w:rFonts w:ascii="Cambria" w:hAnsi="Cambria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rsid w:val="00405336"/>
    <w:pPr>
      <w:ind w:left="240" w:hanging="240"/>
    </w:pPr>
  </w:style>
  <w:style w:type="paragraph" w:styleId="Abbildungsverzeichnis">
    <w:name w:val="table of figures"/>
    <w:basedOn w:val="Standard"/>
    <w:next w:val="Standard"/>
    <w:semiHidden/>
    <w:rsid w:val="00405336"/>
  </w:style>
  <w:style w:type="paragraph" w:styleId="Titel">
    <w:name w:val="Title"/>
    <w:basedOn w:val="Standard"/>
    <w:next w:val="Standard"/>
    <w:link w:val="TitelZchn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RGV-berschrift">
    <w:name w:val="toa heading"/>
    <w:basedOn w:val="Standard"/>
    <w:next w:val="Standard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Verzeichnis1">
    <w:name w:val="toc 1"/>
    <w:basedOn w:val="Standard"/>
    <w:next w:val="Standard"/>
    <w:autoRedefine/>
    <w:semiHidden/>
    <w:rsid w:val="00405336"/>
  </w:style>
  <w:style w:type="paragraph" w:styleId="Verzeichnis2">
    <w:name w:val="toc 2"/>
    <w:basedOn w:val="Standard"/>
    <w:next w:val="Standard"/>
    <w:autoRedefine/>
    <w:semiHidden/>
    <w:rsid w:val="00405336"/>
    <w:pPr>
      <w:ind w:left="240"/>
    </w:pPr>
  </w:style>
  <w:style w:type="paragraph" w:styleId="Verzeichnis3">
    <w:name w:val="toc 3"/>
    <w:basedOn w:val="Standard"/>
    <w:next w:val="Standard"/>
    <w:autoRedefine/>
    <w:semiHidden/>
    <w:rsid w:val="00405336"/>
    <w:pPr>
      <w:ind w:left="480"/>
    </w:pPr>
  </w:style>
  <w:style w:type="paragraph" w:styleId="Verzeichnis4">
    <w:name w:val="toc 4"/>
    <w:basedOn w:val="Standard"/>
    <w:next w:val="Standard"/>
    <w:autoRedefine/>
    <w:semiHidden/>
    <w:rsid w:val="00405336"/>
    <w:pPr>
      <w:ind w:left="720"/>
    </w:pPr>
  </w:style>
  <w:style w:type="paragraph" w:styleId="Verzeichnis5">
    <w:name w:val="toc 5"/>
    <w:basedOn w:val="Standard"/>
    <w:next w:val="Standard"/>
    <w:autoRedefine/>
    <w:semiHidden/>
    <w:rsid w:val="00405336"/>
    <w:pPr>
      <w:ind w:left="960"/>
    </w:pPr>
  </w:style>
  <w:style w:type="paragraph" w:styleId="Verzeichnis6">
    <w:name w:val="toc 6"/>
    <w:basedOn w:val="Standard"/>
    <w:next w:val="Standard"/>
    <w:autoRedefine/>
    <w:semiHidden/>
    <w:rsid w:val="00405336"/>
    <w:pPr>
      <w:ind w:left="1200"/>
    </w:pPr>
  </w:style>
  <w:style w:type="paragraph" w:styleId="Verzeichnis7">
    <w:name w:val="toc 7"/>
    <w:basedOn w:val="Standard"/>
    <w:next w:val="Standard"/>
    <w:autoRedefine/>
    <w:semiHidden/>
    <w:rsid w:val="00405336"/>
    <w:pPr>
      <w:ind w:left="1440"/>
    </w:pPr>
  </w:style>
  <w:style w:type="paragraph" w:styleId="Verzeichnis8">
    <w:name w:val="toc 8"/>
    <w:basedOn w:val="Standard"/>
    <w:next w:val="Standard"/>
    <w:autoRedefine/>
    <w:semiHidden/>
    <w:rsid w:val="00405336"/>
    <w:pPr>
      <w:ind w:left="1680"/>
    </w:pPr>
  </w:style>
  <w:style w:type="paragraph" w:styleId="Verzeichnis9">
    <w:name w:val="toc 9"/>
    <w:basedOn w:val="Standard"/>
    <w:next w:val="Standard"/>
    <w:autoRedefine/>
    <w:semiHidden/>
    <w:rsid w:val="00405336"/>
    <w:pPr>
      <w:ind w:left="192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Standard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Standard"/>
    <w:rsid w:val="00FF3503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FF3503"/>
    <w:rPr>
      <w:b/>
      <w:bCs/>
    </w:rPr>
  </w:style>
  <w:style w:type="character" w:styleId="Kommentarzeichen">
    <w:name w:val="annotation reference"/>
    <w:semiHidden/>
    <w:rsid w:val="002800B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1333</Words>
  <Characters>8400</Characters>
  <Application>Microsoft Office Word</Application>
  <DocSecurity>0</DocSecurity>
  <Lines>70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9714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Siren Rühs</cp:lastModifiedBy>
  <cp:revision>5</cp:revision>
  <cp:lastPrinted>2014-09-30T16:49:00Z</cp:lastPrinted>
  <dcterms:created xsi:type="dcterms:W3CDTF">2021-05-28T12:50:00Z</dcterms:created>
  <dcterms:modified xsi:type="dcterms:W3CDTF">2021-05-31T07:28:00Z</dcterms:modified>
</cp:coreProperties>
</file>