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5F29B" w14:textId="77777777" w:rsidR="00211D65" w:rsidRDefault="009D3E4F">
      <w:pPr>
        <w:spacing w:after="120" w:line="240" w:lineRule="auto"/>
        <w:jc w:val="both"/>
        <w:rPr>
          <w:rFonts w:cs="Times New Roman"/>
          <w:b/>
          <w:bCs/>
          <w:color w:val="000000"/>
          <w:sz w:val="24"/>
          <w:szCs w:val="24"/>
          <w:lang w:val="en-GB"/>
        </w:rPr>
      </w:pPr>
      <w:r>
        <w:rPr>
          <w:rFonts w:cs="Times New Roman"/>
          <w:b/>
          <w:color w:val="000000" w:themeColor="text1"/>
          <w:sz w:val="24"/>
          <w:szCs w:val="24"/>
          <w:lang w:val="en-GB"/>
        </w:rPr>
        <w:t xml:space="preserve">Supplement to “Experimentally decomposing total phytoplankton community change into ecological and evolutionary components” </w:t>
      </w:r>
    </w:p>
    <w:p w14:paraId="0238FE60" w14:textId="77777777" w:rsidR="00211D65" w:rsidRDefault="00211D65">
      <w:pPr>
        <w:spacing w:after="120" w:line="240" w:lineRule="auto"/>
        <w:jc w:val="both"/>
        <w:rPr>
          <w:rFonts w:cs="Times New Roman"/>
          <w:color w:val="000000"/>
          <w:sz w:val="24"/>
          <w:szCs w:val="24"/>
          <w:lang w:val="en-GB"/>
        </w:rPr>
      </w:pPr>
    </w:p>
    <w:p w14:paraId="5F836916" w14:textId="77777777" w:rsidR="00211D65" w:rsidRDefault="009D3E4F">
      <w:pPr>
        <w:spacing w:after="120" w:line="240" w:lineRule="auto"/>
        <w:jc w:val="both"/>
        <w:rPr>
          <w:rFonts w:cs="Times New Roman"/>
          <w:b/>
          <w:color w:val="000000"/>
          <w:sz w:val="24"/>
          <w:szCs w:val="24"/>
          <w:lang w:val="en-GB"/>
        </w:rPr>
      </w:pPr>
      <w:r>
        <w:rPr>
          <w:rFonts w:cs="Times New Roman"/>
          <w:b/>
          <w:color w:val="000000" w:themeColor="text1"/>
          <w:sz w:val="24"/>
          <w:szCs w:val="24"/>
          <w:lang w:val="en-GB"/>
        </w:rPr>
        <w:t>Table of Contents</w:t>
      </w:r>
    </w:p>
    <w:sdt>
      <w:sdtPr>
        <w:rPr>
          <w:rFonts w:ascii="Times New Roman" w:eastAsia="Calibri" w:hAnsi="Times New Roman" w:cs="Calibri"/>
          <w:b w:val="0"/>
          <w:bCs w:val="0"/>
          <w:sz w:val="21"/>
          <w:szCs w:val="22"/>
          <w:lang w:bidi="ar-SA"/>
        </w:rPr>
        <w:id w:val="-1023557689"/>
        <w:docPartObj>
          <w:docPartGallery w:val="Table of Contents"/>
          <w:docPartUnique/>
        </w:docPartObj>
      </w:sdtPr>
      <w:sdtEndPr/>
      <w:sdtContent>
        <w:p w14:paraId="4F636462" w14:textId="77777777" w:rsidR="00211D65" w:rsidRDefault="009D3E4F">
          <w:pPr>
            <w:pStyle w:val="TOCHeading"/>
          </w:pPr>
          <w:r>
            <w:t>Contents</w:t>
          </w:r>
        </w:p>
        <w:p w14:paraId="740605A9" w14:textId="60B3606D" w:rsidR="001C3139" w:rsidRDefault="009D3E4F">
          <w:pPr>
            <w:pStyle w:val="TOC1"/>
            <w:rPr>
              <w:rFonts w:asciiTheme="minorHAnsi" w:eastAsiaTheme="minorEastAsia" w:hAnsiTheme="minorHAnsi" w:cstheme="minorBidi"/>
              <w:noProof/>
              <w:sz w:val="22"/>
              <w:lang w:val="sv-FI" w:eastAsia="sv-FI"/>
            </w:rPr>
          </w:pPr>
          <w:r>
            <w:fldChar w:fldCharType="begin"/>
          </w:r>
          <w:r>
            <w:instrText xml:space="preserve"> TOC \o "1-3" \h \z \u </w:instrText>
          </w:r>
          <w:r>
            <w:fldChar w:fldCharType="separate"/>
          </w:r>
          <w:hyperlink w:anchor="_Toc79054737" w:history="1">
            <w:r w:rsidR="001C3139" w:rsidRPr="00A75983">
              <w:rPr>
                <w:rStyle w:val="Hyperlink"/>
                <w:rFonts w:cs="Times New Roman"/>
                <w:noProof/>
                <w:lang w:val="en-GB"/>
              </w:rPr>
              <w:t>Section 1: General aspects of the Sorting phase</w:t>
            </w:r>
            <w:r w:rsidR="001C3139">
              <w:rPr>
                <w:noProof/>
                <w:webHidden/>
              </w:rPr>
              <w:tab/>
            </w:r>
            <w:r w:rsidR="001C3139">
              <w:rPr>
                <w:noProof/>
                <w:webHidden/>
              </w:rPr>
              <w:fldChar w:fldCharType="begin"/>
            </w:r>
            <w:r w:rsidR="001C3139">
              <w:rPr>
                <w:noProof/>
                <w:webHidden/>
              </w:rPr>
              <w:instrText xml:space="preserve"> PAGEREF _Toc79054737 \h </w:instrText>
            </w:r>
            <w:r w:rsidR="001C3139">
              <w:rPr>
                <w:noProof/>
                <w:webHidden/>
              </w:rPr>
            </w:r>
            <w:r w:rsidR="001C3139">
              <w:rPr>
                <w:noProof/>
                <w:webHidden/>
              </w:rPr>
              <w:fldChar w:fldCharType="separate"/>
            </w:r>
            <w:r w:rsidR="001C3139">
              <w:rPr>
                <w:noProof/>
                <w:webHidden/>
              </w:rPr>
              <w:t>2</w:t>
            </w:r>
            <w:r w:rsidR="001C3139">
              <w:rPr>
                <w:noProof/>
                <w:webHidden/>
              </w:rPr>
              <w:fldChar w:fldCharType="end"/>
            </w:r>
          </w:hyperlink>
        </w:p>
        <w:p w14:paraId="26140DAC" w14:textId="20E04B63" w:rsidR="001C3139" w:rsidRDefault="001C3139">
          <w:pPr>
            <w:pStyle w:val="TOC3"/>
            <w:tabs>
              <w:tab w:val="right" w:leader="dot" w:pos="9063"/>
            </w:tabs>
            <w:rPr>
              <w:rFonts w:asciiTheme="minorHAnsi" w:eastAsiaTheme="minorEastAsia" w:hAnsiTheme="minorHAnsi" w:cstheme="minorBidi"/>
              <w:noProof/>
              <w:sz w:val="22"/>
              <w:lang w:val="sv-FI" w:eastAsia="sv-FI"/>
            </w:rPr>
          </w:pPr>
          <w:hyperlink w:anchor="_Toc79054738" w:history="1">
            <w:r w:rsidRPr="00A75983">
              <w:rPr>
                <w:rStyle w:val="Hyperlink"/>
                <w:noProof/>
                <w:lang w:val="en-US"/>
              </w:rPr>
              <w:t>Figure S1:</w:t>
            </w:r>
            <w:r>
              <w:rPr>
                <w:noProof/>
                <w:webHidden/>
              </w:rPr>
              <w:tab/>
            </w:r>
            <w:r>
              <w:rPr>
                <w:noProof/>
                <w:webHidden/>
              </w:rPr>
              <w:fldChar w:fldCharType="begin"/>
            </w:r>
            <w:r>
              <w:rPr>
                <w:noProof/>
                <w:webHidden/>
              </w:rPr>
              <w:instrText xml:space="preserve"> PAGEREF _Toc79054738 \h </w:instrText>
            </w:r>
            <w:r>
              <w:rPr>
                <w:noProof/>
                <w:webHidden/>
              </w:rPr>
            </w:r>
            <w:r>
              <w:rPr>
                <w:noProof/>
                <w:webHidden/>
              </w:rPr>
              <w:fldChar w:fldCharType="separate"/>
            </w:r>
            <w:r>
              <w:rPr>
                <w:noProof/>
                <w:webHidden/>
              </w:rPr>
              <w:t>2</w:t>
            </w:r>
            <w:r>
              <w:rPr>
                <w:noProof/>
                <w:webHidden/>
              </w:rPr>
              <w:fldChar w:fldCharType="end"/>
            </w:r>
          </w:hyperlink>
        </w:p>
        <w:p w14:paraId="6A5D3AE6" w14:textId="3FB10D37" w:rsidR="001C3139" w:rsidRDefault="001C3139">
          <w:pPr>
            <w:pStyle w:val="TOC1"/>
            <w:rPr>
              <w:rFonts w:asciiTheme="minorHAnsi" w:eastAsiaTheme="minorEastAsia" w:hAnsiTheme="minorHAnsi" w:cstheme="minorBidi"/>
              <w:noProof/>
              <w:sz w:val="22"/>
              <w:lang w:val="sv-FI" w:eastAsia="sv-FI"/>
            </w:rPr>
          </w:pPr>
          <w:hyperlink w:anchor="_Toc79054739" w:history="1">
            <w:r w:rsidRPr="00A75983">
              <w:rPr>
                <w:rStyle w:val="Hyperlink"/>
                <w:rFonts w:cs="Times New Roman"/>
                <w:noProof/>
                <w:lang w:val="en-GB"/>
              </w:rPr>
              <w:t>Section 2: Technical description of assay community reassembly</w:t>
            </w:r>
            <w:r>
              <w:rPr>
                <w:noProof/>
                <w:webHidden/>
              </w:rPr>
              <w:tab/>
            </w:r>
            <w:r>
              <w:rPr>
                <w:noProof/>
                <w:webHidden/>
              </w:rPr>
              <w:fldChar w:fldCharType="begin"/>
            </w:r>
            <w:r>
              <w:rPr>
                <w:noProof/>
                <w:webHidden/>
              </w:rPr>
              <w:instrText xml:space="preserve"> PAGEREF _Toc79054739 \h </w:instrText>
            </w:r>
            <w:r>
              <w:rPr>
                <w:noProof/>
                <w:webHidden/>
              </w:rPr>
            </w:r>
            <w:r>
              <w:rPr>
                <w:noProof/>
                <w:webHidden/>
              </w:rPr>
              <w:fldChar w:fldCharType="separate"/>
            </w:r>
            <w:r>
              <w:rPr>
                <w:noProof/>
                <w:webHidden/>
              </w:rPr>
              <w:t>3</w:t>
            </w:r>
            <w:r>
              <w:rPr>
                <w:noProof/>
                <w:webHidden/>
              </w:rPr>
              <w:fldChar w:fldCharType="end"/>
            </w:r>
          </w:hyperlink>
        </w:p>
        <w:p w14:paraId="15A98B55" w14:textId="3ECD1B4E" w:rsidR="001C3139" w:rsidRDefault="001C3139">
          <w:pPr>
            <w:pStyle w:val="TOC3"/>
            <w:tabs>
              <w:tab w:val="right" w:leader="dot" w:pos="9063"/>
            </w:tabs>
            <w:rPr>
              <w:rFonts w:asciiTheme="minorHAnsi" w:eastAsiaTheme="minorEastAsia" w:hAnsiTheme="minorHAnsi" w:cstheme="minorBidi"/>
              <w:noProof/>
              <w:sz w:val="22"/>
              <w:lang w:val="sv-FI" w:eastAsia="sv-FI"/>
            </w:rPr>
          </w:pPr>
          <w:hyperlink w:anchor="_Toc79054740" w:history="1">
            <w:r w:rsidRPr="00A75983">
              <w:rPr>
                <w:rStyle w:val="Hyperlink"/>
                <w:noProof/>
                <w:lang w:val="en-US" w:eastAsia="de-DE"/>
              </w:rPr>
              <w:t>Table S1:</w:t>
            </w:r>
            <w:r>
              <w:rPr>
                <w:noProof/>
                <w:webHidden/>
              </w:rPr>
              <w:tab/>
            </w:r>
            <w:r>
              <w:rPr>
                <w:noProof/>
                <w:webHidden/>
              </w:rPr>
              <w:fldChar w:fldCharType="begin"/>
            </w:r>
            <w:r>
              <w:rPr>
                <w:noProof/>
                <w:webHidden/>
              </w:rPr>
              <w:instrText xml:space="preserve"> PAGEREF _Toc79054740 \h </w:instrText>
            </w:r>
            <w:r>
              <w:rPr>
                <w:noProof/>
                <w:webHidden/>
              </w:rPr>
            </w:r>
            <w:r>
              <w:rPr>
                <w:noProof/>
                <w:webHidden/>
              </w:rPr>
              <w:fldChar w:fldCharType="separate"/>
            </w:r>
            <w:r>
              <w:rPr>
                <w:noProof/>
                <w:webHidden/>
              </w:rPr>
              <w:t>4</w:t>
            </w:r>
            <w:r>
              <w:rPr>
                <w:noProof/>
                <w:webHidden/>
              </w:rPr>
              <w:fldChar w:fldCharType="end"/>
            </w:r>
          </w:hyperlink>
        </w:p>
        <w:p w14:paraId="2453066F" w14:textId="09840ED7" w:rsidR="001C3139" w:rsidRDefault="001C3139">
          <w:pPr>
            <w:pStyle w:val="TOC3"/>
            <w:tabs>
              <w:tab w:val="right" w:leader="dot" w:pos="9063"/>
            </w:tabs>
            <w:rPr>
              <w:rFonts w:asciiTheme="minorHAnsi" w:eastAsiaTheme="minorEastAsia" w:hAnsiTheme="minorHAnsi" w:cstheme="minorBidi"/>
              <w:noProof/>
              <w:sz w:val="22"/>
              <w:lang w:val="sv-FI" w:eastAsia="sv-FI"/>
            </w:rPr>
          </w:pPr>
          <w:hyperlink w:anchor="_Toc79054741" w:history="1">
            <w:r w:rsidRPr="00A75983">
              <w:rPr>
                <w:rStyle w:val="Hyperlink"/>
                <w:noProof/>
                <w:lang w:val="en-US"/>
              </w:rPr>
              <w:t>Table S2:</w:t>
            </w:r>
            <w:r>
              <w:rPr>
                <w:noProof/>
                <w:webHidden/>
              </w:rPr>
              <w:tab/>
            </w:r>
            <w:r>
              <w:rPr>
                <w:noProof/>
                <w:webHidden/>
              </w:rPr>
              <w:fldChar w:fldCharType="begin"/>
            </w:r>
            <w:r>
              <w:rPr>
                <w:noProof/>
                <w:webHidden/>
              </w:rPr>
              <w:instrText xml:space="preserve"> PAGEREF _Toc79054741 \h </w:instrText>
            </w:r>
            <w:r>
              <w:rPr>
                <w:noProof/>
                <w:webHidden/>
              </w:rPr>
            </w:r>
            <w:r>
              <w:rPr>
                <w:noProof/>
                <w:webHidden/>
              </w:rPr>
              <w:fldChar w:fldCharType="separate"/>
            </w:r>
            <w:r>
              <w:rPr>
                <w:noProof/>
                <w:webHidden/>
              </w:rPr>
              <w:t>5</w:t>
            </w:r>
            <w:r>
              <w:rPr>
                <w:noProof/>
                <w:webHidden/>
              </w:rPr>
              <w:fldChar w:fldCharType="end"/>
            </w:r>
          </w:hyperlink>
        </w:p>
        <w:p w14:paraId="202A9FE6" w14:textId="26FD5440" w:rsidR="001C3139" w:rsidRDefault="001C3139">
          <w:pPr>
            <w:pStyle w:val="TOC3"/>
            <w:tabs>
              <w:tab w:val="right" w:leader="dot" w:pos="9063"/>
            </w:tabs>
            <w:rPr>
              <w:rFonts w:asciiTheme="minorHAnsi" w:eastAsiaTheme="minorEastAsia" w:hAnsiTheme="minorHAnsi" w:cstheme="minorBidi"/>
              <w:noProof/>
              <w:sz w:val="22"/>
              <w:lang w:val="sv-FI" w:eastAsia="sv-FI"/>
            </w:rPr>
          </w:pPr>
          <w:hyperlink w:anchor="_Toc79054742" w:history="1">
            <w:r w:rsidRPr="00A75983">
              <w:rPr>
                <w:rStyle w:val="Hyperlink"/>
                <w:noProof/>
                <w:lang w:val="en-US"/>
              </w:rPr>
              <w:t>Table S3:</w:t>
            </w:r>
            <w:r>
              <w:rPr>
                <w:noProof/>
                <w:webHidden/>
              </w:rPr>
              <w:tab/>
            </w:r>
            <w:r>
              <w:rPr>
                <w:noProof/>
                <w:webHidden/>
              </w:rPr>
              <w:fldChar w:fldCharType="begin"/>
            </w:r>
            <w:r>
              <w:rPr>
                <w:noProof/>
                <w:webHidden/>
              </w:rPr>
              <w:instrText xml:space="preserve"> PAGEREF _Toc79054742 \h </w:instrText>
            </w:r>
            <w:r>
              <w:rPr>
                <w:noProof/>
                <w:webHidden/>
              </w:rPr>
            </w:r>
            <w:r>
              <w:rPr>
                <w:noProof/>
                <w:webHidden/>
              </w:rPr>
              <w:fldChar w:fldCharType="separate"/>
            </w:r>
            <w:r>
              <w:rPr>
                <w:noProof/>
                <w:webHidden/>
              </w:rPr>
              <w:t>5</w:t>
            </w:r>
            <w:r>
              <w:rPr>
                <w:noProof/>
                <w:webHidden/>
              </w:rPr>
              <w:fldChar w:fldCharType="end"/>
            </w:r>
          </w:hyperlink>
        </w:p>
        <w:p w14:paraId="1E4510A6" w14:textId="1AD3B6F1" w:rsidR="001C3139" w:rsidRDefault="001C3139">
          <w:pPr>
            <w:pStyle w:val="TOC3"/>
            <w:tabs>
              <w:tab w:val="right" w:leader="dot" w:pos="9063"/>
            </w:tabs>
            <w:rPr>
              <w:rFonts w:asciiTheme="minorHAnsi" w:eastAsiaTheme="minorEastAsia" w:hAnsiTheme="minorHAnsi" w:cstheme="minorBidi"/>
              <w:noProof/>
              <w:sz w:val="22"/>
              <w:lang w:val="sv-FI" w:eastAsia="sv-FI"/>
            </w:rPr>
          </w:pPr>
          <w:hyperlink w:anchor="_Toc79054743" w:history="1">
            <w:r w:rsidRPr="00A75983">
              <w:rPr>
                <w:rStyle w:val="Hyperlink"/>
                <w:noProof/>
                <w:lang w:val="en-US"/>
              </w:rPr>
              <w:t>Figure S7:</w:t>
            </w:r>
            <w:r>
              <w:rPr>
                <w:noProof/>
                <w:webHidden/>
              </w:rPr>
              <w:tab/>
            </w:r>
            <w:r>
              <w:rPr>
                <w:noProof/>
                <w:webHidden/>
              </w:rPr>
              <w:fldChar w:fldCharType="begin"/>
            </w:r>
            <w:r>
              <w:rPr>
                <w:noProof/>
                <w:webHidden/>
              </w:rPr>
              <w:instrText xml:space="preserve"> PAGEREF _Toc79054743 \h </w:instrText>
            </w:r>
            <w:r>
              <w:rPr>
                <w:noProof/>
                <w:webHidden/>
              </w:rPr>
            </w:r>
            <w:r>
              <w:rPr>
                <w:noProof/>
                <w:webHidden/>
              </w:rPr>
              <w:fldChar w:fldCharType="separate"/>
            </w:r>
            <w:r>
              <w:rPr>
                <w:noProof/>
                <w:webHidden/>
              </w:rPr>
              <w:t>5</w:t>
            </w:r>
            <w:r>
              <w:rPr>
                <w:noProof/>
                <w:webHidden/>
              </w:rPr>
              <w:fldChar w:fldCharType="end"/>
            </w:r>
          </w:hyperlink>
        </w:p>
        <w:p w14:paraId="5A9C7ED4" w14:textId="10AA50F4" w:rsidR="001C3139" w:rsidRDefault="001C3139">
          <w:pPr>
            <w:pStyle w:val="TOC1"/>
            <w:rPr>
              <w:rFonts w:asciiTheme="minorHAnsi" w:eastAsiaTheme="minorEastAsia" w:hAnsiTheme="minorHAnsi" w:cstheme="minorBidi"/>
              <w:noProof/>
              <w:sz w:val="22"/>
              <w:lang w:val="sv-FI" w:eastAsia="sv-FI"/>
            </w:rPr>
          </w:pPr>
          <w:hyperlink w:anchor="_Toc79054744" w:history="1">
            <w:r w:rsidRPr="00A75983">
              <w:rPr>
                <w:rStyle w:val="Hyperlink"/>
                <w:rFonts w:cs="Times New Roman"/>
                <w:noProof/>
                <w:lang w:val="en-GB"/>
              </w:rPr>
              <w:t>Section 3: Technical assessment of the artificial assembly</w:t>
            </w:r>
            <w:r>
              <w:rPr>
                <w:noProof/>
                <w:webHidden/>
              </w:rPr>
              <w:tab/>
            </w:r>
            <w:r>
              <w:rPr>
                <w:noProof/>
                <w:webHidden/>
              </w:rPr>
              <w:fldChar w:fldCharType="begin"/>
            </w:r>
            <w:r>
              <w:rPr>
                <w:noProof/>
                <w:webHidden/>
              </w:rPr>
              <w:instrText xml:space="preserve"> PAGEREF _Toc79054744 \h </w:instrText>
            </w:r>
            <w:r>
              <w:rPr>
                <w:noProof/>
                <w:webHidden/>
              </w:rPr>
            </w:r>
            <w:r>
              <w:rPr>
                <w:noProof/>
                <w:webHidden/>
              </w:rPr>
              <w:fldChar w:fldCharType="separate"/>
            </w:r>
            <w:r>
              <w:rPr>
                <w:noProof/>
                <w:webHidden/>
              </w:rPr>
              <w:t>6</w:t>
            </w:r>
            <w:r>
              <w:rPr>
                <w:noProof/>
                <w:webHidden/>
              </w:rPr>
              <w:fldChar w:fldCharType="end"/>
            </w:r>
          </w:hyperlink>
        </w:p>
        <w:p w14:paraId="40BA72A4" w14:textId="281FFCB2" w:rsidR="001C3139" w:rsidRDefault="001C3139">
          <w:pPr>
            <w:pStyle w:val="TOC3"/>
            <w:tabs>
              <w:tab w:val="right" w:leader="dot" w:pos="9063"/>
            </w:tabs>
            <w:rPr>
              <w:rFonts w:asciiTheme="minorHAnsi" w:eastAsiaTheme="minorEastAsia" w:hAnsiTheme="minorHAnsi" w:cstheme="minorBidi"/>
              <w:noProof/>
              <w:sz w:val="22"/>
              <w:lang w:val="sv-FI" w:eastAsia="sv-FI"/>
            </w:rPr>
          </w:pPr>
          <w:hyperlink w:anchor="_Toc79054745" w:history="1">
            <w:r w:rsidRPr="00A75983">
              <w:rPr>
                <w:rStyle w:val="Hyperlink"/>
                <w:noProof/>
                <w:lang w:val="en-US"/>
              </w:rPr>
              <w:t>Figure S2:</w:t>
            </w:r>
            <w:r>
              <w:rPr>
                <w:noProof/>
                <w:webHidden/>
              </w:rPr>
              <w:tab/>
            </w:r>
            <w:r>
              <w:rPr>
                <w:noProof/>
                <w:webHidden/>
              </w:rPr>
              <w:fldChar w:fldCharType="begin"/>
            </w:r>
            <w:r>
              <w:rPr>
                <w:noProof/>
                <w:webHidden/>
              </w:rPr>
              <w:instrText xml:space="preserve"> PAGEREF _Toc79054745 \h </w:instrText>
            </w:r>
            <w:r>
              <w:rPr>
                <w:noProof/>
                <w:webHidden/>
              </w:rPr>
            </w:r>
            <w:r>
              <w:rPr>
                <w:noProof/>
                <w:webHidden/>
              </w:rPr>
              <w:fldChar w:fldCharType="separate"/>
            </w:r>
            <w:r>
              <w:rPr>
                <w:noProof/>
                <w:webHidden/>
              </w:rPr>
              <w:t>6</w:t>
            </w:r>
            <w:r>
              <w:rPr>
                <w:noProof/>
                <w:webHidden/>
              </w:rPr>
              <w:fldChar w:fldCharType="end"/>
            </w:r>
          </w:hyperlink>
        </w:p>
        <w:p w14:paraId="4BCCDF6F" w14:textId="7E4B5D02" w:rsidR="001C3139" w:rsidRDefault="001C3139">
          <w:pPr>
            <w:pStyle w:val="TOC1"/>
            <w:rPr>
              <w:rFonts w:asciiTheme="minorHAnsi" w:eastAsiaTheme="minorEastAsia" w:hAnsiTheme="minorHAnsi" w:cstheme="minorBidi"/>
              <w:noProof/>
              <w:sz w:val="22"/>
              <w:lang w:val="sv-FI" w:eastAsia="sv-FI"/>
            </w:rPr>
          </w:pPr>
          <w:hyperlink w:anchor="_Toc79054746" w:history="1">
            <w:r w:rsidRPr="00A75983">
              <w:rPr>
                <w:rStyle w:val="Hyperlink"/>
                <w:rFonts w:cs="Times New Roman"/>
                <w:noProof/>
                <w:lang w:val="en-GB"/>
              </w:rPr>
              <w:t>Section 4: Additional assessment of intraspecific changes in the sorting phase</w:t>
            </w:r>
            <w:r>
              <w:rPr>
                <w:noProof/>
                <w:webHidden/>
              </w:rPr>
              <w:tab/>
            </w:r>
            <w:r>
              <w:rPr>
                <w:noProof/>
                <w:webHidden/>
              </w:rPr>
              <w:fldChar w:fldCharType="begin"/>
            </w:r>
            <w:r>
              <w:rPr>
                <w:noProof/>
                <w:webHidden/>
              </w:rPr>
              <w:instrText xml:space="preserve"> PAGEREF _Toc79054746 \h </w:instrText>
            </w:r>
            <w:r>
              <w:rPr>
                <w:noProof/>
                <w:webHidden/>
              </w:rPr>
            </w:r>
            <w:r>
              <w:rPr>
                <w:noProof/>
                <w:webHidden/>
              </w:rPr>
              <w:fldChar w:fldCharType="separate"/>
            </w:r>
            <w:r>
              <w:rPr>
                <w:noProof/>
                <w:webHidden/>
              </w:rPr>
              <w:t>7</w:t>
            </w:r>
            <w:r>
              <w:rPr>
                <w:noProof/>
                <w:webHidden/>
              </w:rPr>
              <w:fldChar w:fldCharType="end"/>
            </w:r>
          </w:hyperlink>
        </w:p>
        <w:p w14:paraId="0DA487B5" w14:textId="45EB689D" w:rsidR="001C3139" w:rsidRDefault="001C3139">
          <w:pPr>
            <w:pStyle w:val="TOC3"/>
            <w:tabs>
              <w:tab w:val="right" w:leader="dot" w:pos="9063"/>
            </w:tabs>
            <w:rPr>
              <w:rFonts w:asciiTheme="minorHAnsi" w:eastAsiaTheme="minorEastAsia" w:hAnsiTheme="minorHAnsi" w:cstheme="minorBidi"/>
              <w:noProof/>
              <w:sz w:val="22"/>
              <w:lang w:val="sv-FI" w:eastAsia="sv-FI"/>
            </w:rPr>
          </w:pPr>
          <w:hyperlink w:anchor="_Toc79054747" w:history="1">
            <w:r w:rsidRPr="00A75983">
              <w:rPr>
                <w:rStyle w:val="Hyperlink"/>
                <w:noProof/>
                <w:lang w:val="en-US"/>
              </w:rPr>
              <w:t>Figure S3:</w:t>
            </w:r>
            <w:r>
              <w:rPr>
                <w:noProof/>
                <w:webHidden/>
              </w:rPr>
              <w:tab/>
            </w:r>
            <w:r>
              <w:rPr>
                <w:noProof/>
                <w:webHidden/>
              </w:rPr>
              <w:fldChar w:fldCharType="begin"/>
            </w:r>
            <w:r>
              <w:rPr>
                <w:noProof/>
                <w:webHidden/>
              </w:rPr>
              <w:instrText xml:space="preserve"> PAGEREF _Toc79054747 \h </w:instrText>
            </w:r>
            <w:r>
              <w:rPr>
                <w:noProof/>
                <w:webHidden/>
              </w:rPr>
            </w:r>
            <w:r>
              <w:rPr>
                <w:noProof/>
                <w:webHidden/>
              </w:rPr>
              <w:fldChar w:fldCharType="separate"/>
            </w:r>
            <w:r>
              <w:rPr>
                <w:noProof/>
                <w:webHidden/>
              </w:rPr>
              <w:t>7</w:t>
            </w:r>
            <w:r>
              <w:rPr>
                <w:noProof/>
                <w:webHidden/>
              </w:rPr>
              <w:fldChar w:fldCharType="end"/>
            </w:r>
          </w:hyperlink>
        </w:p>
        <w:p w14:paraId="7BF6F12F" w14:textId="340CFDD8" w:rsidR="001C3139" w:rsidRDefault="001C3139">
          <w:pPr>
            <w:pStyle w:val="TOC3"/>
            <w:tabs>
              <w:tab w:val="right" w:leader="dot" w:pos="9063"/>
            </w:tabs>
            <w:rPr>
              <w:rFonts w:asciiTheme="minorHAnsi" w:eastAsiaTheme="minorEastAsia" w:hAnsiTheme="minorHAnsi" w:cstheme="minorBidi"/>
              <w:noProof/>
              <w:sz w:val="22"/>
              <w:lang w:val="sv-FI" w:eastAsia="sv-FI"/>
            </w:rPr>
          </w:pPr>
          <w:hyperlink w:anchor="_Toc79054748" w:history="1">
            <w:r w:rsidRPr="00A75983">
              <w:rPr>
                <w:rStyle w:val="Hyperlink"/>
                <w:noProof/>
                <w:lang w:val="en-US"/>
              </w:rPr>
              <w:t>Figure S4:</w:t>
            </w:r>
            <w:r>
              <w:rPr>
                <w:noProof/>
                <w:webHidden/>
              </w:rPr>
              <w:tab/>
            </w:r>
            <w:r>
              <w:rPr>
                <w:noProof/>
                <w:webHidden/>
              </w:rPr>
              <w:fldChar w:fldCharType="begin"/>
            </w:r>
            <w:r>
              <w:rPr>
                <w:noProof/>
                <w:webHidden/>
              </w:rPr>
              <w:instrText xml:space="preserve"> PAGEREF _Toc79054748 \h </w:instrText>
            </w:r>
            <w:r>
              <w:rPr>
                <w:noProof/>
                <w:webHidden/>
              </w:rPr>
            </w:r>
            <w:r>
              <w:rPr>
                <w:noProof/>
                <w:webHidden/>
              </w:rPr>
              <w:fldChar w:fldCharType="separate"/>
            </w:r>
            <w:r>
              <w:rPr>
                <w:noProof/>
                <w:webHidden/>
              </w:rPr>
              <w:t>8</w:t>
            </w:r>
            <w:r>
              <w:rPr>
                <w:noProof/>
                <w:webHidden/>
              </w:rPr>
              <w:fldChar w:fldCharType="end"/>
            </w:r>
          </w:hyperlink>
        </w:p>
        <w:p w14:paraId="4B8F8E63" w14:textId="62C3F7E2" w:rsidR="001C3139" w:rsidRDefault="001C3139">
          <w:pPr>
            <w:pStyle w:val="TOC3"/>
            <w:tabs>
              <w:tab w:val="right" w:leader="dot" w:pos="9063"/>
            </w:tabs>
            <w:rPr>
              <w:rFonts w:asciiTheme="minorHAnsi" w:eastAsiaTheme="minorEastAsia" w:hAnsiTheme="minorHAnsi" w:cstheme="minorBidi"/>
              <w:noProof/>
              <w:sz w:val="22"/>
              <w:lang w:val="sv-FI" w:eastAsia="sv-FI"/>
            </w:rPr>
          </w:pPr>
          <w:hyperlink w:anchor="_Toc79054749" w:history="1">
            <w:r w:rsidRPr="00A75983">
              <w:rPr>
                <w:rStyle w:val="Hyperlink"/>
                <w:noProof/>
                <w:lang w:val="en-US"/>
              </w:rPr>
              <w:t>Figure S5:</w:t>
            </w:r>
            <w:r>
              <w:rPr>
                <w:noProof/>
                <w:webHidden/>
              </w:rPr>
              <w:tab/>
            </w:r>
            <w:r>
              <w:rPr>
                <w:noProof/>
                <w:webHidden/>
              </w:rPr>
              <w:fldChar w:fldCharType="begin"/>
            </w:r>
            <w:r>
              <w:rPr>
                <w:noProof/>
                <w:webHidden/>
              </w:rPr>
              <w:instrText xml:space="preserve"> PAGEREF _Toc79054749 \h </w:instrText>
            </w:r>
            <w:r>
              <w:rPr>
                <w:noProof/>
                <w:webHidden/>
              </w:rPr>
            </w:r>
            <w:r>
              <w:rPr>
                <w:noProof/>
                <w:webHidden/>
              </w:rPr>
              <w:fldChar w:fldCharType="separate"/>
            </w:r>
            <w:r>
              <w:rPr>
                <w:noProof/>
                <w:webHidden/>
              </w:rPr>
              <w:t>8</w:t>
            </w:r>
            <w:r>
              <w:rPr>
                <w:noProof/>
                <w:webHidden/>
              </w:rPr>
              <w:fldChar w:fldCharType="end"/>
            </w:r>
          </w:hyperlink>
        </w:p>
        <w:p w14:paraId="5D563E9C" w14:textId="48E1373C" w:rsidR="001C3139" w:rsidRDefault="001C3139">
          <w:pPr>
            <w:pStyle w:val="TOC3"/>
            <w:tabs>
              <w:tab w:val="right" w:leader="dot" w:pos="9063"/>
            </w:tabs>
            <w:rPr>
              <w:rFonts w:asciiTheme="minorHAnsi" w:eastAsiaTheme="minorEastAsia" w:hAnsiTheme="minorHAnsi" w:cstheme="minorBidi"/>
              <w:noProof/>
              <w:sz w:val="22"/>
              <w:lang w:val="sv-FI" w:eastAsia="sv-FI"/>
            </w:rPr>
          </w:pPr>
          <w:hyperlink w:anchor="_Toc79054750" w:history="1">
            <w:r w:rsidRPr="00A75983">
              <w:rPr>
                <w:rStyle w:val="Hyperlink"/>
                <w:noProof/>
                <w:lang w:val="en-US"/>
              </w:rPr>
              <w:t>Figure S6:</w:t>
            </w:r>
            <w:r>
              <w:rPr>
                <w:noProof/>
                <w:webHidden/>
              </w:rPr>
              <w:tab/>
            </w:r>
            <w:r>
              <w:rPr>
                <w:noProof/>
                <w:webHidden/>
              </w:rPr>
              <w:fldChar w:fldCharType="begin"/>
            </w:r>
            <w:r>
              <w:rPr>
                <w:noProof/>
                <w:webHidden/>
              </w:rPr>
              <w:instrText xml:space="preserve"> PAGEREF _Toc79054750 \h </w:instrText>
            </w:r>
            <w:r>
              <w:rPr>
                <w:noProof/>
                <w:webHidden/>
              </w:rPr>
            </w:r>
            <w:r>
              <w:rPr>
                <w:noProof/>
                <w:webHidden/>
              </w:rPr>
              <w:fldChar w:fldCharType="separate"/>
            </w:r>
            <w:r>
              <w:rPr>
                <w:noProof/>
                <w:webHidden/>
              </w:rPr>
              <w:t>9</w:t>
            </w:r>
            <w:r>
              <w:rPr>
                <w:noProof/>
                <w:webHidden/>
              </w:rPr>
              <w:fldChar w:fldCharType="end"/>
            </w:r>
          </w:hyperlink>
        </w:p>
        <w:p w14:paraId="50ACCDEC" w14:textId="51631281" w:rsidR="001C3139" w:rsidRDefault="001C3139">
          <w:pPr>
            <w:pStyle w:val="TOC1"/>
            <w:rPr>
              <w:rFonts w:asciiTheme="minorHAnsi" w:eastAsiaTheme="minorEastAsia" w:hAnsiTheme="minorHAnsi" w:cstheme="minorBidi"/>
              <w:noProof/>
              <w:sz w:val="22"/>
              <w:lang w:val="sv-FI" w:eastAsia="sv-FI"/>
            </w:rPr>
          </w:pPr>
          <w:hyperlink w:anchor="_Toc79054751" w:history="1">
            <w:r w:rsidRPr="00A75983">
              <w:rPr>
                <w:rStyle w:val="Hyperlink"/>
                <w:rFonts w:cs="Times New Roman"/>
                <w:noProof/>
              </w:rPr>
              <w:t>Supplementary References</w:t>
            </w:r>
            <w:r>
              <w:rPr>
                <w:noProof/>
                <w:webHidden/>
              </w:rPr>
              <w:tab/>
            </w:r>
            <w:r>
              <w:rPr>
                <w:noProof/>
                <w:webHidden/>
              </w:rPr>
              <w:fldChar w:fldCharType="begin"/>
            </w:r>
            <w:r>
              <w:rPr>
                <w:noProof/>
                <w:webHidden/>
              </w:rPr>
              <w:instrText xml:space="preserve"> PAGEREF _Toc79054751 \h </w:instrText>
            </w:r>
            <w:r>
              <w:rPr>
                <w:noProof/>
                <w:webHidden/>
              </w:rPr>
            </w:r>
            <w:r>
              <w:rPr>
                <w:noProof/>
                <w:webHidden/>
              </w:rPr>
              <w:fldChar w:fldCharType="separate"/>
            </w:r>
            <w:r>
              <w:rPr>
                <w:noProof/>
                <w:webHidden/>
              </w:rPr>
              <w:t>10</w:t>
            </w:r>
            <w:r>
              <w:rPr>
                <w:noProof/>
                <w:webHidden/>
              </w:rPr>
              <w:fldChar w:fldCharType="end"/>
            </w:r>
          </w:hyperlink>
        </w:p>
        <w:p w14:paraId="3A237EC3" w14:textId="1064BC1E" w:rsidR="00211D65" w:rsidRDefault="009D3E4F">
          <w:r>
            <w:rPr>
              <w:b/>
              <w:bCs/>
            </w:rPr>
            <w:fldChar w:fldCharType="end"/>
          </w:r>
        </w:p>
      </w:sdtContent>
    </w:sdt>
    <w:p w14:paraId="7EC2D9F3" w14:textId="77777777" w:rsidR="00211D65" w:rsidRDefault="009D3E4F">
      <w:pPr>
        <w:rPr>
          <w:rFonts w:cs="Times New Roman"/>
          <w:b/>
          <w:color w:val="000000"/>
          <w:sz w:val="24"/>
          <w:szCs w:val="24"/>
          <w:lang w:val="en-GB"/>
        </w:rPr>
      </w:pPr>
      <w:r>
        <w:rPr>
          <w:rFonts w:cs="Times New Roman"/>
          <w:b/>
          <w:color w:val="000000" w:themeColor="text1"/>
          <w:sz w:val="24"/>
          <w:szCs w:val="24"/>
          <w:lang w:val="en-GB"/>
        </w:rPr>
        <w:br w:type="page"/>
      </w:r>
    </w:p>
    <w:p w14:paraId="14303AB0" w14:textId="77777777" w:rsidR="00211D65" w:rsidRDefault="00211D65">
      <w:pPr>
        <w:spacing w:after="120" w:line="240" w:lineRule="auto"/>
        <w:jc w:val="both"/>
        <w:rPr>
          <w:rFonts w:cs="Times New Roman"/>
          <w:b/>
          <w:color w:val="000000"/>
          <w:sz w:val="24"/>
          <w:szCs w:val="24"/>
          <w:lang w:val="en-GB"/>
        </w:rPr>
      </w:pPr>
    </w:p>
    <w:p w14:paraId="19482BB6" w14:textId="77777777" w:rsidR="00211D65" w:rsidRDefault="009D3E4F">
      <w:pPr>
        <w:pStyle w:val="Heading1"/>
        <w:spacing w:before="0" w:after="120" w:line="240" w:lineRule="auto"/>
        <w:jc w:val="both"/>
        <w:rPr>
          <w:rFonts w:ascii="Times New Roman" w:hAnsi="Times New Roman" w:cs="Times New Roman"/>
          <w:color w:val="000000"/>
          <w:sz w:val="24"/>
          <w:szCs w:val="24"/>
          <w:lang w:val="en-GB"/>
        </w:rPr>
      </w:pPr>
      <w:bookmarkStart w:id="0" w:name="_Toc67645311"/>
      <w:bookmarkStart w:id="1" w:name="_Toc79054737"/>
      <w:r>
        <w:rPr>
          <w:rFonts w:ascii="Times New Roman" w:hAnsi="Times New Roman" w:cs="Times New Roman"/>
          <w:color w:val="000000" w:themeColor="text1"/>
          <w:sz w:val="24"/>
          <w:szCs w:val="24"/>
          <w:lang w:val="en-GB"/>
        </w:rPr>
        <w:t>Section 1: General aspects of the Sorting phase</w:t>
      </w:r>
      <w:bookmarkEnd w:id="0"/>
      <w:bookmarkEnd w:id="1"/>
    </w:p>
    <w:p w14:paraId="00C19A52" w14:textId="77777777" w:rsidR="00211D65" w:rsidRDefault="009D3E4F">
      <w:pPr>
        <w:spacing w:after="120"/>
        <w:jc w:val="both"/>
        <w:rPr>
          <w:rFonts w:cs="Times New Roman"/>
          <w:color w:val="000000"/>
          <w:sz w:val="24"/>
          <w:szCs w:val="24"/>
          <w:lang w:val="en-GB"/>
        </w:rPr>
      </w:pPr>
      <w:r>
        <w:rPr>
          <w:rFonts w:cs="Times New Roman"/>
          <w:color w:val="000000" w:themeColor="text1"/>
          <w:sz w:val="24"/>
          <w:szCs w:val="24"/>
          <w:lang w:val="en-GB"/>
        </w:rPr>
        <w:t xml:space="preserve">The sorting phase allows a phytoplankton community, with a minimum diversity of two stably coexisting species, each comprising at least two genotypes, to restructure in terms of species and genotype frequencies (inter- and intraspecific change, respectively) in response to a changing environment of two treatment levels (ambient and novel; Fig. 1 - Sorting phase). The minimum time that allows for ecological inter- and evolutionary intraspecific diversity changes, can span from days to years and depends on initial community diversity, the species’ generation times, its physiological plasticity, and the selection strength of the chosen environmental driver (Supplement Fig. S1). Instead of adapting communities in a sorting phase in the laboratory future studies could utilize communities, which are naturally exposed to an environmental gradient or strong environmental changes within their habitat by using </w:t>
      </w:r>
      <w:proofErr w:type="spellStart"/>
      <w:r>
        <w:rPr>
          <w:rFonts w:cs="Times New Roman"/>
          <w:color w:val="000000" w:themeColor="text1"/>
          <w:sz w:val="24"/>
          <w:szCs w:val="24"/>
          <w:lang w:val="en-GB"/>
        </w:rPr>
        <w:t>i</w:t>
      </w:r>
      <w:proofErr w:type="spellEnd"/>
      <w:r>
        <w:rPr>
          <w:rFonts w:cs="Times New Roman"/>
          <w:color w:val="000000" w:themeColor="text1"/>
          <w:sz w:val="24"/>
          <w:szCs w:val="24"/>
          <w:lang w:val="en-GB"/>
        </w:rPr>
        <w:t xml:space="preserve">) populations from different habitats and ii) dormant stages </w:t>
      </w:r>
      <w:r>
        <w:rPr>
          <w:rFonts w:cs="Times New Roman"/>
          <w:color w:val="000000" w:themeColor="text1"/>
          <w:sz w:val="24"/>
          <w:szCs w:val="24"/>
          <w:lang w:val="en-GB"/>
        </w:rPr>
        <w:fldChar w:fldCharType="begin" w:fldLock="1"/>
      </w:r>
      <w:r>
        <w:rPr>
          <w:rFonts w:cs="Times New Roman"/>
          <w:color w:val="000000" w:themeColor="text1"/>
          <w:sz w:val="24"/>
          <w:szCs w:val="24"/>
          <w:lang w:val="en-GB"/>
        </w:rPr>
        <w:instrText>ADDIN CSL_CITATION {"citationItems":[{"id":"ITEM-1","itemData":{"DOI":"10.1073/pnas.1013528108","ISSN":"00278424","abstract":"This paper presents research on the genetic structure and diversity of populations of a common marine protist and their changes over time. The bloom-forming diatom Skeletonema marinoi was used as a model organism. Strains were revived from anoxic discrete layers of a 210Pb-dated sediment core accumulated over more than 100 y, corresponding to &gt;40,000 diatom mitotic generations. The sediment core was sampled from the highly eutrophic Mariager Fjord in Denmark. The genetic structure of S. marinoi was examined using microsatellite markers, enabling exploration of changes through time and of the effect of environmental fluctuations. The results showed a stable population structure among and within the examined sediment layers, and a similar genetic structure has been maintained over thousands of generations. However, established populations from inside the fjord were highly differentiated from open-sea populations. Despite constant water exchange and influx of potential colonizers into the fjord, the populations do not mix. One fjord population, accumulated in 1980, was significantly differentiated from the other groups of strains isolated from the fjord. This differentiation could have resulted from the status of Mariager Fjord, which was considered hypereutrophic, around 1980. There was no significant genetic difference between preand posteutrophication groups of strains. Our data show that dispersal potential and generation time do not have a large impact on the genetic structuring of the populations investigated here. Instead, the environmental conditions, such as the extreme eutrophication of the Mariager Fjord, are deemed more important.","author":[{"dropping-particle":"","family":"Härnström","given":"Karolina","non-dropping-particle":"","parse-names":false,"suffix":""},{"dropping-particle":"","family":"Ellegaard","given":"Marianne","non-dropping-particle":"","parse-names":false,"suffix":""},{"dropping-particle":"","family":"Andersen","given":"Thorbjørn J.","non-dropping-particle":"","parse-names":false,"suffix":""},{"dropping-particle":"","family":"Godhe","given":"Anna","non-dropping-particle":"","parse-names":false,"suffix":""}],"container-title":"Proceedings of the National Academy of Sciences of the United States of America","id":"ITEM-1","issue":"10","issued":{"date-parts":[["2011"]]},"page":"4252-4257","title":"Hundred years of genetic structure in a sediment revived diatom population","type":"article-journal","volume":"108"},"uris":["http://www.mendeley.com/documents/?uuid=27760cc8-cd5d-4e27-b07f-754fea1a309f"]}],"mendeley":{"formattedCitation":"(Härnström et al. 2011)","plainTextFormattedCitation":"(Härnström et al. 2011)","previouslyFormattedCitation":"(Härnström et al. 2011)"},"properties":{"noteIndex":0},"schema":"https://github.com/citation-style-language/schema/raw/master/csl-citation.json"}</w:instrText>
      </w:r>
      <w:r>
        <w:rPr>
          <w:rFonts w:cs="Times New Roman"/>
          <w:color w:val="000000" w:themeColor="text1"/>
          <w:sz w:val="24"/>
          <w:szCs w:val="24"/>
          <w:lang w:val="en-GB"/>
        </w:rPr>
        <w:fldChar w:fldCharType="separate"/>
      </w:r>
      <w:r>
        <w:rPr>
          <w:rFonts w:cs="Times New Roman"/>
          <w:noProof/>
          <w:color w:val="000000" w:themeColor="text1"/>
          <w:sz w:val="24"/>
          <w:szCs w:val="24"/>
          <w:lang w:val="en-GB"/>
        </w:rPr>
        <w:t>(Härnström et al. 2011)</w:t>
      </w:r>
      <w:r>
        <w:rPr>
          <w:rFonts w:cs="Times New Roman"/>
          <w:color w:val="000000" w:themeColor="text1"/>
          <w:sz w:val="24"/>
          <w:szCs w:val="24"/>
          <w:lang w:val="en-GB"/>
        </w:rPr>
        <w:fldChar w:fldCharType="end"/>
      </w:r>
      <w:r>
        <w:rPr>
          <w:rFonts w:cs="Times New Roman"/>
          <w:color w:val="000000" w:themeColor="text1"/>
          <w:sz w:val="24"/>
          <w:szCs w:val="24"/>
          <w:lang w:val="en-GB"/>
        </w:rPr>
        <w:t>. This, however, requires identifying species, which (</w:t>
      </w:r>
      <w:proofErr w:type="spellStart"/>
      <w:r>
        <w:rPr>
          <w:rFonts w:cs="Times New Roman"/>
          <w:color w:val="000000" w:themeColor="text1"/>
          <w:sz w:val="24"/>
          <w:szCs w:val="24"/>
          <w:lang w:val="en-GB"/>
        </w:rPr>
        <w:t>i</w:t>
      </w:r>
      <w:proofErr w:type="spellEnd"/>
      <w:r>
        <w:rPr>
          <w:rFonts w:cs="Times New Roman"/>
          <w:color w:val="000000" w:themeColor="text1"/>
          <w:sz w:val="24"/>
          <w:szCs w:val="24"/>
          <w:lang w:val="en-GB"/>
        </w:rPr>
        <w:t>) can be separated from one another and (ii) are major players in the ecosystems of interest.</w:t>
      </w:r>
    </w:p>
    <w:p w14:paraId="1E49EDEB" w14:textId="77777777" w:rsidR="00211D65" w:rsidRDefault="00211D65">
      <w:pPr>
        <w:spacing w:after="120" w:line="240" w:lineRule="auto"/>
        <w:jc w:val="both"/>
        <w:rPr>
          <w:rFonts w:cs="Times New Roman"/>
          <w:color w:val="000000"/>
          <w:sz w:val="24"/>
          <w:szCs w:val="24"/>
          <w:lang w:val="en-GB"/>
        </w:rPr>
      </w:pPr>
    </w:p>
    <w:p w14:paraId="153917B5" w14:textId="77777777" w:rsidR="00211D65" w:rsidRDefault="009D3E4F">
      <w:pPr>
        <w:spacing w:after="120" w:line="240" w:lineRule="auto"/>
        <w:jc w:val="both"/>
        <w:rPr>
          <w:rFonts w:cs="Times New Roman"/>
          <w:color w:val="000000"/>
          <w:sz w:val="24"/>
          <w:szCs w:val="24"/>
          <w:lang w:val="en-GB"/>
        </w:rPr>
      </w:pPr>
      <w:r>
        <w:rPr>
          <w:rFonts w:cs="Times New Roman"/>
          <w:noProof/>
          <w:color w:val="000000" w:themeColor="text1"/>
          <w:sz w:val="24"/>
          <w:szCs w:val="24"/>
          <w:lang w:val="en-GB" w:eastAsia="en-GB"/>
        </w:rPr>
        <mc:AlternateContent>
          <mc:Choice Requires="wpg">
            <w:drawing>
              <wp:inline distT="0" distB="0" distL="0" distR="0" wp14:anchorId="3DE1B1CA" wp14:editId="166E72E5">
                <wp:extent cx="5734050" cy="2095500"/>
                <wp:effectExtent l="0" t="0" r="0" b="0"/>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8"/>
                        <a:srcRect l="2484" b="10293"/>
                        <a:stretch/>
                      </pic:blipFill>
                      <pic:spPr bwMode="auto">
                        <a:xfrm>
                          <a:off x="0" y="0"/>
                          <a:ext cx="5735930" cy="2096187"/>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451.5pt;height:165.0pt;">
                <v:path textboxrect="0,0,0,0"/>
                <v:imagedata r:id="rId13" o:title=""/>
              </v:shape>
            </w:pict>
          </mc:Fallback>
        </mc:AlternateContent>
      </w:r>
    </w:p>
    <w:p w14:paraId="4A4F36BC" w14:textId="77777777" w:rsidR="00211D65" w:rsidRDefault="009D3E4F">
      <w:pPr>
        <w:spacing w:after="120" w:line="240" w:lineRule="auto"/>
        <w:jc w:val="both"/>
        <w:rPr>
          <w:rFonts w:eastAsia="Cambria" w:cs="Times New Roman"/>
          <w:b/>
          <w:bCs/>
          <w:color w:val="000000"/>
          <w:sz w:val="24"/>
          <w:szCs w:val="24"/>
          <w:lang w:val="en-GB"/>
        </w:rPr>
      </w:pPr>
      <w:bookmarkStart w:id="2" w:name="_Toc79054738"/>
      <w:r>
        <w:rPr>
          <w:rStyle w:val="Heading3Char1"/>
          <w:sz w:val="20"/>
          <w:szCs w:val="20"/>
          <w:lang w:val="en-US"/>
        </w:rPr>
        <w:t>Figure S1:</w:t>
      </w:r>
      <w:bookmarkEnd w:id="2"/>
      <w:r>
        <w:rPr>
          <w:rFonts w:eastAsia="Cambria" w:cs="Times New Roman"/>
          <w:b/>
          <w:bCs/>
          <w:szCs w:val="21"/>
          <w:lang w:val="en-GB"/>
        </w:rPr>
        <w:t xml:space="preserve"> </w:t>
      </w:r>
      <w:r>
        <w:rPr>
          <w:rFonts w:eastAsia="Cambria" w:cs="Times New Roman"/>
          <w:iCs/>
          <w:szCs w:val="21"/>
          <w:lang w:val="en-GB" w:eastAsia="de-DE"/>
        </w:rPr>
        <w:t xml:space="preserve">Overview of the hierarchical structure of communities, on which levels ecological and evolutionary processes can act upon, whether they affect inter- and/or intraspecific diversity, and the potential temporal scale at which require to occur. </w:t>
      </w:r>
      <w:r>
        <w:rPr>
          <w:rFonts w:cs="Times New Roman"/>
          <w:color w:val="000000" w:themeColor="text1"/>
          <w:sz w:val="24"/>
          <w:szCs w:val="24"/>
          <w:lang w:val="en-GB"/>
        </w:rPr>
        <w:br w:type="page"/>
      </w:r>
    </w:p>
    <w:p w14:paraId="5BF3A06D" w14:textId="77777777" w:rsidR="00211D65" w:rsidRDefault="009D3E4F">
      <w:pPr>
        <w:pStyle w:val="Heading1"/>
        <w:spacing w:before="0" w:after="120" w:line="240" w:lineRule="auto"/>
        <w:jc w:val="both"/>
        <w:rPr>
          <w:rFonts w:ascii="Times New Roman" w:hAnsi="Times New Roman" w:cs="Times New Roman"/>
          <w:color w:val="000000"/>
          <w:sz w:val="24"/>
          <w:szCs w:val="24"/>
          <w:lang w:val="en-GB"/>
        </w:rPr>
      </w:pPr>
      <w:bookmarkStart w:id="3" w:name="_Toc67645312"/>
      <w:bookmarkStart w:id="4" w:name="_Toc79054739"/>
      <w:r>
        <w:rPr>
          <w:rFonts w:ascii="Times New Roman" w:hAnsi="Times New Roman" w:cs="Times New Roman"/>
          <w:color w:val="000000" w:themeColor="text1"/>
          <w:sz w:val="24"/>
          <w:szCs w:val="24"/>
          <w:lang w:val="en-GB"/>
        </w:rPr>
        <w:lastRenderedPageBreak/>
        <w:t>Section 2: Technical description of assay community reassembly</w:t>
      </w:r>
      <w:bookmarkEnd w:id="3"/>
      <w:bookmarkEnd w:id="4"/>
    </w:p>
    <w:p w14:paraId="2C5E5AC1" w14:textId="77777777" w:rsidR="00211D65" w:rsidRDefault="009D3E4F">
      <w:pPr>
        <w:spacing w:after="120"/>
        <w:jc w:val="both"/>
        <w:rPr>
          <w:rFonts w:cs="Times New Roman"/>
          <w:color w:val="000000"/>
          <w:sz w:val="24"/>
          <w:szCs w:val="24"/>
          <w:lang w:val="en-GB"/>
        </w:rPr>
      </w:pPr>
      <w:r>
        <w:rPr>
          <w:rFonts w:cs="Times New Roman"/>
          <w:color w:val="000000" w:themeColor="text1"/>
          <w:sz w:val="24"/>
          <w:szCs w:val="24"/>
          <w:lang w:val="en-GB"/>
        </w:rPr>
        <w:t xml:space="preserve">The </w:t>
      </w:r>
      <w:proofErr w:type="spellStart"/>
      <w:r>
        <w:rPr>
          <w:rFonts w:cs="Times New Roman"/>
          <w:b/>
          <w:color w:val="000000" w:themeColor="text1"/>
          <w:sz w:val="24"/>
          <w:szCs w:val="24"/>
          <w:lang w:val="en-GB"/>
        </w:rPr>
        <w:t>Control</w:t>
      </w:r>
      <w:r>
        <w:rPr>
          <w:rFonts w:cs="Times New Roman"/>
          <w:b/>
          <w:color w:val="000000" w:themeColor="text1"/>
          <w:sz w:val="24"/>
          <w:szCs w:val="24"/>
          <w:vertAlign w:val="subscript"/>
          <w:lang w:val="en-GB"/>
        </w:rPr>
        <w:t>ambient</w:t>
      </w:r>
      <w:proofErr w:type="spellEnd"/>
      <w:r>
        <w:rPr>
          <w:rFonts w:cs="Times New Roman"/>
          <w:color w:val="000000" w:themeColor="text1"/>
          <w:sz w:val="24"/>
          <w:szCs w:val="24"/>
          <w:lang w:val="en-GB"/>
        </w:rPr>
        <w:t xml:space="preserve"> communities</w:t>
      </w:r>
      <w:r>
        <w:rPr>
          <w:rFonts w:cs="Times New Roman"/>
          <w:b/>
          <w:color w:val="000000" w:themeColor="text1"/>
          <w:sz w:val="24"/>
          <w:szCs w:val="24"/>
          <w:lang w:val="en-GB"/>
        </w:rPr>
        <w:t xml:space="preserve"> </w:t>
      </w:r>
      <w:r>
        <w:rPr>
          <w:rFonts w:cs="Times New Roman"/>
          <w:color w:val="000000" w:themeColor="text1"/>
          <w:sz w:val="24"/>
          <w:szCs w:val="24"/>
          <w:lang w:val="en-GB"/>
        </w:rPr>
        <w:t>reflected the (</w:t>
      </w:r>
      <w:proofErr w:type="spellStart"/>
      <w:r>
        <w:rPr>
          <w:rFonts w:cs="Times New Roman"/>
          <w:color w:val="000000" w:themeColor="text1"/>
          <w:sz w:val="24"/>
          <w:szCs w:val="24"/>
          <w:lang w:val="en-GB"/>
        </w:rPr>
        <w:t>i</w:t>
      </w:r>
      <w:proofErr w:type="spellEnd"/>
      <w:r>
        <w:rPr>
          <w:rFonts w:cs="Times New Roman"/>
          <w:color w:val="000000" w:themeColor="text1"/>
          <w:sz w:val="24"/>
          <w:szCs w:val="24"/>
          <w:lang w:val="en-GB"/>
        </w:rPr>
        <w:t>) intra- and (ii) interspecific changes of the communities sorted in response to the ambient environment and (iii) continued to grow under the ambient environmental conditions during the assay (Fig. 1 - Eco-Evo assay - step 2 a-c).</w:t>
      </w:r>
    </w:p>
    <w:p w14:paraId="3ACC59D5" w14:textId="77777777" w:rsidR="00211D65" w:rsidRDefault="009D3E4F">
      <w:pPr>
        <w:spacing w:after="120"/>
        <w:jc w:val="both"/>
        <w:rPr>
          <w:rFonts w:cs="Times New Roman"/>
          <w:color w:val="000000"/>
          <w:sz w:val="24"/>
          <w:szCs w:val="24"/>
          <w:lang w:val="en-GB"/>
        </w:rPr>
      </w:pPr>
      <w:r>
        <w:rPr>
          <w:rFonts w:cs="Times New Roman"/>
          <w:color w:val="000000" w:themeColor="text1"/>
          <w:sz w:val="24"/>
          <w:szCs w:val="24"/>
          <w:lang w:val="en-GB"/>
        </w:rPr>
        <w:t xml:space="preserve">The </w:t>
      </w:r>
      <w:proofErr w:type="spellStart"/>
      <w:r>
        <w:rPr>
          <w:rFonts w:cs="Times New Roman"/>
          <w:b/>
          <w:color w:val="000000" w:themeColor="text1"/>
          <w:sz w:val="24"/>
          <w:szCs w:val="24"/>
          <w:lang w:val="en-GB"/>
        </w:rPr>
        <w:t>Effect</w:t>
      </w:r>
      <w:r>
        <w:rPr>
          <w:rFonts w:cs="Times New Roman"/>
          <w:b/>
          <w:color w:val="000000" w:themeColor="text1"/>
          <w:sz w:val="24"/>
          <w:szCs w:val="24"/>
          <w:vertAlign w:val="subscript"/>
          <w:lang w:val="en-GB"/>
        </w:rPr>
        <w:t>novel</w:t>
      </w:r>
      <w:proofErr w:type="spellEnd"/>
      <w:r>
        <w:rPr>
          <w:rFonts w:cs="Times New Roman"/>
          <w:color w:val="000000" w:themeColor="text1"/>
          <w:sz w:val="24"/>
          <w:szCs w:val="24"/>
          <w:lang w:val="en-GB"/>
        </w:rPr>
        <w:t xml:space="preserve"> communities</w:t>
      </w:r>
      <w:r>
        <w:rPr>
          <w:rFonts w:cs="Times New Roman"/>
          <w:b/>
          <w:color w:val="000000" w:themeColor="text1"/>
          <w:sz w:val="24"/>
          <w:szCs w:val="24"/>
          <w:lang w:val="en-GB"/>
        </w:rPr>
        <w:t xml:space="preserve"> </w:t>
      </w:r>
      <w:r>
        <w:rPr>
          <w:rFonts w:cs="Times New Roman"/>
          <w:color w:val="000000" w:themeColor="text1"/>
          <w:sz w:val="24"/>
          <w:szCs w:val="24"/>
          <w:lang w:val="en-GB"/>
        </w:rPr>
        <w:t>reflected the (</w:t>
      </w:r>
      <w:proofErr w:type="spellStart"/>
      <w:r>
        <w:rPr>
          <w:rFonts w:cs="Times New Roman"/>
          <w:color w:val="000000" w:themeColor="text1"/>
          <w:sz w:val="24"/>
          <w:szCs w:val="24"/>
          <w:lang w:val="en-GB"/>
        </w:rPr>
        <w:t>i</w:t>
      </w:r>
      <w:proofErr w:type="spellEnd"/>
      <w:r>
        <w:rPr>
          <w:rFonts w:cs="Times New Roman"/>
          <w:color w:val="000000" w:themeColor="text1"/>
          <w:sz w:val="24"/>
          <w:szCs w:val="24"/>
          <w:lang w:val="en-GB"/>
        </w:rPr>
        <w:t>) intra- and (ii) interspecific changes of the communities sorted in response to the novel environment and (iii) continued to grow under the novel environmental conditions in the assay (Fig. 1 - Eco-Evo assay - step 2 a-c).</w:t>
      </w:r>
    </w:p>
    <w:p w14:paraId="4C9F114D" w14:textId="77777777" w:rsidR="00211D65" w:rsidRDefault="009D3E4F">
      <w:pPr>
        <w:spacing w:after="120"/>
        <w:jc w:val="both"/>
        <w:rPr>
          <w:rFonts w:cs="Times New Roman"/>
          <w:color w:val="000000"/>
          <w:sz w:val="24"/>
          <w:szCs w:val="24"/>
          <w:lang w:val="en-GB"/>
        </w:rPr>
      </w:pPr>
      <w:r>
        <w:rPr>
          <w:rFonts w:cs="Times New Roman"/>
          <w:color w:val="000000" w:themeColor="text1"/>
          <w:sz w:val="24"/>
          <w:szCs w:val="24"/>
          <w:lang w:val="en-GB"/>
        </w:rPr>
        <w:t xml:space="preserve">The </w:t>
      </w:r>
      <w:r>
        <w:rPr>
          <w:rFonts w:cs="Times New Roman"/>
          <w:b/>
          <w:color w:val="000000" w:themeColor="text1"/>
          <w:sz w:val="24"/>
          <w:szCs w:val="24"/>
          <w:lang w:val="en-GB"/>
        </w:rPr>
        <w:t xml:space="preserve">Eco </w:t>
      </w:r>
      <w:r>
        <w:rPr>
          <w:rFonts w:cs="Times New Roman"/>
          <w:color w:val="000000" w:themeColor="text1"/>
          <w:sz w:val="24"/>
          <w:szCs w:val="24"/>
          <w:lang w:val="en-GB"/>
        </w:rPr>
        <w:t>communities were reassembled using (</w:t>
      </w:r>
      <w:proofErr w:type="spellStart"/>
      <w:r>
        <w:rPr>
          <w:rFonts w:cs="Times New Roman"/>
          <w:color w:val="000000" w:themeColor="text1"/>
          <w:sz w:val="24"/>
          <w:szCs w:val="24"/>
          <w:lang w:val="en-GB"/>
        </w:rPr>
        <w:t>i</w:t>
      </w:r>
      <w:proofErr w:type="spellEnd"/>
      <w:r>
        <w:rPr>
          <w:rFonts w:cs="Times New Roman"/>
          <w:color w:val="000000" w:themeColor="text1"/>
          <w:sz w:val="24"/>
          <w:szCs w:val="24"/>
          <w:lang w:val="en-GB"/>
        </w:rPr>
        <w:t xml:space="preserve">) species whose intraspecific changes (i.e., evolutionary and plastic response) were a response to the ambient environment, but (ii) reflected relative species abundances found in communities sorted under the novel environment, and (iii) were exposed to the ambient environment in the assay (Fig. 1 - Eco-Evo assay - step 2 a-c). </w:t>
      </w:r>
    </w:p>
    <w:p w14:paraId="0D679769" w14:textId="2B72FB14" w:rsidR="00211D65" w:rsidRDefault="009D3E4F">
      <w:pPr>
        <w:spacing w:after="120"/>
        <w:jc w:val="both"/>
        <w:rPr>
          <w:rFonts w:cs="Times New Roman"/>
          <w:color w:val="000000"/>
          <w:sz w:val="24"/>
          <w:szCs w:val="24"/>
          <w:lang w:val="en-GB"/>
        </w:rPr>
      </w:pPr>
      <w:r>
        <w:rPr>
          <w:rFonts w:cs="Times New Roman"/>
          <w:color w:val="000000" w:themeColor="text1"/>
          <w:sz w:val="24"/>
          <w:szCs w:val="24"/>
          <w:lang w:val="en-GB"/>
        </w:rPr>
        <w:t xml:space="preserve">The </w:t>
      </w:r>
      <w:r>
        <w:rPr>
          <w:rFonts w:cs="Times New Roman"/>
          <w:b/>
          <w:color w:val="000000" w:themeColor="text1"/>
          <w:sz w:val="24"/>
          <w:szCs w:val="24"/>
          <w:lang w:val="en-GB"/>
        </w:rPr>
        <w:t>Evo</w:t>
      </w:r>
      <w:r>
        <w:rPr>
          <w:rFonts w:cs="Times New Roman"/>
          <w:color w:val="000000" w:themeColor="text1"/>
          <w:sz w:val="24"/>
          <w:szCs w:val="24"/>
          <w:lang w:val="en-GB"/>
        </w:rPr>
        <w:t xml:space="preserve"> communities included intraspecific response to the novel environment by reassembling the communities using (</w:t>
      </w:r>
      <w:proofErr w:type="spellStart"/>
      <w:r>
        <w:rPr>
          <w:rFonts w:cs="Times New Roman"/>
          <w:color w:val="000000" w:themeColor="text1"/>
          <w:sz w:val="24"/>
          <w:szCs w:val="24"/>
          <w:lang w:val="en-GB"/>
        </w:rPr>
        <w:t>i</w:t>
      </w:r>
      <w:proofErr w:type="spellEnd"/>
      <w:r>
        <w:rPr>
          <w:rFonts w:cs="Times New Roman"/>
          <w:color w:val="000000" w:themeColor="text1"/>
          <w:sz w:val="24"/>
          <w:szCs w:val="24"/>
          <w:lang w:val="en-GB"/>
        </w:rPr>
        <w:t xml:space="preserve">) species whose intraspecific changes were a response to the novel environment, but (ii) were assembled according to the relative species abundances found in communities sorted in response to the ambient environment, and (iii) were exposed to the ambient environment in the assay (Fig. 1 - Eco-Evo assay - step 2 a-c). The Evo community included intraspecific response to the novel environment and thus mainly reflected the effect of differences in genotype sorting between environments, but could also include plasticity and, with time </w:t>
      </w:r>
      <w:r>
        <w:rPr>
          <w:rFonts w:cs="Times New Roman"/>
          <w:i/>
          <w:color w:val="000000" w:themeColor="text1"/>
          <w:sz w:val="24"/>
          <w:szCs w:val="24"/>
          <w:lang w:val="en-GB"/>
        </w:rPr>
        <w:t xml:space="preserve">de novo </w:t>
      </w:r>
      <w:r>
        <w:rPr>
          <w:rFonts w:cs="Times New Roman"/>
          <w:color w:val="000000" w:themeColor="text1"/>
          <w:sz w:val="24"/>
          <w:szCs w:val="24"/>
          <w:lang w:val="en-GB"/>
        </w:rPr>
        <w:t xml:space="preserve">mutations. However, the appearance of fitness improving </w:t>
      </w:r>
      <w:r>
        <w:rPr>
          <w:rFonts w:cs="Times New Roman"/>
          <w:i/>
          <w:color w:val="000000" w:themeColor="text1"/>
          <w:sz w:val="24"/>
          <w:szCs w:val="24"/>
          <w:lang w:val="en-GB"/>
        </w:rPr>
        <w:t xml:space="preserve">de novo </w:t>
      </w:r>
      <w:r>
        <w:rPr>
          <w:rFonts w:cs="Times New Roman"/>
          <w:color w:val="000000" w:themeColor="text1"/>
          <w:sz w:val="24"/>
          <w:szCs w:val="24"/>
          <w:lang w:val="en-GB"/>
        </w:rPr>
        <w:t xml:space="preserve">mutations generally takes longer than selection on standing genetic variation, which is consequently mainly reflected in the Evo communities. For example, in coccolithophores such beneficial mutations occurred only after ca. 500 asexual generations </w:t>
      </w:r>
      <w:r w:rsidR="00541390">
        <w:rPr>
          <w:rFonts w:cs="Times New Roman"/>
          <w:color w:val="000000" w:themeColor="text1"/>
          <w:sz w:val="24"/>
          <w:szCs w:val="24"/>
          <w:lang w:val="en-GB"/>
        </w:rPr>
        <w:fldChar w:fldCharType="begin" w:fldLock="1"/>
      </w:r>
      <w:r w:rsidR="00541390">
        <w:rPr>
          <w:rFonts w:cs="Times New Roman"/>
          <w:color w:val="000000" w:themeColor="text1"/>
          <w:sz w:val="24"/>
          <w:szCs w:val="24"/>
          <w:lang w:val="en-GB"/>
        </w:rPr>
        <w:instrText>ADDIN CSL_CITATION {"citationItems":[{"id":"ITEM-1","itemData":{"DOI":"10.1038/ngeo1441","ISBN":"1752-0894","ISSN":"1752-0894","abstract":"Ocean acidification, the drop in seawater pH associated with the ongoing enrichment of marine waters with carbon dioxide from fossil fuel burning, may seriously impair marine calcifying organisms. Our present understanding of the sensitivity of marine life to ocean acidification is based primarily on short-term experiments, in which organisms are exposed to increased concentrations of CO2. However, phytoplankton species with short generation times, in particular, may be able to respond to environmental alterations through adaptive evolution. Here, we examine the ability of the world’s single most important calcifying organism, the coccolithophore Emiliania huxleyi, to evolve in response to ocean acidification in two 500-generation selection experiments. Specifically, we exposed E. huxleyi populations founded by single or multiple clones to increased concentrations of CO2. Around 500 asexual generations later we assessed their fitness. Compared with populations kept at ambient CO2 partial pressure, those selected at increased partial pressure exhibited higher growth rates, in both the single- and multiclone experiment, when tested under ocean acidification conditions. Calcification was partly restored: rates were lower under increased CO2 conditions in all cultures, but were up to 50% higher in adapted compared with non-adapted cultures. We suggest that contemporary evolution could help to maintain the functionality of microbial processes at the base of marine food webs in the face of global change.  ","author":[{"dropping-particle":"","family":"Lohbeck","given":"Kai T.","non-dropping-particle":"","parse-names":false,"suffix":""},{"dropping-particle":"","family":"Riebesell","given":"Ulf","non-dropping-particle":"","parse-names":false,"suffix":""},{"dropping-particle":"","family":"Reusch","given":"Thorsten B. H.","non-dropping-particle":"","parse-names":false,"suffix":""}],"container-title":"Nature Geoscience","id":"ITEM-1","issue":"5","issued":{"date-parts":[["2012"]]},"page":"346-351","publisher":"Nature Publishing Group","title":"Adaptive evolution of a key phytoplankton species to ocean acidification","type":"article-journal","volume":"5"},"uris":["http://www.mendeley.com/documents/?uuid=0ee0a0a2-f48d-467f-b708-310af81449a0"]}],"mendeley":{"formattedCitation":"(Lohbeck et al. 2012)","plainTextFormattedCitation":"(Lohbeck et al. 2012)"},"properties":{"noteIndex":0},"schema":"https://github.com/citation-style-language/schema/raw/master/csl-citation.json"}</w:instrText>
      </w:r>
      <w:r w:rsidR="00541390">
        <w:rPr>
          <w:rFonts w:cs="Times New Roman"/>
          <w:color w:val="000000" w:themeColor="text1"/>
          <w:sz w:val="24"/>
          <w:szCs w:val="24"/>
          <w:lang w:val="en-GB"/>
        </w:rPr>
        <w:fldChar w:fldCharType="separate"/>
      </w:r>
      <w:r w:rsidR="00541390" w:rsidRPr="00541390">
        <w:rPr>
          <w:rFonts w:cs="Times New Roman"/>
          <w:noProof/>
          <w:color w:val="000000" w:themeColor="text1"/>
          <w:sz w:val="24"/>
          <w:szCs w:val="24"/>
          <w:lang w:val="en-GB"/>
        </w:rPr>
        <w:t>(Lohbeck et al. 2012)</w:t>
      </w:r>
      <w:r w:rsidR="00541390">
        <w:rPr>
          <w:rFonts w:cs="Times New Roman"/>
          <w:color w:val="000000" w:themeColor="text1"/>
          <w:sz w:val="24"/>
          <w:szCs w:val="24"/>
          <w:lang w:val="en-GB"/>
        </w:rPr>
        <w:fldChar w:fldCharType="end"/>
      </w:r>
    </w:p>
    <w:p w14:paraId="5A2841DA" w14:textId="77777777" w:rsidR="00211D65" w:rsidRDefault="009D3E4F">
      <w:pPr>
        <w:spacing w:after="120"/>
        <w:jc w:val="both"/>
        <w:rPr>
          <w:rFonts w:eastAsia="Cambria" w:cs="Times New Roman"/>
          <w:b/>
          <w:bCs/>
          <w:color w:val="000000"/>
          <w:sz w:val="24"/>
          <w:szCs w:val="24"/>
          <w:lang w:val="en-GB"/>
        </w:rPr>
      </w:pPr>
      <w:r>
        <w:rPr>
          <w:rFonts w:cs="Times New Roman"/>
          <w:color w:val="000000" w:themeColor="text1"/>
          <w:sz w:val="24"/>
          <w:szCs w:val="24"/>
          <w:lang w:val="en-GB"/>
        </w:rPr>
        <w:t xml:space="preserve">The </w:t>
      </w:r>
      <w:proofErr w:type="spellStart"/>
      <w:r>
        <w:rPr>
          <w:rFonts w:cs="Times New Roman"/>
          <w:b/>
          <w:color w:val="000000" w:themeColor="text1"/>
          <w:sz w:val="24"/>
          <w:szCs w:val="24"/>
          <w:lang w:val="en-GB"/>
        </w:rPr>
        <w:t>EcoEvo</w:t>
      </w:r>
      <w:proofErr w:type="spellEnd"/>
      <w:r>
        <w:rPr>
          <w:rFonts w:cs="Times New Roman"/>
          <w:color w:val="000000" w:themeColor="text1"/>
          <w:sz w:val="24"/>
          <w:szCs w:val="24"/>
          <w:lang w:val="en-GB"/>
        </w:rPr>
        <w:t xml:space="preserve"> communities were reassembled by using (</w:t>
      </w:r>
      <w:proofErr w:type="spellStart"/>
      <w:r>
        <w:rPr>
          <w:rFonts w:cs="Times New Roman"/>
          <w:color w:val="000000" w:themeColor="text1"/>
          <w:sz w:val="24"/>
          <w:szCs w:val="24"/>
          <w:lang w:val="en-GB"/>
        </w:rPr>
        <w:t>i</w:t>
      </w:r>
      <w:proofErr w:type="spellEnd"/>
      <w:r>
        <w:rPr>
          <w:rFonts w:cs="Times New Roman"/>
          <w:color w:val="000000" w:themeColor="text1"/>
          <w:sz w:val="24"/>
          <w:szCs w:val="24"/>
          <w:lang w:val="en-GB"/>
        </w:rPr>
        <w:t xml:space="preserve">) species whose intraspecific changes were a response to the novel environment and (ii) started with the relative species abundances found in the communities sorted under the same novel environment, but (iii) were exposed to ambient environment in the assay (Fig. 1 - Eco-Evo assay - step 2 a-c). Hence, this response reflected the combined effects of altered inter- and intraspecific changes. </w:t>
      </w:r>
      <w:proofErr w:type="spellStart"/>
      <w:r>
        <w:rPr>
          <w:rFonts w:cs="Times New Roman"/>
          <w:color w:val="000000" w:themeColor="text1"/>
          <w:sz w:val="24"/>
          <w:szCs w:val="24"/>
          <w:lang w:val="en-GB"/>
        </w:rPr>
        <w:t>EcoEvo</w:t>
      </w:r>
      <w:proofErr w:type="spellEnd"/>
      <w:r>
        <w:rPr>
          <w:rFonts w:cs="Times New Roman"/>
          <w:color w:val="000000" w:themeColor="text1"/>
          <w:sz w:val="24"/>
          <w:szCs w:val="24"/>
          <w:lang w:val="en-GB"/>
        </w:rPr>
        <w:t xml:space="preserve"> communities combined the manipulations of Eco and Evo communities and thus included both inter- and intraspecific changes in response to the novel environment. Potential divergences in the </w:t>
      </w:r>
      <w:proofErr w:type="spellStart"/>
      <w:r>
        <w:rPr>
          <w:rFonts w:cs="Times New Roman"/>
          <w:color w:val="000000" w:themeColor="text1"/>
          <w:sz w:val="24"/>
          <w:szCs w:val="24"/>
          <w:lang w:val="en-GB"/>
        </w:rPr>
        <w:t>EcoEvo</w:t>
      </w:r>
      <w:proofErr w:type="spellEnd"/>
      <w:r>
        <w:rPr>
          <w:rFonts w:cs="Times New Roman"/>
          <w:color w:val="000000" w:themeColor="text1"/>
          <w:sz w:val="24"/>
          <w:szCs w:val="24"/>
          <w:lang w:val="en-GB"/>
        </w:rPr>
        <w:t xml:space="preserve"> treatment compared to the additive effect of the single Eco and Evo treatments can result from eco-evolutionary interactions.</w:t>
      </w:r>
      <w:r>
        <w:rPr>
          <w:rFonts w:cs="Times New Roman"/>
          <w:color w:val="000000" w:themeColor="text1"/>
          <w:sz w:val="24"/>
          <w:szCs w:val="24"/>
          <w:lang w:val="en-GB"/>
        </w:rPr>
        <w:br w:type="page"/>
      </w:r>
    </w:p>
    <w:p w14:paraId="55733690" w14:textId="77777777" w:rsidR="00211D65" w:rsidRDefault="009D3E4F">
      <w:pPr>
        <w:rPr>
          <w:rFonts w:eastAsia="Cambria"/>
          <w:lang w:val="en-GB" w:eastAsia="de-DE"/>
        </w:rPr>
      </w:pPr>
      <w:bookmarkStart w:id="5" w:name="_Toc67645313"/>
      <w:bookmarkStart w:id="6" w:name="_Toc79054740"/>
      <w:r>
        <w:rPr>
          <w:rStyle w:val="Heading3Char1"/>
          <w:sz w:val="20"/>
          <w:szCs w:val="20"/>
          <w:lang w:val="en-US" w:eastAsia="de-DE"/>
        </w:rPr>
        <w:lastRenderedPageBreak/>
        <w:t>Table S1:</w:t>
      </w:r>
      <w:bookmarkEnd w:id="6"/>
      <w:r>
        <w:rPr>
          <w:rFonts w:eastAsia="Cambria"/>
          <w:lang w:val="en-GB" w:eastAsia="de-DE"/>
        </w:rPr>
        <w:t xml:space="preserve"> Details on how the assay communities were combined and inoculated.</w:t>
      </w:r>
      <w:bookmarkEnd w:id="5"/>
    </w:p>
    <w:p w14:paraId="40012182" w14:textId="77777777" w:rsidR="00211D65" w:rsidRDefault="009D3E4F">
      <w:pPr>
        <w:rPr>
          <w:rFonts w:eastAsia="Cambria"/>
          <w:lang w:val="en-GB" w:eastAsia="de-DE"/>
        </w:rPr>
      </w:pPr>
      <w:proofErr w:type="spellStart"/>
      <w:r>
        <w:rPr>
          <w:rFonts w:eastAsia="Cambria"/>
          <w:i/>
          <w:lang w:val="en-GB" w:eastAsia="de-DE"/>
        </w:rPr>
        <w:t>Emiliania</w:t>
      </w:r>
      <w:proofErr w:type="spellEnd"/>
      <w:r>
        <w:rPr>
          <w:rFonts w:eastAsia="Cambria"/>
          <w:i/>
          <w:lang w:val="en-GB" w:eastAsia="de-DE"/>
        </w:rPr>
        <w:t xml:space="preserve"> huxleyi</w:t>
      </w:r>
      <w:r>
        <w:rPr>
          <w:rFonts w:eastAsia="Cambria"/>
          <w:lang w:val="en-GB" w:eastAsia="de-DE"/>
        </w:rPr>
        <w:t xml:space="preserve"> inoculated [mL] = (1/ E. huxleyi abundance in sorted community [µm3/mL</w:t>
      </w:r>
      <w:proofErr w:type="gramStart"/>
      <w:r>
        <w:rPr>
          <w:rFonts w:eastAsia="Cambria"/>
          <w:lang w:val="en-GB" w:eastAsia="de-DE"/>
        </w:rPr>
        <w:t>])×</w:t>
      </w:r>
      <w:proofErr w:type="gramEnd"/>
      <w:r>
        <w:rPr>
          <w:rFonts w:eastAsia="Cambria"/>
          <w:lang w:val="en-GB" w:eastAsia="de-DE"/>
        </w:rPr>
        <w:t xml:space="preserve">(to transfer Volume of 5.5 million× </w:t>
      </w:r>
      <w:r>
        <w:rPr>
          <w:rFonts w:eastAsia="Cambria"/>
          <w:i/>
          <w:lang w:val="en-GB" w:eastAsia="de-DE"/>
        </w:rPr>
        <w:t>E. huxleyi</w:t>
      </w:r>
      <w:r>
        <w:rPr>
          <w:rFonts w:eastAsia="Cambria"/>
          <w:lang w:val="en-GB" w:eastAsia="de-DE"/>
        </w:rPr>
        <w:t xml:space="preserve"> aim relative abundance [%])</w:t>
      </w:r>
    </w:p>
    <w:p w14:paraId="066F40FC" w14:textId="77777777" w:rsidR="00211D65" w:rsidRDefault="009D3E4F">
      <w:pPr>
        <w:rPr>
          <w:rFonts w:eastAsia="Cambria"/>
          <w:lang w:val="en-GB" w:eastAsia="de-DE"/>
        </w:rPr>
      </w:pPr>
      <w:proofErr w:type="spellStart"/>
      <w:r>
        <w:rPr>
          <w:rFonts w:eastAsia="Cambria"/>
          <w:i/>
          <w:lang w:val="en-GB" w:eastAsia="de-DE"/>
        </w:rPr>
        <w:t>Chaetoceros</w:t>
      </w:r>
      <w:proofErr w:type="spellEnd"/>
      <w:r>
        <w:rPr>
          <w:rFonts w:eastAsia="Cambria"/>
          <w:i/>
          <w:lang w:val="en-GB" w:eastAsia="de-DE"/>
        </w:rPr>
        <w:t xml:space="preserve"> </w:t>
      </w:r>
      <w:proofErr w:type="spellStart"/>
      <w:r>
        <w:rPr>
          <w:rFonts w:eastAsia="Cambria"/>
          <w:i/>
          <w:lang w:val="en-GB" w:eastAsia="de-DE"/>
        </w:rPr>
        <w:t>affinis</w:t>
      </w:r>
      <w:proofErr w:type="spellEnd"/>
      <w:r>
        <w:rPr>
          <w:rFonts w:eastAsia="Cambria"/>
          <w:lang w:val="en-GB" w:eastAsia="de-DE"/>
        </w:rPr>
        <w:t xml:space="preserve"> inoculated [mL] = (1/ C. </w:t>
      </w:r>
      <w:proofErr w:type="spellStart"/>
      <w:r>
        <w:rPr>
          <w:rFonts w:eastAsia="Cambria"/>
          <w:lang w:val="en-GB" w:eastAsia="de-DE"/>
        </w:rPr>
        <w:t>affinis</w:t>
      </w:r>
      <w:proofErr w:type="spellEnd"/>
      <w:r>
        <w:rPr>
          <w:rFonts w:eastAsia="Cambria"/>
          <w:lang w:val="en-GB" w:eastAsia="de-DE"/>
        </w:rPr>
        <w:t xml:space="preserve"> abundance in sorted community [µm3/mL</w:t>
      </w:r>
      <w:proofErr w:type="gramStart"/>
      <w:r>
        <w:rPr>
          <w:rFonts w:eastAsia="Cambria"/>
          <w:lang w:val="en-GB" w:eastAsia="de-DE"/>
        </w:rPr>
        <w:t>])×</w:t>
      </w:r>
      <w:proofErr w:type="gramEnd"/>
      <w:r>
        <w:rPr>
          <w:rFonts w:eastAsia="Cambria"/>
          <w:lang w:val="en-GB" w:eastAsia="de-DE"/>
        </w:rPr>
        <w:t xml:space="preserve">(to transfer Volume of 5.5 million × </w:t>
      </w:r>
      <w:r>
        <w:rPr>
          <w:rFonts w:eastAsia="Cambria"/>
          <w:i/>
          <w:lang w:val="en-GB" w:eastAsia="de-DE"/>
        </w:rPr>
        <w:t xml:space="preserve">C. </w:t>
      </w:r>
      <w:proofErr w:type="spellStart"/>
      <w:r>
        <w:rPr>
          <w:rFonts w:eastAsia="Cambria"/>
          <w:i/>
          <w:lang w:val="en-GB" w:eastAsia="de-DE"/>
        </w:rPr>
        <w:t>affinis</w:t>
      </w:r>
      <w:proofErr w:type="spellEnd"/>
      <w:r>
        <w:rPr>
          <w:rFonts w:eastAsia="Cambria"/>
          <w:lang w:val="en-GB" w:eastAsia="de-DE"/>
        </w:rPr>
        <w:t xml:space="preserve"> aim relative abundance [%]).</w:t>
      </w:r>
    </w:p>
    <w:p w14:paraId="751CC555" w14:textId="77777777" w:rsidR="00211D65" w:rsidRDefault="00211D65">
      <w:pPr>
        <w:spacing w:after="120" w:line="240" w:lineRule="auto"/>
        <w:ind w:left="4678"/>
        <w:jc w:val="both"/>
        <w:rPr>
          <w:rFonts w:cs="Times New Roman"/>
          <w:color w:val="000000"/>
          <w:sz w:val="24"/>
          <w:szCs w:val="24"/>
          <w:lang w:val="en-GB"/>
        </w:rPr>
      </w:pPr>
    </w:p>
    <w:p w14:paraId="6BCB3A26" w14:textId="77777777" w:rsidR="00211D65" w:rsidRDefault="009D3E4F">
      <w:pPr>
        <w:spacing w:after="120" w:line="240" w:lineRule="auto"/>
        <w:ind w:left="4678"/>
        <w:jc w:val="both"/>
        <w:rPr>
          <w:rFonts w:cs="Times New Roman"/>
          <w:color w:val="000000"/>
          <w:sz w:val="24"/>
          <w:szCs w:val="24"/>
          <w:lang w:val="en-GB"/>
        </w:rPr>
      </w:pPr>
      <w:r>
        <w:rPr>
          <w:rFonts w:cs="Times New Roman"/>
          <w:i/>
          <w:noProof/>
          <w:color w:val="000000" w:themeColor="text1"/>
          <w:sz w:val="24"/>
          <w:szCs w:val="24"/>
          <w:lang w:val="en-GB" w:eastAsia="en-GB"/>
        </w:rPr>
        <mc:AlternateContent>
          <mc:Choice Requires="wpg">
            <w:drawing>
              <wp:anchor distT="0" distB="0" distL="114300" distR="114300" simplePos="0" relativeHeight="251659264" behindDoc="1" locked="0" layoutInCell="1" allowOverlap="1" wp14:anchorId="263A6CDF" wp14:editId="2A6F6AE6">
                <wp:simplePos x="0" y="0"/>
                <wp:positionH relativeFrom="column">
                  <wp:posOffset>-2712085</wp:posOffset>
                </wp:positionH>
                <wp:positionV relativeFrom="paragraph">
                  <wp:posOffset>1120140</wp:posOffset>
                </wp:positionV>
                <wp:extent cx="8343900" cy="3081020"/>
                <wp:effectExtent l="2540" t="0" r="2540" b="2540"/>
                <wp:wrapTight wrapText="bothSides">
                  <wp:wrapPolygon edited="1">
                    <wp:start x="21593" y="-18"/>
                    <wp:lineTo x="43" y="-18"/>
                    <wp:lineTo x="43" y="21484"/>
                    <wp:lineTo x="1818" y="21484"/>
                    <wp:lineTo x="2558" y="21084"/>
                    <wp:lineTo x="2607" y="21084"/>
                    <wp:lineTo x="3347" y="21484"/>
                    <wp:lineTo x="4185" y="21484"/>
                    <wp:lineTo x="4974" y="21084"/>
                    <wp:lineTo x="6503" y="21084"/>
                    <wp:lineTo x="6799" y="21484"/>
                    <wp:lineTo x="21593" y="21484"/>
                    <wp:lineTo x="21593" y="-18"/>
                  </wp:wrapPolygon>
                </wp:wrapTight>
                <wp:docPr id="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14"/>
                        <a:stretch/>
                      </pic:blipFill>
                      <pic:spPr bwMode="auto">
                        <a:xfrm rot="16199999">
                          <a:off x="0" y="0"/>
                          <a:ext cx="8343900" cy="308102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59264;o:allowoverlap:true;o:allowincell:true;mso-position-horizontal-relative:text;margin-left:-213.5pt;mso-position-horizontal:absolute;mso-position-vertical-relative:text;margin-top:88.2pt;mso-position-vertical:absolute;width:657.0pt;height:242.6pt;rotation:269;" wrapcoords="99968 -82 199 -82 199 99463 8417 99463 11843 97611 12069 97611 15495 99463 19375 99463 23028 97611 30106 97611 31477 99463 99968 99463 99968 -82">
                <v:path textboxrect="0,0,0,0"/>
                <v:imagedata r:id="rId15" o:title=""/>
              </v:shape>
            </w:pict>
          </mc:Fallback>
        </mc:AlternateContent>
      </w:r>
    </w:p>
    <w:p w14:paraId="6E82AFC6" w14:textId="77777777" w:rsidR="00211D65" w:rsidRDefault="00211D65">
      <w:pPr>
        <w:spacing w:after="120" w:line="240" w:lineRule="auto"/>
        <w:jc w:val="both"/>
        <w:rPr>
          <w:rFonts w:cs="Times New Roman"/>
          <w:color w:val="000000"/>
          <w:sz w:val="24"/>
          <w:szCs w:val="24"/>
          <w:lang w:val="en-GB"/>
        </w:rPr>
      </w:pPr>
    </w:p>
    <w:p w14:paraId="269E3565" w14:textId="77777777" w:rsidR="00211D65" w:rsidRDefault="009D3E4F">
      <w:pPr>
        <w:spacing w:after="120" w:line="240" w:lineRule="auto"/>
        <w:rPr>
          <w:rFonts w:ascii="Cambria" w:eastAsia="Cambria" w:hAnsi="Cambria" w:cs="Cambria"/>
          <w:b/>
          <w:bCs/>
          <w:color w:val="000000"/>
          <w:sz w:val="28"/>
          <w:szCs w:val="28"/>
          <w:lang w:val="en-GB"/>
        </w:rPr>
      </w:pPr>
      <w:r>
        <w:rPr>
          <w:rFonts w:cs="Times New Roman"/>
          <w:color w:val="000000" w:themeColor="text1"/>
          <w:sz w:val="24"/>
          <w:szCs w:val="24"/>
          <w:lang w:val="en-GB"/>
        </w:rPr>
        <w:br w:type="page"/>
      </w:r>
    </w:p>
    <w:p w14:paraId="1E731DEA" w14:textId="77777777" w:rsidR="00211D65" w:rsidRDefault="009D3E4F">
      <w:pPr>
        <w:rPr>
          <w:rFonts w:eastAsia="Cambria" w:cs="Times New Roman"/>
          <w:color w:val="000000"/>
          <w:szCs w:val="21"/>
          <w:lang w:val="en-GB"/>
        </w:rPr>
      </w:pPr>
      <w:bookmarkStart w:id="7" w:name="_Toc67645314"/>
      <w:bookmarkStart w:id="8" w:name="_Toc79054741"/>
      <w:r>
        <w:rPr>
          <w:rStyle w:val="Heading3Char1"/>
          <w:sz w:val="20"/>
          <w:szCs w:val="20"/>
          <w:lang w:val="en-US"/>
        </w:rPr>
        <w:lastRenderedPageBreak/>
        <w:t>Table S2:</w:t>
      </w:r>
      <w:bookmarkEnd w:id="8"/>
      <w:r>
        <w:rPr>
          <w:rFonts w:eastAsia="Cambria" w:cs="Times New Roman"/>
          <w:b/>
          <w:bCs/>
          <w:color w:val="000000" w:themeColor="text1"/>
          <w:szCs w:val="21"/>
          <w:lang w:val="en-GB"/>
        </w:rPr>
        <w:t xml:space="preserve"> </w:t>
      </w:r>
      <w:r>
        <w:rPr>
          <w:lang w:val="en-US"/>
        </w:rPr>
        <w:t>Overview of manipulation of all communities used in the reaction norm approach and the Geber method. Communities that are not part of the Eco-Evo assay are highlighted in grey.</w:t>
      </w:r>
      <w:bookmarkEnd w:id="7"/>
      <w:r>
        <w:rPr>
          <w:rFonts w:eastAsia="Cambria" w:cs="Times New Roman"/>
          <w:b/>
          <w:bCs/>
          <w:szCs w:val="21"/>
          <w:lang w:val="en-GB"/>
        </w:rPr>
        <w:t xml:space="preserve"> </w:t>
      </w:r>
    </w:p>
    <w:p w14:paraId="414F52A7" w14:textId="77777777" w:rsidR="00211D65" w:rsidRDefault="009D3E4F">
      <w:pPr>
        <w:spacing w:after="120" w:line="240" w:lineRule="auto"/>
        <w:rPr>
          <w:rFonts w:cs="Times New Roman"/>
          <w:sz w:val="24"/>
          <w:szCs w:val="24"/>
          <w:lang w:val="en-GB"/>
        </w:rPr>
      </w:pPr>
      <w:r>
        <w:rPr>
          <w:rFonts w:cs="Times New Roman"/>
          <w:noProof/>
          <w:sz w:val="24"/>
          <w:szCs w:val="24"/>
          <w:lang w:val="en-GB" w:eastAsia="en-GB"/>
        </w:rPr>
        <mc:AlternateContent>
          <mc:Choice Requires="wpg">
            <w:drawing>
              <wp:inline distT="0" distB="0" distL="0" distR="0" wp14:anchorId="0F64C2C3" wp14:editId="27907813">
                <wp:extent cx="5633669" cy="1562100"/>
                <wp:effectExtent l="0" t="0" r="5715" b="0"/>
                <wp:docPr id="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16"/>
                        <a:stretch/>
                      </pic:blipFill>
                      <pic:spPr bwMode="auto">
                        <a:xfrm>
                          <a:off x="0" y="0"/>
                          <a:ext cx="5635114" cy="1562501"/>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443.6pt;height:123.0pt;" stroked="false">
                <v:path textboxrect="0,0,0,0"/>
                <v:imagedata r:id="rId17" o:title=""/>
              </v:shape>
            </w:pict>
          </mc:Fallback>
        </mc:AlternateContent>
      </w:r>
    </w:p>
    <w:p w14:paraId="1B22B6CC" w14:textId="77777777" w:rsidR="00211D65" w:rsidRDefault="00211D65">
      <w:pPr>
        <w:rPr>
          <w:lang w:val="en-GB"/>
        </w:rPr>
      </w:pPr>
    </w:p>
    <w:p w14:paraId="1DCB79B1" w14:textId="77777777" w:rsidR="00211D65" w:rsidRDefault="009D3E4F" w:rsidP="00622BC8">
      <w:pPr>
        <w:spacing w:after="0"/>
        <w:jc w:val="both"/>
        <w:rPr>
          <w:rFonts w:eastAsia="Cambria"/>
          <w:b/>
          <w:bCs/>
          <w:color w:val="000000"/>
          <w:szCs w:val="21"/>
          <w:lang w:val="en-GB"/>
        </w:rPr>
      </w:pPr>
      <w:bookmarkStart w:id="9" w:name="_Toc67645315"/>
      <w:bookmarkStart w:id="10" w:name="_Toc79054742"/>
      <w:r>
        <w:rPr>
          <w:rStyle w:val="Heading3Char1"/>
          <w:lang w:val="en-US"/>
        </w:rPr>
        <w:t>Table S3:</w:t>
      </w:r>
      <w:bookmarkEnd w:id="10"/>
      <w:r>
        <w:rPr>
          <w:rFonts w:eastAsia="Cambria"/>
          <w:b/>
          <w:bCs/>
          <w:color w:val="000000" w:themeColor="text1"/>
          <w:szCs w:val="21"/>
          <w:lang w:val="en-GB"/>
        </w:rPr>
        <w:t xml:space="preserve"> </w:t>
      </w:r>
      <w:r>
        <w:rPr>
          <w:lang w:val="en-US"/>
        </w:rPr>
        <w:t xml:space="preserve">Visualization of the potential extension of the Eco-Evo assay including plasticity. Plastic responses can only be separated from genotype compositional changes if genotypes can be monitored </w:t>
      </w:r>
      <w:r>
        <w:rPr>
          <w:i/>
          <w:lang w:val="en-US"/>
        </w:rPr>
        <w:t>in situ</w:t>
      </w:r>
      <w:r>
        <w:rPr>
          <w:lang w:val="en-US"/>
        </w:rPr>
        <w:t>, separated and artificially assembled. If this is possible, the table indicates how required communities must be assembled.</w:t>
      </w:r>
      <w:bookmarkEnd w:id="9"/>
    </w:p>
    <w:tbl>
      <w:tblPr>
        <w:tblpPr w:leftFromText="180" w:rightFromText="180" w:vertAnchor="text" w:horzAnchor="margin" w:tblpY="107"/>
        <w:tblW w:w="5005" w:type="pct"/>
        <w:tblBorders>
          <w:insideH w:val="single" w:sz="4" w:space="0" w:color="auto"/>
          <w:insideV w:val="single" w:sz="4" w:space="0" w:color="auto"/>
        </w:tblBorders>
        <w:tblLook w:val="0000" w:firstRow="0" w:lastRow="0" w:firstColumn="0" w:lastColumn="0" w:noHBand="0" w:noVBand="0"/>
      </w:tblPr>
      <w:tblGrid>
        <w:gridCol w:w="1419"/>
        <w:gridCol w:w="1408"/>
        <w:gridCol w:w="9"/>
        <w:gridCol w:w="1161"/>
        <w:gridCol w:w="7"/>
        <w:gridCol w:w="1030"/>
        <w:gridCol w:w="8"/>
        <w:gridCol w:w="899"/>
        <w:gridCol w:w="7"/>
        <w:gridCol w:w="899"/>
        <w:gridCol w:w="7"/>
        <w:gridCol w:w="1106"/>
        <w:gridCol w:w="7"/>
        <w:gridCol w:w="1106"/>
        <w:gridCol w:w="9"/>
      </w:tblGrid>
      <w:tr w:rsidR="00211D65" w14:paraId="2DCC8509" w14:textId="77777777" w:rsidTr="00B678C4">
        <w:trPr>
          <w:trHeight w:val="20"/>
        </w:trPr>
        <w:tc>
          <w:tcPr>
            <w:tcW w:w="781" w:type="pct"/>
          </w:tcPr>
          <w:p w14:paraId="22083D04" w14:textId="77777777" w:rsidR="00211D65" w:rsidRDefault="00211D65" w:rsidP="00B678C4">
            <w:pPr>
              <w:spacing w:after="120" w:line="240" w:lineRule="auto"/>
              <w:jc w:val="center"/>
              <w:rPr>
                <w:rFonts w:ascii="Arial" w:hAnsi="Arial" w:cs="Arial"/>
                <w:color w:val="000000"/>
                <w:sz w:val="18"/>
                <w:szCs w:val="18"/>
                <w:lang w:val="en-GB"/>
              </w:rPr>
            </w:pPr>
          </w:p>
        </w:tc>
        <w:tc>
          <w:tcPr>
            <w:tcW w:w="780" w:type="pct"/>
            <w:gridSpan w:val="2"/>
          </w:tcPr>
          <w:p w14:paraId="31198165" w14:textId="77777777" w:rsidR="00211D65" w:rsidRDefault="009D3E4F" w:rsidP="00622BC8">
            <w:pPr>
              <w:spacing w:after="0" w:line="240" w:lineRule="auto"/>
              <w:jc w:val="center"/>
              <w:rPr>
                <w:rFonts w:ascii="Arial" w:hAnsi="Arial" w:cs="Arial"/>
                <w:b/>
                <w:color w:val="000000"/>
                <w:sz w:val="18"/>
                <w:szCs w:val="18"/>
                <w:lang w:val="en-GB"/>
              </w:rPr>
            </w:pPr>
            <w:proofErr w:type="spellStart"/>
            <w:r>
              <w:rPr>
                <w:rFonts w:ascii="Arial" w:hAnsi="Arial" w:cs="Arial"/>
                <w:b/>
                <w:bCs/>
                <w:color w:val="000000"/>
                <w:sz w:val="18"/>
                <w:szCs w:val="18"/>
                <w:lang w:val="en-GB"/>
              </w:rPr>
              <w:t>Control</w:t>
            </w:r>
            <w:r>
              <w:rPr>
                <w:rFonts w:ascii="Arial" w:hAnsi="Arial" w:cs="Arial"/>
                <w:b/>
                <w:bCs/>
                <w:color w:val="000000"/>
                <w:sz w:val="18"/>
                <w:szCs w:val="18"/>
                <w:vertAlign w:val="subscript"/>
                <w:lang w:val="en-GB"/>
              </w:rPr>
              <w:t>ambient</w:t>
            </w:r>
            <w:proofErr w:type="spellEnd"/>
          </w:p>
        </w:tc>
        <w:tc>
          <w:tcPr>
            <w:tcW w:w="643" w:type="pct"/>
            <w:gridSpan w:val="2"/>
          </w:tcPr>
          <w:p w14:paraId="3A85C959" w14:textId="77777777" w:rsidR="00211D65" w:rsidRDefault="009D3E4F" w:rsidP="00B678C4">
            <w:pPr>
              <w:spacing w:after="120" w:line="240" w:lineRule="auto"/>
              <w:jc w:val="center"/>
              <w:rPr>
                <w:rFonts w:ascii="Arial" w:hAnsi="Arial" w:cs="Arial"/>
                <w:b/>
                <w:color w:val="000000"/>
                <w:sz w:val="18"/>
                <w:szCs w:val="18"/>
                <w:lang w:val="en-GB"/>
              </w:rPr>
            </w:pPr>
            <w:proofErr w:type="spellStart"/>
            <w:r>
              <w:rPr>
                <w:rFonts w:ascii="Arial" w:hAnsi="Arial" w:cs="Arial"/>
                <w:b/>
                <w:bCs/>
                <w:color w:val="000000"/>
                <w:sz w:val="18"/>
                <w:szCs w:val="18"/>
                <w:lang w:val="en-GB"/>
              </w:rPr>
              <w:t>Effect</w:t>
            </w:r>
            <w:r>
              <w:rPr>
                <w:rFonts w:ascii="Arial" w:hAnsi="Arial" w:cs="Arial"/>
                <w:b/>
                <w:bCs/>
                <w:color w:val="000000"/>
                <w:sz w:val="18"/>
                <w:szCs w:val="18"/>
                <w:vertAlign w:val="subscript"/>
                <w:lang w:val="en-GB"/>
              </w:rPr>
              <w:t>novel</w:t>
            </w:r>
            <w:proofErr w:type="spellEnd"/>
          </w:p>
        </w:tc>
        <w:tc>
          <w:tcPr>
            <w:tcW w:w="571" w:type="pct"/>
            <w:gridSpan w:val="2"/>
          </w:tcPr>
          <w:p w14:paraId="398A2403" w14:textId="77777777" w:rsidR="00211D65" w:rsidRDefault="009D3E4F" w:rsidP="00B678C4">
            <w:pPr>
              <w:spacing w:after="120" w:line="240" w:lineRule="auto"/>
              <w:jc w:val="center"/>
              <w:rPr>
                <w:rFonts w:ascii="Arial" w:hAnsi="Arial" w:cs="Arial"/>
                <w:b/>
                <w:color w:val="000000"/>
                <w:sz w:val="18"/>
                <w:szCs w:val="18"/>
                <w:lang w:val="en-GB"/>
              </w:rPr>
            </w:pPr>
            <w:r>
              <w:rPr>
                <w:rFonts w:ascii="Arial" w:hAnsi="Arial" w:cs="Arial"/>
                <w:b/>
                <w:bCs/>
                <w:color w:val="000000"/>
                <w:sz w:val="18"/>
                <w:szCs w:val="18"/>
                <w:lang w:val="en-GB"/>
              </w:rPr>
              <w:t>Plasticity</w:t>
            </w:r>
          </w:p>
        </w:tc>
        <w:tc>
          <w:tcPr>
            <w:tcW w:w="499" w:type="pct"/>
            <w:gridSpan w:val="2"/>
          </w:tcPr>
          <w:p w14:paraId="03946847" w14:textId="77777777" w:rsidR="00211D65" w:rsidRDefault="009D3E4F" w:rsidP="00B678C4">
            <w:pPr>
              <w:spacing w:after="120" w:line="240" w:lineRule="auto"/>
              <w:jc w:val="center"/>
              <w:rPr>
                <w:rFonts w:ascii="Arial" w:hAnsi="Arial" w:cs="Arial"/>
                <w:b/>
                <w:bCs/>
                <w:color w:val="000000"/>
                <w:sz w:val="18"/>
                <w:szCs w:val="18"/>
                <w:lang w:val="en-GB"/>
              </w:rPr>
            </w:pPr>
            <w:r>
              <w:rPr>
                <w:rFonts w:ascii="Arial" w:hAnsi="Arial" w:cs="Arial"/>
                <w:b/>
                <w:bCs/>
                <w:color w:val="000000"/>
                <w:sz w:val="18"/>
                <w:szCs w:val="18"/>
                <w:lang w:val="en-GB"/>
              </w:rPr>
              <w:t>Eco</w:t>
            </w:r>
          </w:p>
        </w:tc>
        <w:tc>
          <w:tcPr>
            <w:tcW w:w="499" w:type="pct"/>
            <w:gridSpan w:val="2"/>
          </w:tcPr>
          <w:p w14:paraId="6F710F75" w14:textId="77777777" w:rsidR="00211D65" w:rsidRDefault="009D3E4F" w:rsidP="00B678C4">
            <w:pPr>
              <w:spacing w:after="120" w:line="240" w:lineRule="auto"/>
              <w:jc w:val="center"/>
              <w:rPr>
                <w:rFonts w:ascii="Arial" w:hAnsi="Arial" w:cs="Arial"/>
                <w:b/>
                <w:bCs/>
                <w:color w:val="000000"/>
                <w:sz w:val="18"/>
                <w:szCs w:val="18"/>
                <w:lang w:val="en-GB"/>
              </w:rPr>
            </w:pPr>
            <w:r>
              <w:rPr>
                <w:rFonts w:ascii="Arial" w:hAnsi="Arial" w:cs="Arial"/>
                <w:b/>
                <w:bCs/>
                <w:color w:val="000000"/>
                <w:sz w:val="18"/>
                <w:szCs w:val="18"/>
                <w:lang w:val="en-GB"/>
              </w:rPr>
              <w:t>Evo</w:t>
            </w:r>
          </w:p>
        </w:tc>
        <w:tc>
          <w:tcPr>
            <w:tcW w:w="613" w:type="pct"/>
            <w:gridSpan w:val="2"/>
          </w:tcPr>
          <w:p w14:paraId="5F6AE706" w14:textId="77777777" w:rsidR="00211D65" w:rsidRDefault="009D3E4F" w:rsidP="00B678C4">
            <w:pPr>
              <w:spacing w:after="120" w:line="240" w:lineRule="auto"/>
              <w:jc w:val="center"/>
              <w:rPr>
                <w:rFonts w:ascii="Arial" w:hAnsi="Arial" w:cs="Arial"/>
                <w:b/>
                <w:bCs/>
                <w:color w:val="000000"/>
                <w:sz w:val="18"/>
                <w:szCs w:val="18"/>
                <w:lang w:val="en-GB"/>
              </w:rPr>
            </w:pPr>
            <w:proofErr w:type="spellStart"/>
            <w:r>
              <w:rPr>
                <w:rFonts w:ascii="Arial" w:hAnsi="Arial" w:cs="Arial"/>
                <w:b/>
                <w:bCs/>
                <w:color w:val="000000"/>
                <w:sz w:val="18"/>
                <w:szCs w:val="18"/>
                <w:lang w:val="en-GB"/>
              </w:rPr>
              <w:t>EcoEvo</w:t>
            </w:r>
            <w:proofErr w:type="spellEnd"/>
          </w:p>
        </w:tc>
        <w:tc>
          <w:tcPr>
            <w:tcW w:w="613" w:type="pct"/>
            <w:gridSpan w:val="2"/>
          </w:tcPr>
          <w:p w14:paraId="232DC432" w14:textId="77777777" w:rsidR="00211D65" w:rsidRDefault="009D3E4F" w:rsidP="00B678C4">
            <w:pPr>
              <w:spacing w:after="120" w:line="240" w:lineRule="auto"/>
              <w:jc w:val="center"/>
              <w:rPr>
                <w:rFonts w:ascii="Arial" w:hAnsi="Arial" w:cs="Arial"/>
                <w:b/>
                <w:color w:val="000000"/>
                <w:sz w:val="18"/>
                <w:szCs w:val="18"/>
                <w:lang w:val="en-GB"/>
              </w:rPr>
            </w:pPr>
            <w:proofErr w:type="spellStart"/>
            <w:r>
              <w:rPr>
                <w:rFonts w:ascii="Arial" w:hAnsi="Arial" w:cs="Arial"/>
                <w:b/>
                <w:bCs/>
                <w:color w:val="000000"/>
                <w:sz w:val="18"/>
                <w:szCs w:val="18"/>
                <w:lang w:val="en-GB"/>
              </w:rPr>
              <w:t>EcoEvo</w:t>
            </w:r>
            <w:proofErr w:type="spellEnd"/>
            <w:r>
              <w:rPr>
                <w:rFonts w:ascii="Arial" w:hAnsi="Arial" w:cs="Arial"/>
                <w:b/>
                <w:bCs/>
                <w:color w:val="000000"/>
                <w:sz w:val="18"/>
                <w:szCs w:val="18"/>
                <w:lang w:val="en-GB"/>
              </w:rPr>
              <w:t>+ Plasticity</w:t>
            </w:r>
          </w:p>
        </w:tc>
      </w:tr>
      <w:tr w:rsidR="00211D65" w14:paraId="54497F2B" w14:textId="77777777" w:rsidTr="00B678C4">
        <w:trPr>
          <w:gridAfter w:val="1"/>
          <w:wAfter w:w="5" w:type="pct"/>
          <w:trHeight w:val="20"/>
        </w:trPr>
        <w:tc>
          <w:tcPr>
            <w:tcW w:w="781" w:type="pct"/>
          </w:tcPr>
          <w:p w14:paraId="1A188011" w14:textId="77777777" w:rsidR="00211D65" w:rsidRDefault="009D3E4F" w:rsidP="00B678C4">
            <w:pPr>
              <w:spacing w:after="120" w:line="240" w:lineRule="auto"/>
              <w:rPr>
                <w:rFonts w:ascii="Arial" w:hAnsi="Arial" w:cs="Arial"/>
                <w:color w:val="000000"/>
                <w:sz w:val="18"/>
                <w:szCs w:val="18"/>
                <w:lang w:val="en-GB"/>
              </w:rPr>
            </w:pPr>
            <w:r>
              <w:rPr>
                <w:rFonts w:ascii="Arial" w:hAnsi="Arial" w:cs="Arial"/>
                <w:b/>
                <w:bCs/>
                <w:color w:val="000000"/>
                <w:sz w:val="18"/>
                <w:szCs w:val="18"/>
                <w:lang w:val="en-GB"/>
              </w:rPr>
              <w:t>Plasticity</w:t>
            </w:r>
          </w:p>
        </w:tc>
        <w:tc>
          <w:tcPr>
            <w:tcW w:w="775" w:type="pct"/>
          </w:tcPr>
          <w:p w14:paraId="38F5BED4" w14:textId="77777777" w:rsidR="00211D65" w:rsidRPr="00B678C4" w:rsidRDefault="009D3E4F" w:rsidP="00B678C4">
            <w:pPr>
              <w:spacing w:after="120" w:line="240" w:lineRule="auto"/>
              <w:jc w:val="center"/>
              <w:rPr>
                <w:rFonts w:ascii="Arial" w:hAnsi="Arial" w:cs="Arial"/>
                <w:bCs/>
                <w:color w:val="0070C0"/>
                <w:sz w:val="18"/>
                <w:szCs w:val="18"/>
                <w:lang w:val="en-GB"/>
              </w:rPr>
            </w:pPr>
            <w:r w:rsidRPr="00B678C4">
              <w:rPr>
                <w:rFonts w:ascii="Arial" w:hAnsi="Arial" w:cs="Arial"/>
                <w:bCs/>
                <w:color w:val="0070C0"/>
                <w:sz w:val="18"/>
                <w:szCs w:val="18"/>
                <w:lang w:val="en-GB"/>
              </w:rPr>
              <w:t>ambient</w:t>
            </w:r>
          </w:p>
        </w:tc>
        <w:tc>
          <w:tcPr>
            <w:tcW w:w="644" w:type="pct"/>
            <w:gridSpan w:val="2"/>
          </w:tcPr>
          <w:p w14:paraId="46A69CC3" w14:textId="77777777" w:rsidR="00211D65" w:rsidRPr="00B678C4" w:rsidRDefault="009D3E4F" w:rsidP="00B678C4">
            <w:pPr>
              <w:spacing w:after="120" w:line="240" w:lineRule="auto"/>
              <w:jc w:val="center"/>
              <w:rPr>
                <w:rFonts w:ascii="Arial" w:hAnsi="Arial" w:cs="Arial"/>
                <w:bCs/>
                <w:color w:val="000000"/>
                <w:sz w:val="18"/>
                <w:szCs w:val="18"/>
                <w:lang w:val="en-GB"/>
              </w:rPr>
            </w:pPr>
            <w:r w:rsidRPr="00B678C4">
              <w:rPr>
                <w:rFonts w:ascii="Arial" w:hAnsi="Arial" w:cs="Arial"/>
                <w:bCs/>
                <w:color w:val="FF0000"/>
                <w:sz w:val="18"/>
                <w:szCs w:val="18"/>
                <w:lang w:val="en-GB"/>
              </w:rPr>
              <w:t>novel</w:t>
            </w:r>
          </w:p>
        </w:tc>
        <w:tc>
          <w:tcPr>
            <w:tcW w:w="571" w:type="pct"/>
            <w:gridSpan w:val="2"/>
          </w:tcPr>
          <w:p w14:paraId="00D8C534" w14:textId="77777777" w:rsidR="00211D65" w:rsidRPr="00B678C4" w:rsidRDefault="009D3E4F" w:rsidP="00B678C4">
            <w:pPr>
              <w:spacing w:after="120" w:line="240" w:lineRule="auto"/>
              <w:jc w:val="center"/>
              <w:rPr>
                <w:rFonts w:ascii="Arial" w:hAnsi="Arial" w:cs="Arial"/>
                <w:bCs/>
                <w:color w:val="0070C0"/>
                <w:sz w:val="18"/>
                <w:szCs w:val="18"/>
                <w:lang w:val="en-GB"/>
              </w:rPr>
            </w:pPr>
            <w:r w:rsidRPr="00B678C4">
              <w:rPr>
                <w:rFonts w:ascii="Arial" w:hAnsi="Arial" w:cs="Arial"/>
                <w:bCs/>
                <w:color w:val="FF0000"/>
                <w:sz w:val="18"/>
                <w:szCs w:val="18"/>
                <w:lang w:val="en-GB"/>
              </w:rPr>
              <w:t>novel</w:t>
            </w:r>
          </w:p>
        </w:tc>
        <w:tc>
          <w:tcPr>
            <w:tcW w:w="499" w:type="pct"/>
            <w:gridSpan w:val="2"/>
          </w:tcPr>
          <w:p w14:paraId="1711FFA2" w14:textId="77777777" w:rsidR="00211D65" w:rsidRPr="00B678C4" w:rsidRDefault="009D3E4F" w:rsidP="00B678C4">
            <w:pPr>
              <w:spacing w:after="120" w:line="240" w:lineRule="auto"/>
              <w:jc w:val="center"/>
              <w:rPr>
                <w:rFonts w:ascii="Arial" w:hAnsi="Arial" w:cs="Arial"/>
                <w:bCs/>
                <w:color w:val="0070C0"/>
                <w:sz w:val="18"/>
                <w:szCs w:val="18"/>
                <w:lang w:val="en-GB"/>
              </w:rPr>
            </w:pPr>
            <w:r w:rsidRPr="00B678C4">
              <w:rPr>
                <w:rFonts w:ascii="Arial" w:hAnsi="Arial" w:cs="Arial"/>
                <w:bCs/>
                <w:color w:val="0070C0"/>
                <w:sz w:val="18"/>
                <w:szCs w:val="18"/>
                <w:lang w:val="en-GB"/>
              </w:rPr>
              <w:t>ambient</w:t>
            </w:r>
          </w:p>
        </w:tc>
        <w:tc>
          <w:tcPr>
            <w:tcW w:w="499" w:type="pct"/>
            <w:gridSpan w:val="2"/>
          </w:tcPr>
          <w:p w14:paraId="2888B5FB" w14:textId="77777777" w:rsidR="00211D65" w:rsidRPr="00B678C4" w:rsidRDefault="009D3E4F" w:rsidP="00B678C4">
            <w:pPr>
              <w:spacing w:after="120" w:line="240" w:lineRule="auto"/>
              <w:jc w:val="center"/>
              <w:rPr>
                <w:rFonts w:ascii="Arial" w:hAnsi="Arial" w:cs="Arial"/>
                <w:bCs/>
                <w:color w:val="0070C0"/>
                <w:sz w:val="18"/>
                <w:szCs w:val="18"/>
                <w:lang w:val="en-GB"/>
              </w:rPr>
            </w:pPr>
            <w:r w:rsidRPr="00B678C4">
              <w:rPr>
                <w:rFonts w:ascii="Arial" w:hAnsi="Arial" w:cs="Arial"/>
                <w:bCs/>
                <w:color w:val="0070C0"/>
                <w:sz w:val="18"/>
                <w:szCs w:val="18"/>
                <w:lang w:val="en-GB"/>
              </w:rPr>
              <w:t>ambient</w:t>
            </w:r>
          </w:p>
        </w:tc>
        <w:tc>
          <w:tcPr>
            <w:tcW w:w="613" w:type="pct"/>
            <w:gridSpan w:val="2"/>
          </w:tcPr>
          <w:p w14:paraId="1FBA3225" w14:textId="77777777" w:rsidR="00211D65" w:rsidRPr="00B678C4" w:rsidRDefault="009D3E4F" w:rsidP="00B678C4">
            <w:pPr>
              <w:spacing w:after="120" w:line="240" w:lineRule="auto"/>
              <w:jc w:val="center"/>
              <w:rPr>
                <w:rFonts w:ascii="Arial" w:hAnsi="Arial" w:cs="Arial"/>
                <w:bCs/>
                <w:color w:val="FF0000"/>
                <w:sz w:val="18"/>
                <w:szCs w:val="18"/>
                <w:lang w:val="en-GB"/>
              </w:rPr>
            </w:pPr>
            <w:r w:rsidRPr="00B678C4">
              <w:rPr>
                <w:rFonts w:ascii="Arial" w:hAnsi="Arial" w:cs="Arial"/>
                <w:bCs/>
                <w:color w:val="0070C0"/>
                <w:sz w:val="18"/>
                <w:szCs w:val="18"/>
                <w:lang w:val="en-GB"/>
              </w:rPr>
              <w:t>ambient</w:t>
            </w:r>
          </w:p>
        </w:tc>
        <w:tc>
          <w:tcPr>
            <w:tcW w:w="613" w:type="pct"/>
            <w:gridSpan w:val="2"/>
          </w:tcPr>
          <w:p w14:paraId="45226A01" w14:textId="77777777" w:rsidR="00211D65" w:rsidRPr="00B678C4" w:rsidRDefault="009D3E4F" w:rsidP="00B678C4">
            <w:pPr>
              <w:spacing w:after="120" w:line="240" w:lineRule="auto"/>
              <w:jc w:val="center"/>
              <w:rPr>
                <w:rFonts w:ascii="Arial" w:hAnsi="Arial" w:cs="Arial"/>
                <w:bCs/>
                <w:color w:val="000000"/>
                <w:sz w:val="18"/>
                <w:szCs w:val="18"/>
                <w:lang w:val="en-GB"/>
              </w:rPr>
            </w:pPr>
            <w:r w:rsidRPr="00B678C4">
              <w:rPr>
                <w:rFonts w:ascii="Arial" w:hAnsi="Arial" w:cs="Arial"/>
                <w:bCs/>
                <w:color w:val="FF0000"/>
                <w:sz w:val="18"/>
                <w:szCs w:val="18"/>
                <w:lang w:val="en-GB"/>
              </w:rPr>
              <w:t>novel</w:t>
            </w:r>
          </w:p>
        </w:tc>
      </w:tr>
      <w:tr w:rsidR="00211D65" w14:paraId="05DB87EF" w14:textId="77777777" w:rsidTr="00B678C4">
        <w:trPr>
          <w:gridAfter w:val="1"/>
          <w:wAfter w:w="5" w:type="pct"/>
          <w:trHeight w:val="20"/>
        </w:trPr>
        <w:tc>
          <w:tcPr>
            <w:tcW w:w="781" w:type="pct"/>
          </w:tcPr>
          <w:p w14:paraId="22A06BD7" w14:textId="77777777" w:rsidR="00211D65" w:rsidRDefault="009D3E4F" w:rsidP="00B678C4">
            <w:pPr>
              <w:spacing w:after="120" w:line="240" w:lineRule="auto"/>
              <w:rPr>
                <w:rFonts w:ascii="Arial" w:hAnsi="Arial" w:cs="Arial"/>
                <w:color w:val="000000"/>
                <w:sz w:val="18"/>
                <w:szCs w:val="18"/>
                <w:lang w:val="en-GB"/>
              </w:rPr>
            </w:pPr>
            <w:r>
              <w:rPr>
                <w:rFonts w:ascii="Arial" w:hAnsi="Arial" w:cs="Arial"/>
                <w:b/>
                <w:bCs/>
                <w:color w:val="000000"/>
                <w:sz w:val="18"/>
                <w:szCs w:val="18"/>
                <w:lang w:val="en-GB"/>
              </w:rPr>
              <w:t>Genotype composition</w:t>
            </w:r>
          </w:p>
        </w:tc>
        <w:tc>
          <w:tcPr>
            <w:tcW w:w="775" w:type="pct"/>
          </w:tcPr>
          <w:p w14:paraId="7F55DB10" w14:textId="77777777" w:rsidR="00211D65" w:rsidRPr="00B678C4" w:rsidRDefault="009D3E4F" w:rsidP="00B678C4">
            <w:pPr>
              <w:spacing w:after="120" w:line="240" w:lineRule="auto"/>
              <w:jc w:val="center"/>
              <w:rPr>
                <w:rFonts w:ascii="Arial" w:hAnsi="Arial" w:cs="Arial"/>
                <w:bCs/>
                <w:color w:val="0070C0"/>
                <w:sz w:val="18"/>
                <w:szCs w:val="18"/>
                <w:lang w:val="en-GB"/>
              </w:rPr>
            </w:pPr>
            <w:r w:rsidRPr="00B678C4">
              <w:rPr>
                <w:rFonts w:ascii="Arial" w:hAnsi="Arial" w:cs="Arial"/>
                <w:bCs/>
                <w:color w:val="0070C0"/>
                <w:sz w:val="18"/>
                <w:szCs w:val="18"/>
                <w:lang w:val="en-GB"/>
              </w:rPr>
              <w:t>ambient</w:t>
            </w:r>
          </w:p>
        </w:tc>
        <w:tc>
          <w:tcPr>
            <w:tcW w:w="644" w:type="pct"/>
            <w:gridSpan w:val="2"/>
          </w:tcPr>
          <w:p w14:paraId="1BC1EB5A" w14:textId="77777777" w:rsidR="00211D65" w:rsidRPr="00B678C4" w:rsidRDefault="009D3E4F" w:rsidP="00B678C4">
            <w:pPr>
              <w:spacing w:after="120" w:line="240" w:lineRule="auto"/>
              <w:jc w:val="center"/>
              <w:rPr>
                <w:rFonts w:ascii="Arial" w:hAnsi="Arial" w:cs="Arial"/>
                <w:bCs/>
                <w:color w:val="000000"/>
                <w:sz w:val="18"/>
                <w:szCs w:val="18"/>
                <w:lang w:val="en-GB"/>
              </w:rPr>
            </w:pPr>
            <w:r w:rsidRPr="00B678C4">
              <w:rPr>
                <w:rFonts w:ascii="Arial" w:hAnsi="Arial" w:cs="Arial"/>
                <w:bCs/>
                <w:color w:val="FF0000"/>
                <w:sz w:val="18"/>
                <w:szCs w:val="18"/>
                <w:lang w:val="en-GB"/>
              </w:rPr>
              <w:t>novel</w:t>
            </w:r>
          </w:p>
        </w:tc>
        <w:tc>
          <w:tcPr>
            <w:tcW w:w="571" w:type="pct"/>
            <w:gridSpan w:val="2"/>
          </w:tcPr>
          <w:p w14:paraId="796E9CF4" w14:textId="77777777" w:rsidR="00211D65" w:rsidRPr="00B678C4" w:rsidRDefault="009D3E4F" w:rsidP="00B678C4">
            <w:pPr>
              <w:spacing w:after="120" w:line="240" w:lineRule="auto"/>
              <w:jc w:val="center"/>
              <w:rPr>
                <w:rFonts w:ascii="Arial" w:hAnsi="Arial" w:cs="Arial"/>
                <w:bCs/>
                <w:color w:val="0070C0"/>
                <w:sz w:val="18"/>
                <w:szCs w:val="18"/>
                <w:lang w:val="en-GB"/>
              </w:rPr>
            </w:pPr>
            <w:r w:rsidRPr="00B678C4">
              <w:rPr>
                <w:rFonts w:ascii="Arial" w:hAnsi="Arial" w:cs="Arial"/>
                <w:bCs/>
                <w:color w:val="0070C0"/>
                <w:sz w:val="18"/>
                <w:szCs w:val="18"/>
                <w:lang w:val="en-GB"/>
              </w:rPr>
              <w:t>ambient</w:t>
            </w:r>
          </w:p>
        </w:tc>
        <w:tc>
          <w:tcPr>
            <w:tcW w:w="499" w:type="pct"/>
            <w:gridSpan w:val="2"/>
          </w:tcPr>
          <w:p w14:paraId="238844DD" w14:textId="77777777" w:rsidR="00211D65" w:rsidRPr="00B678C4" w:rsidRDefault="009D3E4F" w:rsidP="00B678C4">
            <w:pPr>
              <w:spacing w:after="120" w:line="240" w:lineRule="auto"/>
              <w:jc w:val="center"/>
              <w:rPr>
                <w:rFonts w:ascii="Arial" w:hAnsi="Arial" w:cs="Arial"/>
                <w:bCs/>
                <w:color w:val="0070C0"/>
                <w:sz w:val="18"/>
                <w:szCs w:val="18"/>
                <w:lang w:val="en-GB"/>
              </w:rPr>
            </w:pPr>
            <w:r w:rsidRPr="00B678C4">
              <w:rPr>
                <w:rFonts w:ascii="Arial" w:hAnsi="Arial" w:cs="Arial"/>
                <w:bCs/>
                <w:color w:val="0070C0"/>
                <w:sz w:val="18"/>
                <w:szCs w:val="18"/>
                <w:lang w:val="en-GB"/>
              </w:rPr>
              <w:t>ambient</w:t>
            </w:r>
          </w:p>
        </w:tc>
        <w:tc>
          <w:tcPr>
            <w:tcW w:w="499" w:type="pct"/>
            <w:gridSpan w:val="2"/>
          </w:tcPr>
          <w:p w14:paraId="3DC68E74" w14:textId="77777777" w:rsidR="00211D65" w:rsidRPr="00B678C4" w:rsidRDefault="009D3E4F" w:rsidP="00B678C4">
            <w:pPr>
              <w:spacing w:after="120" w:line="240" w:lineRule="auto"/>
              <w:jc w:val="center"/>
              <w:rPr>
                <w:rFonts w:ascii="Arial" w:hAnsi="Arial" w:cs="Arial"/>
                <w:bCs/>
                <w:color w:val="0070C0"/>
                <w:sz w:val="18"/>
                <w:szCs w:val="18"/>
                <w:lang w:val="en-GB"/>
              </w:rPr>
            </w:pPr>
            <w:r w:rsidRPr="00B678C4">
              <w:rPr>
                <w:rFonts w:ascii="Arial" w:hAnsi="Arial" w:cs="Arial"/>
                <w:bCs/>
                <w:color w:val="FF0000"/>
                <w:sz w:val="18"/>
                <w:szCs w:val="18"/>
                <w:lang w:val="en-GB"/>
              </w:rPr>
              <w:t>novel</w:t>
            </w:r>
          </w:p>
        </w:tc>
        <w:tc>
          <w:tcPr>
            <w:tcW w:w="613" w:type="pct"/>
            <w:gridSpan w:val="2"/>
          </w:tcPr>
          <w:p w14:paraId="0553CC84" w14:textId="77777777" w:rsidR="00211D65" w:rsidRPr="00B678C4" w:rsidRDefault="009D3E4F" w:rsidP="00B678C4">
            <w:pPr>
              <w:spacing w:after="120" w:line="240" w:lineRule="auto"/>
              <w:jc w:val="center"/>
              <w:rPr>
                <w:rFonts w:ascii="Arial" w:hAnsi="Arial" w:cs="Arial"/>
                <w:bCs/>
                <w:color w:val="FF0000"/>
                <w:sz w:val="18"/>
                <w:szCs w:val="18"/>
                <w:lang w:val="en-GB"/>
              </w:rPr>
            </w:pPr>
            <w:r w:rsidRPr="00B678C4">
              <w:rPr>
                <w:rFonts w:ascii="Arial" w:hAnsi="Arial" w:cs="Arial"/>
                <w:bCs/>
                <w:color w:val="FF0000"/>
                <w:sz w:val="18"/>
                <w:szCs w:val="18"/>
                <w:lang w:val="en-GB"/>
              </w:rPr>
              <w:t>novel</w:t>
            </w:r>
          </w:p>
        </w:tc>
        <w:tc>
          <w:tcPr>
            <w:tcW w:w="613" w:type="pct"/>
            <w:gridSpan w:val="2"/>
          </w:tcPr>
          <w:p w14:paraId="7AD9854B" w14:textId="77777777" w:rsidR="00211D65" w:rsidRPr="00B678C4" w:rsidRDefault="009D3E4F" w:rsidP="00B678C4">
            <w:pPr>
              <w:spacing w:after="120" w:line="240" w:lineRule="auto"/>
              <w:jc w:val="center"/>
              <w:rPr>
                <w:rFonts w:ascii="Arial" w:hAnsi="Arial" w:cs="Arial"/>
                <w:bCs/>
                <w:color w:val="000000"/>
                <w:sz w:val="18"/>
                <w:szCs w:val="18"/>
                <w:lang w:val="en-GB"/>
              </w:rPr>
            </w:pPr>
            <w:r w:rsidRPr="00B678C4">
              <w:rPr>
                <w:rFonts w:ascii="Arial" w:hAnsi="Arial" w:cs="Arial"/>
                <w:bCs/>
                <w:color w:val="FF0000"/>
                <w:sz w:val="18"/>
                <w:szCs w:val="18"/>
                <w:lang w:val="en-GB"/>
              </w:rPr>
              <w:t>novel</w:t>
            </w:r>
          </w:p>
        </w:tc>
      </w:tr>
      <w:tr w:rsidR="00211D65" w14:paraId="23F5611F" w14:textId="77777777" w:rsidTr="00B678C4">
        <w:trPr>
          <w:gridAfter w:val="1"/>
          <w:wAfter w:w="5" w:type="pct"/>
          <w:trHeight w:val="20"/>
        </w:trPr>
        <w:tc>
          <w:tcPr>
            <w:tcW w:w="781" w:type="pct"/>
          </w:tcPr>
          <w:p w14:paraId="51FA8EB3" w14:textId="77777777" w:rsidR="00211D65" w:rsidRDefault="009D3E4F" w:rsidP="00B678C4">
            <w:pPr>
              <w:spacing w:after="120" w:line="240" w:lineRule="auto"/>
              <w:rPr>
                <w:rFonts w:ascii="Arial" w:hAnsi="Arial" w:cs="Arial"/>
                <w:color w:val="000000"/>
                <w:sz w:val="18"/>
                <w:szCs w:val="18"/>
                <w:lang w:val="en-GB"/>
              </w:rPr>
            </w:pPr>
            <w:r>
              <w:rPr>
                <w:rFonts w:ascii="Arial" w:hAnsi="Arial" w:cs="Arial"/>
                <w:b/>
                <w:bCs/>
                <w:color w:val="000000"/>
                <w:sz w:val="18"/>
                <w:szCs w:val="18"/>
                <w:lang w:val="en-GB"/>
              </w:rPr>
              <w:t>Species composition</w:t>
            </w:r>
          </w:p>
        </w:tc>
        <w:tc>
          <w:tcPr>
            <w:tcW w:w="775" w:type="pct"/>
          </w:tcPr>
          <w:p w14:paraId="14414FAF" w14:textId="77777777" w:rsidR="00211D65" w:rsidRPr="00B678C4" w:rsidRDefault="009D3E4F" w:rsidP="00B678C4">
            <w:pPr>
              <w:spacing w:after="120" w:line="240" w:lineRule="auto"/>
              <w:jc w:val="center"/>
              <w:rPr>
                <w:rFonts w:ascii="Arial" w:hAnsi="Arial" w:cs="Arial"/>
                <w:bCs/>
                <w:color w:val="0070C0"/>
                <w:sz w:val="18"/>
                <w:szCs w:val="18"/>
                <w:lang w:val="en-GB"/>
              </w:rPr>
            </w:pPr>
            <w:r w:rsidRPr="00B678C4">
              <w:rPr>
                <w:rFonts w:ascii="Arial" w:hAnsi="Arial" w:cs="Arial"/>
                <w:bCs/>
                <w:color w:val="0070C0"/>
                <w:sz w:val="18"/>
                <w:szCs w:val="18"/>
                <w:lang w:val="en-GB"/>
              </w:rPr>
              <w:t>ambient</w:t>
            </w:r>
          </w:p>
        </w:tc>
        <w:tc>
          <w:tcPr>
            <w:tcW w:w="644" w:type="pct"/>
            <w:gridSpan w:val="2"/>
          </w:tcPr>
          <w:p w14:paraId="289A9A35" w14:textId="77777777" w:rsidR="00211D65" w:rsidRPr="00B678C4" w:rsidRDefault="009D3E4F" w:rsidP="00B678C4">
            <w:pPr>
              <w:spacing w:after="120" w:line="240" w:lineRule="auto"/>
              <w:jc w:val="center"/>
              <w:rPr>
                <w:rFonts w:ascii="Arial" w:hAnsi="Arial" w:cs="Arial"/>
                <w:bCs/>
                <w:color w:val="000000"/>
                <w:sz w:val="18"/>
                <w:szCs w:val="18"/>
                <w:lang w:val="en-GB"/>
              </w:rPr>
            </w:pPr>
            <w:r w:rsidRPr="00B678C4">
              <w:rPr>
                <w:rFonts w:ascii="Arial" w:hAnsi="Arial" w:cs="Arial"/>
                <w:bCs/>
                <w:color w:val="FF0000"/>
                <w:sz w:val="18"/>
                <w:szCs w:val="18"/>
                <w:lang w:val="en-GB"/>
              </w:rPr>
              <w:t>novel</w:t>
            </w:r>
          </w:p>
        </w:tc>
        <w:tc>
          <w:tcPr>
            <w:tcW w:w="571" w:type="pct"/>
            <w:gridSpan w:val="2"/>
          </w:tcPr>
          <w:p w14:paraId="4E1AAE7B" w14:textId="77777777" w:rsidR="00211D65" w:rsidRPr="00B678C4" w:rsidRDefault="009D3E4F" w:rsidP="00B678C4">
            <w:pPr>
              <w:spacing w:after="120" w:line="240" w:lineRule="auto"/>
              <w:jc w:val="center"/>
              <w:rPr>
                <w:rFonts w:ascii="Arial" w:hAnsi="Arial" w:cs="Arial"/>
                <w:bCs/>
                <w:color w:val="0070C0"/>
                <w:sz w:val="18"/>
                <w:szCs w:val="18"/>
                <w:lang w:val="en-GB"/>
              </w:rPr>
            </w:pPr>
            <w:r w:rsidRPr="00B678C4">
              <w:rPr>
                <w:rFonts w:ascii="Arial" w:hAnsi="Arial" w:cs="Arial"/>
                <w:bCs/>
                <w:color w:val="0070C0"/>
                <w:sz w:val="18"/>
                <w:szCs w:val="18"/>
                <w:lang w:val="en-GB"/>
              </w:rPr>
              <w:t>ambient</w:t>
            </w:r>
          </w:p>
        </w:tc>
        <w:tc>
          <w:tcPr>
            <w:tcW w:w="499" w:type="pct"/>
            <w:gridSpan w:val="2"/>
          </w:tcPr>
          <w:p w14:paraId="70A48C9B" w14:textId="77777777" w:rsidR="00211D65" w:rsidRPr="00B678C4" w:rsidRDefault="009D3E4F" w:rsidP="00B678C4">
            <w:pPr>
              <w:spacing w:after="120" w:line="240" w:lineRule="auto"/>
              <w:jc w:val="center"/>
              <w:rPr>
                <w:rFonts w:ascii="Arial" w:hAnsi="Arial" w:cs="Arial"/>
                <w:bCs/>
                <w:color w:val="0070C0"/>
                <w:sz w:val="18"/>
                <w:szCs w:val="18"/>
                <w:lang w:val="en-GB"/>
              </w:rPr>
            </w:pPr>
            <w:r w:rsidRPr="00B678C4">
              <w:rPr>
                <w:rFonts w:ascii="Arial" w:hAnsi="Arial" w:cs="Arial"/>
                <w:bCs/>
                <w:color w:val="FF0000"/>
                <w:sz w:val="18"/>
                <w:szCs w:val="18"/>
                <w:lang w:val="en-GB"/>
              </w:rPr>
              <w:t>novel</w:t>
            </w:r>
          </w:p>
        </w:tc>
        <w:tc>
          <w:tcPr>
            <w:tcW w:w="499" w:type="pct"/>
            <w:gridSpan w:val="2"/>
          </w:tcPr>
          <w:p w14:paraId="73B31409" w14:textId="77777777" w:rsidR="00211D65" w:rsidRPr="00B678C4" w:rsidRDefault="009D3E4F" w:rsidP="00B678C4">
            <w:pPr>
              <w:spacing w:after="120" w:line="240" w:lineRule="auto"/>
              <w:jc w:val="center"/>
              <w:rPr>
                <w:rFonts w:ascii="Arial" w:hAnsi="Arial" w:cs="Arial"/>
                <w:bCs/>
                <w:color w:val="0070C0"/>
                <w:sz w:val="18"/>
                <w:szCs w:val="18"/>
                <w:lang w:val="en-GB"/>
              </w:rPr>
            </w:pPr>
            <w:r w:rsidRPr="00B678C4">
              <w:rPr>
                <w:rFonts w:ascii="Arial" w:hAnsi="Arial" w:cs="Arial"/>
                <w:bCs/>
                <w:color w:val="0070C0"/>
                <w:sz w:val="18"/>
                <w:szCs w:val="18"/>
                <w:lang w:val="en-GB"/>
              </w:rPr>
              <w:t>ambient</w:t>
            </w:r>
          </w:p>
        </w:tc>
        <w:tc>
          <w:tcPr>
            <w:tcW w:w="613" w:type="pct"/>
            <w:gridSpan w:val="2"/>
          </w:tcPr>
          <w:p w14:paraId="381495AE" w14:textId="77777777" w:rsidR="00211D65" w:rsidRPr="00B678C4" w:rsidRDefault="009D3E4F" w:rsidP="00B678C4">
            <w:pPr>
              <w:spacing w:after="120" w:line="240" w:lineRule="auto"/>
              <w:jc w:val="center"/>
              <w:rPr>
                <w:rFonts w:ascii="Arial" w:hAnsi="Arial" w:cs="Arial"/>
                <w:bCs/>
                <w:color w:val="FF0000"/>
                <w:sz w:val="18"/>
                <w:szCs w:val="18"/>
                <w:lang w:val="en-GB"/>
              </w:rPr>
            </w:pPr>
            <w:r w:rsidRPr="00B678C4">
              <w:rPr>
                <w:rFonts w:ascii="Arial" w:hAnsi="Arial" w:cs="Arial"/>
                <w:bCs/>
                <w:color w:val="FF0000"/>
                <w:sz w:val="18"/>
                <w:szCs w:val="18"/>
                <w:lang w:val="en-GB"/>
              </w:rPr>
              <w:t>novel</w:t>
            </w:r>
          </w:p>
        </w:tc>
        <w:tc>
          <w:tcPr>
            <w:tcW w:w="613" w:type="pct"/>
            <w:gridSpan w:val="2"/>
          </w:tcPr>
          <w:p w14:paraId="08BF0A28" w14:textId="77777777" w:rsidR="00211D65" w:rsidRPr="00B678C4" w:rsidRDefault="009D3E4F" w:rsidP="00B678C4">
            <w:pPr>
              <w:spacing w:after="120" w:line="240" w:lineRule="auto"/>
              <w:jc w:val="center"/>
              <w:rPr>
                <w:rFonts w:ascii="Arial" w:hAnsi="Arial" w:cs="Arial"/>
                <w:bCs/>
                <w:color w:val="000000"/>
                <w:sz w:val="18"/>
                <w:szCs w:val="18"/>
                <w:lang w:val="en-GB"/>
              </w:rPr>
            </w:pPr>
            <w:r w:rsidRPr="00B678C4">
              <w:rPr>
                <w:rFonts w:ascii="Arial" w:hAnsi="Arial" w:cs="Arial"/>
                <w:bCs/>
                <w:color w:val="FF0000"/>
                <w:sz w:val="18"/>
                <w:szCs w:val="18"/>
                <w:lang w:val="en-GB"/>
              </w:rPr>
              <w:t>novel</w:t>
            </w:r>
          </w:p>
        </w:tc>
      </w:tr>
      <w:tr w:rsidR="00211D65" w14:paraId="79A050D9" w14:textId="77777777" w:rsidTr="00B678C4">
        <w:trPr>
          <w:gridAfter w:val="1"/>
          <w:wAfter w:w="5" w:type="pct"/>
          <w:trHeight w:val="20"/>
        </w:trPr>
        <w:tc>
          <w:tcPr>
            <w:tcW w:w="781" w:type="pct"/>
          </w:tcPr>
          <w:p w14:paraId="179BABC5" w14:textId="77777777" w:rsidR="00211D65" w:rsidRDefault="009D3E4F" w:rsidP="00B678C4">
            <w:pPr>
              <w:spacing w:after="120" w:line="240" w:lineRule="auto"/>
              <w:rPr>
                <w:rFonts w:ascii="Arial" w:hAnsi="Arial" w:cs="Arial"/>
                <w:color w:val="000000"/>
                <w:sz w:val="18"/>
                <w:szCs w:val="18"/>
                <w:lang w:val="en-GB"/>
              </w:rPr>
            </w:pPr>
            <w:r>
              <w:rPr>
                <w:rFonts w:ascii="Arial" w:hAnsi="Arial" w:cs="Arial"/>
                <w:b/>
                <w:bCs/>
                <w:color w:val="000000"/>
                <w:sz w:val="18"/>
                <w:szCs w:val="18"/>
                <w:lang w:val="en-GB"/>
              </w:rPr>
              <w:t>Assay environment</w:t>
            </w:r>
          </w:p>
        </w:tc>
        <w:tc>
          <w:tcPr>
            <w:tcW w:w="775" w:type="pct"/>
          </w:tcPr>
          <w:p w14:paraId="4A195F4F" w14:textId="77777777" w:rsidR="00211D65" w:rsidRPr="00B678C4" w:rsidRDefault="009D3E4F" w:rsidP="00B678C4">
            <w:pPr>
              <w:spacing w:after="120" w:line="240" w:lineRule="auto"/>
              <w:jc w:val="center"/>
              <w:rPr>
                <w:rFonts w:ascii="Arial" w:hAnsi="Arial" w:cs="Arial"/>
                <w:bCs/>
                <w:color w:val="0070C0"/>
                <w:sz w:val="18"/>
                <w:szCs w:val="18"/>
                <w:lang w:val="en-GB"/>
              </w:rPr>
            </w:pPr>
            <w:r w:rsidRPr="00B678C4">
              <w:rPr>
                <w:rFonts w:ascii="Arial" w:hAnsi="Arial" w:cs="Arial"/>
                <w:bCs/>
                <w:color w:val="0070C0"/>
                <w:sz w:val="18"/>
                <w:szCs w:val="18"/>
                <w:lang w:val="en-GB"/>
              </w:rPr>
              <w:t>ambient</w:t>
            </w:r>
          </w:p>
        </w:tc>
        <w:tc>
          <w:tcPr>
            <w:tcW w:w="644" w:type="pct"/>
            <w:gridSpan w:val="2"/>
          </w:tcPr>
          <w:p w14:paraId="4A6A431F" w14:textId="77777777" w:rsidR="00211D65" w:rsidRPr="00B678C4" w:rsidRDefault="009D3E4F" w:rsidP="00B678C4">
            <w:pPr>
              <w:spacing w:after="120" w:line="240" w:lineRule="auto"/>
              <w:jc w:val="center"/>
              <w:rPr>
                <w:rFonts w:ascii="Arial" w:hAnsi="Arial" w:cs="Arial"/>
                <w:bCs/>
                <w:color w:val="000000"/>
                <w:sz w:val="18"/>
                <w:szCs w:val="18"/>
                <w:lang w:val="en-GB"/>
              </w:rPr>
            </w:pPr>
            <w:r w:rsidRPr="00B678C4">
              <w:rPr>
                <w:rFonts w:ascii="Arial" w:hAnsi="Arial" w:cs="Arial"/>
                <w:bCs/>
                <w:color w:val="FF0000"/>
                <w:sz w:val="18"/>
                <w:szCs w:val="18"/>
                <w:lang w:val="en-GB"/>
              </w:rPr>
              <w:t>novel</w:t>
            </w:r>
          </w:p>
        </w:tc>
        <w:tc>
          <w:tcPr>
            <w:tcW w:w="571" w:type="pct"/>
            <w:gridSpan w:val="2"/>
          </w:tcPr>
          <w:p w14:paraId="699DEBE7" w14:textId="77777777" w:rsidR="00211D65" w:rsidRPr="00B678C4" w:rsidRDefault="009D3E4F" w:rsidP="00B678C4">
            <w:pPr>
              <w:spacing w:after="120" w:line="240" w:lineRule="auto"/>
              <w:jc w:val="center"/>
              <w:rPr>
                <w:rFonts w:ascii="Arial" w:hAnsi="Arial" w:cs="Arial"/>
                <w:bCs/>
                <w:color w:val="0070C0"/>
                <w:sz w:val="18"/>
                <w:szCs w:val="18"/>
                <w:lang w:val="en-GB"/>
              </w:rPr>
            </w:pPr>
            <w:r w:rsidRPr="00B678C4">
              <w:rPr>
                <w:rFonts w:ascii="Arial" w:hAnsi="Arial" w:cs="Arial"/>
                <w:bCs/>
                <w:color w:val="0070C0"/>
                <w:sz w:val="18"/>
                <w:szCs w:val="18"/>
                <w:lang w:val="en-GB"/>
              </w:rPr>
              <w:t>ambient</w:t>
            </w:r>
          </w:p>
        </w:tc>
        <w:tc>
          <w:tcPr>
            <w:tcW w:w="499" w:type="pct"/>
            <w:gridSpan w:val="2"/>
          </w:tcPr>
          <w:p w14:paraId="6A6FEF7B" w14:textId="77777777" w:rsidR="00211D65" w:rsidRPr="00B678C4" w:rsidRDefault="009D3E4F" w:rsidP="00B678C4">
            <w:pPr>
              <w:spacing w:after="120" w:line="240" w:lineRule="auto"/>
              <w:jc w:val="center"/>
              <w:rPr>
                <w:rFonts w:ascii="Arial" w:hAnsi="Arial" w:cs="Arial"/>
                <w:bCs/>
                <w:color w:val="0070C0"/>
                <w:sz w:val="18"/>
                <w:szCs w:val="18"/>
                <w:lang w:val="en-GB"/>
              </w:rPr>
            </w:pPr>
            <w:r w:rsidRPr="00B678C4">
              <w:rPr>
                <w:rFonts w:ascii="Arial" w:hAnsi="Arial" w:cs="Arial"/>
                <w:bCs/>
                <w:color w:val="0070C0"/>
                <w:sz w:val="18"/>
                <w:szCs w:val="18"/>
                <w:lang w:val="en-GB"/>
              </w:rPr>
              <w:t>ambient</w:t>
            </w:r>
          </w:p>
        </w:tc>
        <w:tc>
          <w:tcPr>
            <w:tcW w:w="499" w:type="pct"/>
            <w:gridSpan w:val="2"/>
          </w:tcPr>
          <w:p w14:paraId="63433778" w14:textId="77777777" w:rsidR="00211D65" w:rsidRPr="00B678C4" w:rsidRDefault="009D3E4F" w:rsidP="00B678C4">
            <w:pPr>
              <w:spacing w:after="120" w:line="240" w:lineRule="auto"/>
              <w:jc w:val="center"/>
              <w:rPr>
                <w:rFonts w:ascii="Arial" w:hAnsi="Arial" w:cs="Arial"/>
                <w:bCs/>
                <w:color w:val="0070C0"/>
                <w:sz w:val="18"/>
                <w:szCs w:val="18"/>
                <w:lang w:val="en-GB"/>
              </w:rPr>
            </w:pPr>
            <w:r w:rsidRPr="00B678C4">
              <w:rPr>
                <w:rFonts w:ascii="Arial" w:hAnsi="Arial" w:cs="Arial"/>
                <w:bCs/>
                <w:color w:val="0070C0"/>
                <w:sz w:val="18"/>
                <w:szCs w:val="18"/>
                <w:lang w:val="en-GB"/>
              </w:rPr>
              <w:t>ambient</w:t>
            </w:r>
          </w:p>
        </w:tc>
        <w:tc>
          <w:tcPr>
            <w:tcW w:w="613" w:type="pct"/>
            <w:gridSpan w:val="2"/>
          </w:tcPr>
          <w:p w14:paraId="24B3E51D" w14:textId="77777777" w:rsidR="00211D65" w:rsidRPr="00B678C4" w:rsidRDefault="009D3E4F" w:rsidP="00B678C4">
            <w:pPr>
              <w:spacing w:after="120" w:line="240" w:lineRule="auto"/>
              <w:jc w:val="center"/>
              <w:rPr>
                <w:rFonts w:ascii="Arial" w:hAnsi="Arial" w:cs="Arial"/>
                <w:bCs/>
                <w:color w:val="0070C0"/>
                <w:sz w:val="18"/>
                <w:szCs w:val="18"/>
                <w:lang w:val="en-GB"/>
              </w:rPr>
            </w:pPr>
            <w:r w:rsidRPr="00B678C4">
              <w:rPr>
                <w:rFonts w:ascii="Arial" w:hAnsi="Arial" w:cs="Arial"/>
                <w:bCs/>
                <w:color w:val="0070C0"/>
                <w:sz w:val="18"/>
                <w:szCs w:val="18"/>
                <w:lang w:val="en-GB"/>
              </w:rPr>
              <w:t>ambient</w:t>
            </w:r>
          </w:p>
        </w:tc>
        <w:tc>
          <w:tcPr>
            <w:tcW w:w="613" w:type="pct"/>
            <w:gridSpan w:val="2"/>
          </w:tcPr>
          <w:p w14:paraId="2469604E" w14:textId="77777777" w:rsidR="00211D65" w:rsidRPr="00B678C4" w:rsidRDefault="009D3E4F" w:rsidP="00B678C4">
            <w:pPr>
              <w:spacing w:after="120" w:line="240" w:lineRule="auto"/>
              <w:jc w:val="center"/>
              <w:rPr>
                <w:rFonts w:ascii="Arial" w:hAnsi="Arial" w:cs="Arial"/>
                <w:bCs/>
                <w:color w:val="000000"/>
                <w:sz w:val="18"/>
                <w:szCs w:val="18"/>
                <w:lang w:val="en-GB"/>
              </w:rPr>
            </w:pPr>
            <w:r w:rsidRPr="00B678C4">
              <w:rPr>
                <w:rFonts w:ascii="Arial" w:hAnsi="Arial" w:cs="Arial"/>
                <w:bCs/>
                <w:color w:val="0070C0"/>
                <w:sz w:val="18"/>
                <w:szCs w:val="18"/>
                <w:lang w:val="en-GB"/>
              </w:rPr>
              <w:t>ambient</w:t>
            </w:r>
          </w:p>
        </w:tc>
      </w:tr>
    </w:tbl>
    <w:p w14:paraId="63FCA6EE" w14:textId="77777777" w:rsidR="00B678C4" w:rsidRDefault="00B678C4">
      <w:pPr>
        <w:spacing w:after="120" w:line="240" w:lineRule="auto"/>
        <w:rPr>
          <w:rFonts w:cs="Times New Roman"/>
          <w:color w:val="000000" w:themeColor="text1"/>
          <w:sz w:val="24"/>
          <w:szCs w:val="24"/>
          <w:lang w:val="en-GB"/>
        </w:rPr>
      </w:pPr>
    </w:p>
    <w:p w14:paraId="1ABD7800" w14:textId="77777777" w:rsidR="00B678C4" w:rsidRDefault="00B678C4">
      <w:pPr>
        <w:spacing w:after="120" w:line="240" w:lineRule="auto"/>
        <w:rPr>
          <w:rFonts w:cs="Times New Roman"/>
          <w:color w:val="000000" w:themeColor="text1"/>
          <w:sz w:val="24"/>
          <w:szCs w:val="24"/>
          <w:lang w:val="en-GB"/>
        </w:rPr>
      </w:pPr>
      <w:r>
        <w:rPr>
          <w:rFonts w:cs="Times New Roman"/>
          <w:noProof/>
          <w:color w:val="000000" w:themeColor="text1"/>
          <w:sz w:val="24"/>
          <w:szCs w:val="24"/>
          <w:lang w:val="en-GB"/>
        </w:rPr>
        <w:drawing>
          <wp:inline distT="0" distB="0" distL="0" distR="0" wp14:anchorId="5CEB0011" wp14:editId="3B4D0B26">
            <wp:extent cx="4914900" cy="27079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6417" cy="2719834"/>
                    </a:xfrm>
                    <a:prstGeom prst="rect">
                      <a:avLst/>
                    </a:prstGeom>
                    <a:noFill/>
                  </pic:spPr>
                </pic:pic>
              </a:graphicData>
            </a:graphic>
          </wp:inline>
        </w:drawing>
      </w:r>
    </w:p>
    <w:p w14:paraId="164A7DBC" w14:textId="4BF1E447" w:rsidR="00211D65" w:rsidRDefault="00B678C4">
      <w:pPr>
        <w:spacing w:after="120" w:line="240" w:lineRule="auto"/>
        <w:rPr>
          <w:rFonts w:eastAsia="Cambria" w:cs="Times New Roman"/>
          <w:b/>
          <w:bCs/>
          <w:color w:val="000000"/>
          <w:sz w:val="24"/>
          <w:szCs w:val="24"/>
          <w:lang w:val="en-GB"/>
        </w:rPr>
      </w:pPr>
      <w:bookmarkStart w:id="11" w:name="_Toc79054743"/>
      <w:r>
        <w:rPr>
          <w:rStyle w:val="Heading3Char1"/>
          <w:lang w:val="en-US"/>
        </w:rPr>
        <w:t>Figure S</w:t>
      </w:r>
      <w:r w:rsidR="001C3139">
        <w:rPr>
          <w:rStyle w:val="Heading3Char1"/>
          <w:lang w:val="en-US"/>
        </w:rPr>
        <w:t>7</w:t>
      </w:r>
      <w:r>
        <w:rPr>
          <w:rStyle w:val="Heading3Char1"/>
          <w:lang w:val="en-US"/>
        </w:rPr>
        <w:t>:</w:t>
      </w:r>
      <w:bookmarkEnd w:id="11"/>
      <w:r>
        <w:rPr>
          <w:lang w:val="en-US"/>
        </w:rPr>
        <w:t xml:space="preserve"> </w:t>
      </w:r>
      <w:r>
        <w:rPr>
          <w:lang w:val="en-GB"/>
        </w:rPr>
        <w:t>Illustration of the extension of the Eco-Evo assay</w:t>
      </w:r>
      <w:r w:rsidR="0002424B">
        <w:rPr>
          <w:lang w:val="en-GB"/>
        </w:rPr>
        <w:t xml:space="preserve"> (Main Fig.1)</w:t>
      </w:r>
      <w:r>
        <w:rPr>
          <w:lang w:val="en-GB"/>
        </w:rPr>
        <w:t xml:space="preserve"> to partition and quantify the relative </w:t>
      </w:r>
      <w:r>
        <w:rPr>
          <w:lang w:val="en-GB"/>
        </w:rPr>
        <w:t>i</w:t>
      </w:r>
      <w:r>
        <w:rPr>
          <w:lang w:val="en-GB"/>
        </w:rPr>
        <w:t>mportance of ecological and evolutionary contributions to total change</w:t>
      </w:r>
      <w:r>
        <w:rPr>
          <w:lang w:val="en-GB"/>
        </w:rPr>
        <w:t>s in a community with 3 species.</w:t>
      </w:r>
      <w:r>
        <w:rPr>
          <w:lang w:val="en-GB"/>
        </w:rPr>
        <w:t xml:space="preserve"> The species </w:t>
      </w:r>
      <w:r>
        <w:rPr>
          <w:lang w:val="en-GB"/>
        </w:rPr>
        <w:t xml:space="preserve">are shown as quadrat, </w:t>
      </w:r>
      <w:r>
        <w:rPr>
          <w:lang w:val="en-GB"/>
        </w:rPr>
        <w:t>triangle</w:t>
      </w:r>
      <w:r>
        <w:rPr>
          <w:lang w:val="en-GB"/>
        </w:rPr>
        <w:t xml:space="preserve"> and</w:t>
      </w:r>
      <w:r w:rsidR="0002424B">
        <w:rPr>
          <w:lang w:val="en-GB"/>
        </w:rPr>
        <w:t xml:space="preserve"> </w:t>
      </w:r>
      <w:r>
        <w:rPr>
          <w:lang w:val="en-GB"/>
        </w:rPr>
        <w:t>circle</w:t>
      </w:r>
      <w:r w:rsidR="0002424B">
        <w:rPr>
          <w:lang w:val="en-GB"/>
        </w:rPr>
        <w:t>s</w:t>
      </w:r>
      <w:r>
        <w:rPr>
          <w:lang w:val="en-GB"/>
        </w:rPr>
        <w:t>, while different</w:t>
      </w:r>
      <w:r>
        <w:rPr>
          <w:lang w:val="en-GB"/>
        </w:rPr>
        <w:t xml:space="preserve"> colour</w:t>
      </w:r>
      <w:r>
        <w:rPr>
          <w:lang w:val="en-GB"/>
        </w:rPr>
        <w:t xml:space="preserve">s depict </w:t>
      </w:r>
      <w:r>
        <w:rPr>
          <w:lang w:val="en-GB"/>
        </w:rPr>
        <w:t>genotypes</w:t>
      </w:r>
      <w:r w:rsidR="0002424B">
        <w:rPr>
          <w:lang w:val="en-GB"/>
        </w:rPr>
        <w:t xml:space="preserve"> and blue and red boxes the</w:t>
      </w:r>
      <w:r>
        <w:rPr>
          <w:lang w:val="en-GB"/>
        </w:rPr>
        <w:t xml:space="preserve"> ambient and novel environment</w:t>
      </w:r>
      <w:r w:rsidR="0002424B">
        <w:rPr>
          <w:lang w:val="en-GB"/>
        </w:rPr>
        <w:t>.</w:t>
      </w:r>
      <w:r>
        <w:rPr>
          <w:lang w:val="en-GB"/>
        </w:rPr>
        <w:t xml:space="preserve"> </w:t>
      </w:r>
      <w:r w:rsidR="0002424B">
        <w:rPr>
          <w:lang w:val="en-GB"/>
        </w:rPr>
        <w:t>Species</w:t>
      </w:r>
      <w:r>
        <w:rPr>
          <w:lang w:val="en-GB"/>
        </w:rPr>
        <w:t xml:space="preserve"> and genotype sorting (dominating inter- and intraspecific changes) is depicted as shifts in absolute number and proportion of these symbols and their colouring, respectively. </w:t>
      </w:r>
      <w:r w:rsidR="009D3E4F">
        <w:rPr>
          <w:rFonts w:cs="Times New Roman"/>
          <w:color w:val="000000" w:themeColor="text1"/>
          <w:sz w:val="24"/>
          <w:szCs w:val="24"/>
          <w:lang w:val="en-GB"/>
        </w:rPr>
        <w:br w:type="page"/>
      </w:r>
    </w:p>
    <w:p w14:paraId="42C65429" w14:textId="77777777" w:rsidR="00211D65" w:rsidRDefault="009D3E4F">
      <w:pPr>
        <w:pStyle w:val="Heading1"/>
        <w:spacing w:before="0" w:after="120" w:line="240" w:lineRule="auto"/>
        <w:jc w:val="both"/>
        <w:rPr>
          <w:rFonts w:ascii="Times New Roman" w:hAnsi="Times New Roman" w:cs="Times New Roman"/>
          <w:color w:val="000000"/>
          <w:sz w:val="24"/>
          <w:szCs w:val="24"/>
          <w:lang w:val="en-GB"/>
        </w:rPr>
      </w:pPr>
      <w:bookmarkStart w:id="12" w:name="_Toc67645316"/>
      <w:bookmarkStart w:id="13" w:name="_Toc79054744"/>
      <w:r>
        <w:rPr>
          <w:rFonts w:ascii="Times New Roman" w:hAnsi="Times New Roman" w:cs="Times New Roman"/>
          <w:color w:val="000000" w:themeColor="text1"/>
          <w:sz w:val="24"/>
          <w:szCs w:val="24"/>
          <w:lang w:val="en-GB"/>
        </w:rPr>
        <w:lastRenderedPageBreak/>
        <w:t>Section 3: Technical assessment of the artificial assembly</w:t>
      </w:r>
      <w:bookmarkEnd w:id="12"/>
      <w:bookmarkEnd w:id="13"/>
    </w:p>
    <w:p w14:paraId="4D9791F2" w14:textId="77777777" w:rsidR="00211D65" w:rsidRDefault="009D3E4F">
      <w:pPr>
        <w:spacing w:after="120"/>
        <w:jc w:val="both"/>
        <w:rPr>
          <w:rFonts w:cs="Times New Roman"/>
          <w:color w:val="000000"/>
          <w:sz w:val="24"/>
          <w:szCs w:val="24"/>
          <w:lang w:val="en-GB"/>
        </w:rPr>
      </w:pPr>
      <w:r>
        <w:rPr>
          <w:rFonts w:cs="Times New Roman"/>
          <w:color w:val="000000" w:themeColor="text1"/>
          <w:sz w:val="24"/>
          <w:szCs w:val="24"/>
          <w:lang w:val="en-GB"/>
        </w:rPr>
        <w:t xml:space="preserve">We analysed the potential error made by the artificial reassembly of the assay communities. To confirm that the artificially reassembled communities mirror the total community response and species composition in the sorting phase, the responses of the assay communities </w:t>
      </w:r>
      <w:proofErr w:type="spellStart"/>
      <w:r>
        <w:rPr>
          <w:rFonts w:cs="Times New Roman"/>
          <w:color w:val="000000" w:themeColor="text1"/>
          <w:sz w:val="24"/>
          <w:szCs w:val="24"/>
          <w:lang w:val="en-GB"/>
        </w:rPr>
        <w:t>Control</w:t>
      </w:r>
      <w:r>
        <w:rPr>
          <w:rFonts w:cs="Times New Roman"/>
          <w:color w:val="000000" w:themeColor="text1"/>
          <w:sz w:val="24"/>
          <w:szCs w:val="24"/>
          <w:vertAlign w:val="subscript"/>
          <w:lang w:val="en-GB"/>
        </w:rPr>
        <w:t>ambient</w:t>
      </w:r>
      <w:proofErr w:type="spellEnd"/>
      <w:r>
        <w:rPr>
          <w:rFonts w:cs="Times New Roman"/>
          <w:color w:val="000000" w:themeColor="text1"/>
          <w:sz w:val="24"/>
          <w:szCs w:val="24"/>
          <w:lang w:val="en-GB"/>
        </w:rPr>
        <w:t xml:space="preserve"> and </w:t>
      </w:r>
      <w:proofErr w:type="spellStart"/>
      <w:r>
        <w:rPr>
          <w:rFonts w:cs="Times New Roman"/>
          <w:color w:val="000000" w:themeColor="text1"/>
          <w:sz w:val="24"/>
          <w:szCs w:val="24"/>
          <w:lang w:val="en-GB"/>
        </w:rPr>
        <w:t>Effect</w:t>
      </w:r>
      <w:r>
        <w:rPr>
          <w:rFonts w:cs="Times New Roman"/>
          <w:color w:val="000000" w:themeColor="text1"/>
          <w:sz w:val="24"/>
          <w:szCs w:val="24"/>
          <w:vertAlign w:val="subscript"/>
          <w:lang w:val="en-GB"/>
        </w:rPr>
        <w:t>novel</w:t>
      </w:r>
      <w:proofErr w:type="spellEnd"/>
      <w:r>
        <w:rPr>
          <w:rFonts w:cs="Times New Roman"/>
          <w:color w:val="000000" w:themeColor="text1"/>
          <w:sz w:val="24"/>
          <w:szCs w:val="24"/>
          <w:vertAlign w:val="subscript"/>
          <w:lang w:val="en-GB"/>
        </w:rPr>
        <w:t xml:space="preserve"> </w:t>
      </w:r>
      <w:r>
        <w:rPr>
          <w:rFonts w:cs="Times New Roman"/>
          <w:color w:val="000000" w:themeColor="text1"/>
          <w:sz w:val="24"/>
          <w:szCs w:val="24"/>
          <w:lang w:val="en-GB"/>
        </w:rPr>
        <w:t>were compared to the responses of communities in the simultaneously running batch cycle eleven of the continued sorting phase. The statistical comparison was conducted with a two-way ANOVA with the factors CO</w:t>
      </w:r>
      <w:r>
        <w:rPr>
          <w:rFonts w:cs="Times New Roman"/>
          <w:color w:val="000000" w:themeColor="text1"/>
          <w:sz w:val="24"/>
          <w:szCs w:val="24"/>
          <w:vertAlign w:val="subscript"/>
          <w:lang w:val="en-GB"/>
        </w:rPr>
        <w:t>2</w:t>
      </w:r>
      <w:r>
        <w:rPr>
          <w:rFonts w:cs="Times New Roman"/>
          <w:color w:val="000000" w:themeColor="text1"/>
          <w:sz w:val="24"/>
          <w:szCs w:val="24"/>
          <w:lang w:val="en-GB"/>
        </w:rPr>
        <w:t xml:space="preserve"> and assay/sorting and using total cell abundance and the ratio between </w:t>
      </w:r>
      <w:r>
        <w:rPr>
          <w:rFonts w:cs="Times New Roman"/>
          <w:i/>
          <w:iCs/>
          <w:color w:val="000000" w:themeColor="text1"/>
          <w:sz w:val="24"/>
          <w:szCs w:val="24"/>
          <w:lang w:val="en-GB"/>
        </w:rPr>
        <w:t>E. huxleyi</w:t>
      </w:r>
      <w:r>
        <w:rPr>
          <w:rFonts w:cs="Times New Roman"/>
          <w:color w:val="000000" w:themeColor="text1"/>
          <w:sz w:val="24"/>
          <w:szCs w:val="24"/>
          <w:lang w:val="en-GB"/>
        </w:rPr>
        <w:t xml:space="preserve"> and </w:t>
      </w:r>
      <w:r>
        <w:rPr>
          <w:rFonts w:cs="Times New Roman"/>
          <w:i/>
          <w:iCs/>
          <w:color w:val="000000" w:themeColor="text1"/>
          <w:sz w:val="24"/>
          <w:szCs w:val="24"/>
          <w:lang w:val="en-GB"/>
        </w:rPr>
        <w:t xml:space="preserve">C. </w:t>
      </w:r>
      <w:proofErr w:type="spellStart"/>
      <w:r>
        <w:rPr>
          <w:rFonts w:cs="Times New Roman"/>
          <w:i/>
          <w:iCs/>
          <w:color w:val="000000" w:themeColor="text1"/>
          <w:sz w:val="24"/>
          <w:szCs w:val="24"/>
          <w:lang w:val="en-GB"/>
        </w:rPr>
        <w:t>affinis</w:t>
      </w:r>
      <w:proofErr w:type="spellEnd"/>
      <w:r>
        <w:rPr>
          <w:rFonts w:cs="Times New Roman"/>
          <w:i/>
          <w:iCs/>
          <w:color w:val="000000" w:themeColor="text1"/>
          <w:sz w:val="24"/>
          <w:szCs w:val="24"/>
          <w:lang w:val="en-GB"/>
        </w:rPr>
        <w:t xml:space="preserve"> </w:t>
      </w:r>
      <w:r>
        <w:rPr>
          <w:rFonts w:cs="Times New Roman"/>
          <w:color w:val="000000" w:themeColor="text1"/>
          <w:sz w:val="24"/>
          <w:szCs w:val="24"/>
          <w:lang w:val="en-GB"/>
        </w:rPr>
        <w:t>as response variables.</w:t>
      </w:r>
    </w:p>
    <w:p w14:paraId="4AC6BDB7" w14:textId="77777777" w:rsidR="00211D65" w:rsidRDefault="00211D65">
      <w:pPr>
        <w:spacing w:after="120" w:line="240" w:lineRule="auto"/>
        <w:jc w:val="both"/>
        <w:rPr>
          <w:rFonts w:cs="Times New Roman"/>
          <w:color w:val="000000"/>
          <w:sz w:val="24"/>
          <w:szCs w:val="24"/>
          <w:lang w:val="en-GB"/>
        </w:rPr>
      </w:pPr>
    </w:p>
    <w:p w14:paraId="4568F64A" w14:textId="77777777" w:rsidR="00211D65" w:rsidRDefault="009D3E4F">
      <w:pPr>
        <w:keepNext/>
        <w:spacing w:after="120" w:line="240" w:lineRule="auto"/>
        <w:jc w:val="both"/>
        <w:rPr>
          <w:rFonts w:cs="Times New Roman"/>
          <w:color w:val="000000"/>
          <w:sz w:val="24"/>
          <w:szCs w:val="24"/>
          <w:lang w:val="en-GB"/>
        </w:rPr>
      </w:pPr>
      <w:r>
        <w:rPr>
          <w:rFonts w:cs="Times New Roman"/>
          <w:noProof/>
          <w:color w:val="000000" w:themeColor="text1"/>
          <w:sz w:val="24"/>
          <w:szCs w:val="24"/>
          <w:lang w:val="en-GB" w:eastAsia="en-GB"/>
        </w:rPr>
        <mc:AlternateContent>
          <mc:Choice Requires="wpg">
            <w:drawing>
              <wp:inline distT="0" distB="0" distL="0" distR="0" wp14:anchorId="6C5B4472" wp14:editId="045DB790">
                <wp:extent cx="4762123" cy="2068503"/>
                <wp:effectExtent l="0" t="0" r="635" b="8255"/>
                <wp:docPr id="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4.png"/>
                        <pic:cNvPicPr>
                          <a:picLocks noChangeAspect="1"/>
                        </pic:cNvPicPr>
                      </pic:nvPicPr>
                      <pic:blipFill>
                        <a:blip r:embed="rId19"/>
                        <a:stretch/>
                      </pic:blipFill>
                      <pic:spPr bwMode="auto">
                        <a:xfrm>
                          <a:off x="0" y="0"/>
                          <a:ext cx="4776909" cy="207492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375.0pt;height:162.9pt;" stroked="false">
                <v:path textboxrect="0,0,0,0"/>
                <v:imagedata r:id="rId20" o:title=""/>
              </v:shape>
            </w:pict>
          </mc:Fallback>
        </mc:AlternateContent>
      </w:r>
    </w:p>
    <w:p w14:paraId="66BD426E" w14:textId="77777777" w:rsidR="00211D65" w:rsidRDefault="009D3E4F">
      <w:pPr>
        <w:jc w:val="both"/>
        <w:rPr>
          <w:rFonts w:eastAsia="Cambria" w:cs="Times New Roman"/>
          <w:iCs/>
          <w:color w:val="000000"/>
          <w:szCs w:val="21"/>
          <w:lang w:val="en-GB"/>
        </w:rPr>
      </w:pPr>
      <w:bookmarkStart w:id="14" w:name="_Toc67645317"/>
      <w:bookmarkStart w:id="15" w:name="_Toc79054745"/>
      <w:r>
        <w:rPr>
          <w:rStyle w:val="Heading3Char1"/>
          <w:lang w:val="en-US"/>
        </w:rPr>
        <w:t>Figure S2:</w:t>
      </w:r>
      <w:bookmarkEnd w:id="15"/>
      <w:r>
        <w:rPr>
          <w:lang w:val="en-US"/>
        </w:rPr>
        <w:t xml:space="preserve"> Total cell abundance and underlying relative contribution of </w:t>
      </w:r>
      <w:proofErr w:type="spellStart"/>
      <w:r>
        <w:rPr>
          <w:i/>
          <w:iCs/>
          <w:lang w:val="en-US"/>
        </w:rPr>
        <w:t>Chaetoceros</w:t>
      </w:r>
      <w:proofErr w:type="spellEnd"/>
      <w:r>
        <w:rPr>
          <w:i/>
          <w:iCs/>
          <w:lang w:val="en-US"/>
        </w:rPr>
        <w:t xml:space="preserve"> </w:t>
      </w:r>
      <w:proofErr w:type="spellStart"/>
      <w:r>
        <w:rPr>
          <w:i/>
          <w:iCs/>
          <w:lang w:val="en-US"/>
        </w:rPr>
        <w:t>affinis</w:t>
      </w:r>
      <w:proofErr w:type="spellEnd"/>
      <w:r>
        <w:rPr>
          <w:lang w:val="en-US"/>
        </w:rPr>
        <w:t xml:space="preserve"> and </w:t>
      </w:r>
      <w:proofErr w:type="spellStart"/>
      <w:r>
        <w:rPr>
          <w:i/>
          <w:iCs/>
          <w:lang w:val="en-US"/>
        </w:rPr>
        <w:t>Emiliania</w:t>
      </w:r>
      <w:proofErr w:type="spellEnd"/>
      <w:r>
        <w:rPr>
          <w:i/>
          <w:iCs/>
          <w:lang w:val="en-US"/>
        </w:rPr>
        <w:t xml:space="preserve"> huxleyi</w:t>
      </w:r>
      <w:r>
        <w:rPr>
          <w:lang w:val="en-US"/>
        </w:rPr>
        <w:t xml:space="preserve"> in communities after 88 days in the sorting phase (batch cycle 11) and the simultaneously running Eco-Evo assay communities under ambient and high (novel) CO</w:t>
      </w:r>
      <w:r>
        <w:rPr>
          <w:vertAlign w:val="subscript"/>
          <w:lang w:val="en-US"/>
        </w:rPr>
        <w:t>2</w:t>
      </w:r>
      <w:r>
        <w:rPr>
          <w:lang w:val="en-US"/>
        </w:rPr>
        <w:t>. Both, sorting phase and assay communities included the same inter- and intraspecific changes at the start and were exposed to the same environmental conditions. Mean values and standard deviations of n=5 replicates are shown</w:t>
      </w:r>
      <w:r>
        <w:rPr>
          <w:rFonts w:eastAsia="Cambria" w:cs="Times New Roman"/>
          <w:b/>
          <w:bCs/>
          <w:iCs/>
          <w:color w:val="000000" w:themeColor="text1"/>
          <w:szCs w:val="21"/>
          <w:lang w:val="en-GB"/>
        </w:rPr>
        <w:t>.</w:t>
      </w:r>
      <w:bookmarkEnd w:id="14"/>
    </w:p>
    <w:p w14:paraId="05AA7618" w14:textId="77777777" w:rsidR="00211D65" w:rsidRDefault="00211D65">
      <w:pPr>
        <w:spacing w:after="120" w:line="240" w:lineRule="auto"/>
        <w:jc w:val="both"/>
        <w:rPr>
          <w:rFonts w:cs="Times New Roman"/>
          <w:color w:val="000000"/>
          <w:sz w:val="24"/>
          <w:szCs w:val="24"/>
          <w:lang w:val="en-GB"/>
        </w:rPr>
      </w:pPr>
    </w:p>
    <w:p w14:paraId="77811B0E" w14:textId="77777777" w:rsidR="00211D65" w:rsidRDefault="009D3E4F">
      <w:pPr>
        <w:spacing w:after="120"/>
        <w:jc w:val="both"/>
        <w:rPr>
          <w:rFonts w:eastAsia="Cambria" w:cs="Times New Roman"/>
          <w:b/>
          <w:bCs/>
          <w:color w:val="000000"/>
          <w:sz w:val="24"/>
          <w:szCs w:val="24"/>
          <w:lang w:val="en-GB"/>
        </w:rPr>
      </w:pPr>
      <w:r>
        <w:rPr>
          <w:rFonts w:cs="Times New Roman"/>
          <w:color w:val="000000" w:themeColor="text1"/>
          <w:sz w:val="24"/>
          <w:szCs w:val="24"/>
          <w:lang w:val="en-GB"/>
        </w:rPr>
        <w:t xml:space="preserve">The comparison of the </w:t>
      </w:r>
      <w:proofErr w:type="spellStart"/>
      <w:r>
        <w:rPr>
          <w:rFonts w:cs="Times New Roman"/>
          <w:color w:val="000000" w:themeColor="text1"/>
          <w:sz w:val="24"/>
          <w:szCs w:val="24"/>
          <w:lang w:val="en-GB"/>
        </w:rPr>
        <w:t>Control</w:t>
      </w:r>
      <w:r>
        <w:rPr>
          <w:rFonts w:cs="Times New Roman"/>
          <w:color w:val="000000" w:themeColor="text1"/>
          <w:sz w:val="24"/>
          <w:szCs w:val="24"/>
          <w:vertAlign w:val="subscript"/>
          <w:lang w:val="en-GB"/>
        </w:rPr>
        <w:t>ambient</w:t>
      </w:r>
      <w:proofErr w:type="spellEnd"/>
      <w:r>
        <w:rPr>
          <w:rFonts w:cs="Times New Roman"/>
          <w:color w:val="000000" w:themeColor="text1"/>
          <w:sz w:val="24"/>
          <w:szCs w:val="24"/>
          <w:lang w:val="en-GB"/>
        </w:rPr>
        <w:t xml:space="preserve"> and </w:t>
      </w:r>
      <w:proofErr w:type="spellStart"/>
      <w:r>
        <w:rPr>
          <w:rFonts w:cs="Times New Roman"/>
          <w:color w:val="000000" w:themeColor="text1"/>
          <w:sz w:val="24"/>
          <w:szCs w:val="24"/>
          <w:lang w:val="en-GB"/>
        </w:rPr>
        <w:t>Effect</w:t>
      </w:r>
      <w:r>
        <w:rPr>
          <w:rFonts w:cs="Times New Roman"/>
          <w:color w:val="000000" w:themeColor="text1"/>
          <w:sz w:val="24"/>
          <w:szCs w:val="24"/>
          <w:vertAlign w:val="subscript"/>
          <w:lang w:val="en-GB"/>
        </w:rPr>
        <w:t>novel</w:t>
      </w:r>
      <w:proofErr w:type="spellEnd"/>
      <w:r>
        <w:rPr>
          <w:rFonts w:cs="Times New Roman"/>
          <w:color w:val="000000" w:themeColor="text1"/>
          <w:sz w:val="24"/>
          <w:szCs w:val="24"/>
          <w:lang w:val="en-GB"/>
        </w:rPr>
        <w:t xml:space="preserve"> assay communities with thos</w:t>
      </w:r>
      <w:r>
        <w:rPr>
          <w:rFonts w:cs="Times New Roman"/>
          <w:sz w:val="24"/>
          <w:szCs w:val="24"/>
          <w:lang w:val="en-GB"/>
        </w:rPr>
        <w:t>e of</w:t>
      </w:r>
      <w:r>
        <w:rPr>
          <w:rFonts w:cs="Times New Roman"/>
          <w:color w:val="000000" w:themeColor="text1"/>
          <w:sz w:val="24"/>
          <w:szCs w:val="24"/>
          <w:lang w:val="en-GB"/>
        </w:rPr>
        <w:t xml:space="preserve"> the sorting phase shows that the potential bottlenecks of (</w:t>
      </w:r>
      <w:proofErr w:type="spellStart"/>
      <w:r>
        <w:rPr>
          <w:rFonts w:cs="Times New Roman"/>
          <w:color w:val="000000" w:themeColor="text1"/>
          <w:sz w:val="24"/>
          <w:szCs w:val="24"/>
          <w:lang w:val="en-GB"/>
        </w:rPr>
        <w:t>i</w:t>
      </w:r>
      <w:proofErr w:type="spellEnd"/>
      <w:r>
        <w:rPr>
          <w:rFonts w:cs="Times New Roman"/>
          <w:color w:val="000000" w:themeColor="text1"/>
          <w:sz w:val="24"/>
          <w:szCs w:val="24"/>
          <w:lang w:val="en-GB"/>
        </w:rPr>
        <w:t>) imprecise artificial reassembly and (</w:t>
      </w:r>
      <w:bookmarkStart w:id="16" w:name="_Hlk34298058"/>
      <w:r>
        <w:rPr>
          <w:rFonts w:cs="Times New Roman"/>
          <w:color w:val="000000" w:themeColor="text1"/>
          <w:sz w:val="24"/>
          <w:szCs w:val="24"/>
          <w:lang w:val="en-GB"/>
        </w:rPr>
        <w:t>ii) potential shifts in species frequencies within the assay are not a concern.</w:t>
      </w:r>
      <w:bookmarkEnd w:id="16"/>
      <w:r>
        <w:rPr>
          <w:rFonts w:cs="Times New Roman"/>
          <w:color w:val="000000" w:themeColor="text1"/>
          <w:sz w:val="24"/>
          <w:szCs w:val="24"/>
          <w:lang w:val="en-GB"/>
        </w:rPr>
        <w:t xml:space="preserve"> Regarding (</w:t>
      </w:r>
      <w:proofErr w:type="spellStart"/>
      <w:r>
        <w:rPr>
          <w:rFonts w:cs="Times New Roman"/>
          <w:color w:val="000000" w:themeColor="text1"/>
          <w:sz w:val="24"/>
          <w:szCs w:val="24"/>
          <w:lang w:val="en-GB"/>
        </w:rPr>
        <w:t>i</w:t>
      </w:r>
      <w:proofErr w:type="spellEnd"/>
      <w:r>
        <w:rPr>
          <w:rFonts w:cs="Times New Roman"/>
          <w:color w:val="000000" w:themeColor="text1"/>
          <w:sz w:val="24"/>
          <w:szCs w:val="24"/>
          <w:lang w:val="en-GB"/>
        </w:rPr>
        <w:t xml:space="preserve">), the precision of the artificial assemblage was reflected in no detectable differences in total abundance between those assay communities that were artificially assembled, but not compositionally manipulated, and the corresponding communities of the sorting phase (Supplement Fig. S2; </w:t>
      </w:r>
      <w:r>
        <w:rPr>
          <w:rFonts w:cs="Times New Roman"/>
          <w:i/>
          <w:color w:val="000000" w:themeColor="text1"/>
          <w:sz w:val="24"/>
          <w:szCs w:val="24"/>
          <w:lang w:val="en-GB"/>
        </w:rPr>
        <w:t>F</w:t>
      </w:r>
      <w:r>
        <w:rPr>
          <w:rFonts w:cs="Times New Roman"/>
          <w:i/>
          <w:color w:val="000000" w:themeColor="text1"/>
          <w:sz w:val="24"/>
          <w:szCs w:val="24"/>
          <w:vertAlign w:val="subscript"/>
          <w:lang w:val="en-GB"/>
        </w:rPr>
        <w:t xml:space="preserve">1, 17 </w:t>
      </w:r>
      <w:r>
        <w:rPr>
          <w:rFonts w:cs="Times New Roman"/>
          <w:i/>
          <w:color w:val="000000" w:themeColor="text1"/>
          <w:sz w:val="24"/>
          <w:szCs w:val="24"/>
          <w:lang w:val="en-GB"/>
        </w:rPr>
        <w:t>= 2.16, p = 0.16</w:t>
      </w:r>
      <w:r>
        <w:rPr>
          <w:rFonts w:cs="Times New Roman"/>
          <w:color w:val="000000" w:themeColor="text1"/>
          <w:sz w:val="24"/>
          <w:szCs w:val="24"/>
          <w:lang w:val="en-GB"/>
        </w:rPr>
        <w:t>). Not only was the abundance decline in response to high CO</w:t>
      </w:r>
      <w:r>
        <w:rPr>
          <w:rFonts w:cs="Times New Roman"/>
          <w:color w:val="000000" w:themeColor="text1"/>
          <w:sz w:val="24"/>
          <w:szCs w:val="24"/>
          <w:vertAlign w:val="subscript"/>
          <w:lang w:val="en-GB"/>
        </w:rPr>
        <w:t>2</w:t>
      </w:r>
      <w:r>
        <w:rPr>
          <w:rFonts w:cs="Times New Roman"/>
          <w:color w:val="000000" w:themeColor="text1"/>
          <w:sz w:val="24"/>
          <w:szCs w:val="24"/>
          <w:lang w:val="en-GB"/>
        </w:rPr>
        <w:t xml:space="preserve"> of comparable magnitude in both, the Eco-Evo assay and the sorting phase, but also the ratio between </w:t>
      </w:r>
      <w:r>
        <w:rPr>
          <w:rFonts w:cs="Times New Roman"/>
          <w:i/>
          <w:color w:val="000000" w:themeColor="text1"/>
          <w:sz w:val="24"/>
          <w:szCs w:val="24"/>
          <w:lang w:val="en-GB"/>
        </w:rPr>
        <w:t>E. huxleyi</w:t>
      </w:r>
      <w:r>
        <w:rPr>
          <w:rFonts w:cs="Times New Roman"/>
          <w:color w:val="000000" w:themeColor="text1"/>
          <w:sz w:val="24"/>
          <w:szCs w:val="24"/>
          <w:lang w:val="en-GB"/>
        </w:rPr>
        <w:t xml:space="preserve"> and </w:t>
      </w:r>
      <w:r>
        <w:rPr>
          <w:rFonts w:cs="Times New Roman"/>
          <w:i/>
          <w:color w:val="000000" w:themeColor="text1"/>
          <w:sz w:val="24"/>
          <w:szCs w:val="24"/>
          <w:lang w:val="en-GB"/>
        </w:rPr>
        <w:t xml:space="preserve">C. </w:t>
      </w:r>
      <w:proofErr w:type="spellStart"/>
      <w:r>
        <w:rPr>
          <w:rFonts w:cs="Times New Roman"/>
          <w:i/>
          <w:color w:val="000000" w:themeColor="text1"/>
          <w:sz w:val="24"/>
          <w:szCs w:val="24"/>
          <w:lang w:val="en-GB"/>
        </w:rPr>
        <w:t>affinis</w:t>
      </w:r>
      <w:proofErr w:type="spellEnd"/>
      <w:r>
        <w:rPr>
          <w:rFonts w:cs="Times New Roman"/>
          <w:color w:val="000000" w:themeColor="text1"/>
          <w:sz w:val="24"/>
          <w:szCs w:val="24"/>
          <w:lang w:val="en-GB"/>
        </w:rPr>
        <w:t xml:space="preserve"> was preserved in reassembled assay communities (Supplement Fig. S2). Regarding (ii), species compositional shifts in the assay were marginal. The initial species composition left a strong signature towards the end of the batch cycle. Specifically, the </w:t>
      </w:r>
      <w:proofErr w:type="spellStart"/>
      <w:r>
        <w:rPr>
          <w:rFonts w:cs="Times New Roman"/>
          <w:color w:val="000000" w:themeColor="text1"/>
          <w:sz w:val="24"/>
          <w:szCs w:val="24"/>
          <w:lang w:val="en-GB"/>
        </w:rPr>
        <w:t>Effect</w:t>
      </w:r>
      <w:r>
        <w:rPr>
          <w:rFonts w:cs="Times New Roman"/>
          <w:color w:val="000000" w:themeColor="text1"/>
          <w:sz w:val="24"/>
          <w:szCs w:val="24"/>
          <w:vertAlign w:val="subscript"/>
          <w:lang w:val="en-GB"/>
        </w:rPr>
        <w:t>novel</w:t>
      </w:r>
      <w:proofErr w:type="spellEnd"/>
      <w:r>
        <w:rPr>
          <w:rFonts w:cs="Times New Roman"/>
          <w:color w:val="000000" w:themeColor="text1"/>
          <w:sz w:val="24"/>
          <w:szCs w:val="24"/>
          <w:lang w:val="en-GB"/>
        </w:rPr>
        <w:t xml:space="preserve">, Eco and </w:t>
      </w:r>
      <w:proofErr w:type="spellStart"/>
      <w:r>
        <w:rPr>
          <w:rFonts w:cs="Times New Roman"/>
          <w:color w:val="000000" w:themeColor="text1"/>
          <w:sz w:val="24"/>
          <w:szCs w:val="24"/>
          <w:lang w:val="en-GB"/>
        </w:rPr>
        <w:t>EcoEvo</w:t>
      </w:r>
      <w:proofErr w:type="spellEnd"/>
      <w:r>
        <w:rPr>
          <w:rFonts w:cs="Times New Roman"/>
          <w:color w:val="000000" w:themeColor="text1"/>
          <w:sz w:val="24"/>
          <w:szCs w:val="24"/>
          <w:lang w:val="en-GB"/>
        </w:rPr>
        <w:t xml:space="preserve"> assay community starting, compared to </w:t>
      </w:r>
      <w:proofErr w:type="spellStart"/>
      <w:r>
        <w:rPr>
          <w:rFonts w:cs="Times New Roman"/>
          <w:color w:val="000000" w:themeColor="text1"/>
          <w:sz w:val="24"/>
          <w:szCs w:val="24"/>
          <w:lang w:val="en-GB"/>
        </w:rPr>
        <w:t>Control</w:t>
      </w:r>
      <w:r>
        <w:rPr>
          <w:rFonts w:cs="Times New Roman"/>
          <w:color w:val="000000" w:themeColor="text1"/>
          <w:sz w:val="24"/>
          <w:szCs w:val="24"/>
          <w:vertAlign w:val="subscript"/>
          <w:lang w:val="en-GB"/>
        </w:rPr>
        <w:t>ambient</w:t>
      </w:r>
      <w:proofErr w:type="spellEnd"/>
      <w:r>
        <w:rPr>
          <w:rFonts w:cs="Times New Roman"/>
          <w:color w:val="000000" w:themeColor="text1"/>
          <w:sz w:val="24"/>
          <w:szCs w:val="24"/>
          <w:lang w:val="en-GB"/>
        </w:rPr>
        <w:t xml:space="preserve"> and Evo communities, with lower </w:t>
      </w:r>
      <w:r>
        <w:rPr>
          <w:rFonts w:cs="Times New Roman"/>
          <w:i/>
          <w:color w:val="000000" w:themeColor="text1"/>
          <w:sz w:val="24"/>
          <w:szCs w:val="24"/>
          <w:lang w:val="en-GB"/>
        </w:rPr>
        <w:t>E. huxleyi</w:t>
      </w:r>
      <w:r>
        <w:rPr>
          <w:rFonts w:cs="Times New Roman"/>
          <w:color w:val="000000" w:themeColor="text1"/>
          <w:sz w:val="24"/>
          <w:szCs w:val="24"/>
          <w:lang w:val="en-GB"/>
        </w:rPr>
        <w:t xml:space="preserve"> abundances showed this reduced share also at the end of the assay (Fig. 3A). This is in line with other biodiversity ecosystem functioning experiments using phytoplankton, in which the species composition was manipulated at the onset of plankton growth and equal or significantly stronger effects of initial species composition compared to an environmental driver were shown during bloom </w:t>
      </w:r>
      <w:r>
        <w:rPr>
          <w:rFonts w:cs="Times New Roman"/>
          <w:color w:val="000000" w:themeColor="text1"/>
          <w:sz w:val="24"/>
          <w:szCs w:val="24"/>
          <w:lang w:val="en-GB"/>
        </w:rPr>
        <w:fldChar w:fldCharType="begin" w:fldLock="1"/>
      </w:r>
      <w:r>
        <w:rPr>
          <w:rFonts w:cs="Times New Roman"/>
          <w:color w:val="000000" w:themeColor="text1"/>
          <w:sz w:val="24"/>
          <w:szCs w:val="24"/>
          <w:lang w:val="en-GB"/>
        </w:rPr>
        <w:instrText>ADDIN CSL_CITATION {"citationItems":[{"id":"ITEM-1","itemData":{"DOI":"10.1111/gcb.12421","ISBN":"1365-2486 (Electronic)\\r1354-1013 (Linking)","ISSN":"13541013","PMID":"24115206","abstract":"Ecosystem functioning is simultaneously affected by changes in community composition and environmental change such as increasing atmospheric carbon dioxide (CO2 ) and subsequent ocean acidification. However, it largely remains uncertain how the effects of these factors compare to each other. Addressing this question, we experimentally tested the hypothesis that initial community composition and elevated CO2 are equally important to the regulation of phytoplankton biomass. We full-factorially exposed three compositionally different marine phytoplankton communities to two different CO2 levels and examined the effects and relative importance (ω(2) ) of the two factors and their interaction on phytoplankton biomass at bloom peak. The results showed that initial community composition had a significantly greater impact than elevated CO2 on phytoplankton biomass, which varied largely among communities. We suggest that the different initial ratios between cyanobacteria, diatoms, and dinoflagellates might be the key for the varying competitive and thus functional outcome among communities. Furthermore, the results showed that depending on initial community composition elevated CO2 selected for larger sized diatoms, which led to increased total phytoplankton biomass. This study highlights the relevance of initial community composition, which strongly drives the functional outcome, when assessing impacts of climate change on ecosystem functioning. In particular, the increase in phytoplankton biomass driven by the gain of larger sized diatoms in response to elevated CO2 potentially has strong implications for nutrient cycling and carbon export in future oceans.","author":[{"dropping-particle":"","family":"Eggers","given":"Sarah L.","non-dropping-particle":"","parse-names":false,"suffix":""},{"dropping-particle":"","family":"Lewandowska","given":"Aleksandra M.","non-dropping-particle":"","parse-names":false,"suffix":""},{"dropping-particle":"","family":"Barcelos e Ramos","given":"Joana","non-dropping-particle":"","parse-names":false,"suffix":""},{"dropping-particle":"","family":"Blanco-Ameijeiras","given":"Sonia","non-dropping-particle":"","parse-names":false,"suffix":""},{"dropping-particle":"","family":"Gallo","given":"Francesca","non-dropping-particle":"","parse-names":false,"suffix":""},{"dropping-particle":"","family":"Matthiessen","given":"Birte","non-dropping-particle":"","parse-names":false,"suffix":""}],"container-title":"Global Change Biology","id":"ITEM-1","issue":"3","issued":{"date-parts":[["2014"]]},"page":"713-723","title":"Community composition has greater impact on the functioning of marine phytoplankton communities than ocean acidification","type":"article-journal","volume":"20"},"uris":["http://www.mendeley.com/documents/?uuid=58df2025-7aec-4ebe-afd7-bf0bbbc48035"]}],"mendeley":{"formattedCitation":"(Eggers et al. 2014)","plainTextFormattedCitation":"(Eggers et al. 2014)","previouslyFormattedCitation":"(Eggers et al. 2014)"},"properties":{"noteIndex":0},"schema":"https://github.com/citation-style-language/schema/raw/master/csl-citation.json"}</w:instrText>
      </w:r>
      <w:r>
        <w:rPr>
          <w:rFonts w:cs="Times New Roman"/>
          <w:color w:val="000000" w:themeColor="text1"/>
          <w:sz w:val="24"/>
          <w:szCs w:val="24"/>
          <w:lang w:val="en-GB"/>
        </w:rPr>
        <w:fldChar w:fldCharType="separate"/>
      </w:r>
      <w:r>
        <w:rPr>
          <w:rFonts w:cs="Times New Roman"/>
          <w:noProof/>
          <w:color w:val="000000" w:themeColor="text1"/>
          <w:sz w:val="24"/>
          <w:szCs w:val="24"/>
          <w:lang w:val="en-GB"/>
        </w:rPr>
        <w:t>(Eggers et al. 2014)</w:t>
      </w:r>
      <w:r>
        <w:rPr>
          <w:rFonts w:cs="Times New Roman"/>
          <w:color w:val="000000" w:themeColor="text1"/>
          <w:sz w:val="24"/>
          <w:szCs w:val="24"/>
          <w:lang w:val="en-GB"/>
        </w:rPr>
        <w:fldChar w:fldCharType="end"/>
      </w:r>
      <w:r>
        <w:rPr>
          <w:rFonts w:cs="Times New Roman"/>
          <w:color w:val="000000" w:themeColor="text1"/>
          <w:sz w:val="24"/>
          <w:szCs w:val="24"/>
          <w:lang w:val="en-GB"/>
        </w:rPr>
        <w:t>.</w:t>
      </w:r>
      <w:r>
        <w:rPr>
          <w:rFonts w:cs="Times New Roman"/>
          <w:color w:val="000000" w:themeColor="text1"/>
          <w:sz w:val="24"/>
          <w:szCs w:val="24"/>
          <w:lang w:val="en-GB"/>
        </w:rPr>
        <w:br w:type="page"/>
      </w:r>
    </w:p>
    <w:p w14:paraId="2EF7EBF6" w14:textId="77777777" w:rsidR="00211D65" w:rsidRDefault="009D3E4F">
      <w:pPr>
        <w:pStyle w:val="Heading1"/>
        <w:spacing w:before="0" w:after="120" w:line="240" w:lineRule="auto"/>
        <w:jc w:val="both"/>
        <w:rPr>
          <w:rFonts w:ascii="Times New Roman" w:hAnsi="Times New Roman" w:cs="Times New Roman"/>
          <w:color w:val="000000"/>
          <w:sz w:val="24"/>
          <w:szCs w:val="24"/>
          <w:lang w:val="en-GB"/>
        </w:rPr>
      </w:pPr>
      <w:bookmarkStart w:id="17" w:name="_Toc67645318"/>
      <w:bookmarkStart w:id="18" w:name="_Toc79054746"/>
      <w:r>
        <w:rPr>
          <w:rFonts w:ascii="Times New Roman" w:hAnsi="Times New Roman" w:cs="Times New Roman"/>
          <w:color w:val="000000" w:themeColor="text1"/>
          <w:sz w:val="24"/>
          <w:szCs w:val="24"/>
          <w:lang w:val="en-GB"/>
        </w:rPr>
        <w:lastRenderedPageBreak/>
        <w:t>Section 4: Additional assessment of intraspecific changes in the sorting phase</w:t>
      </w:r>
      <w:bookmarkEnd w:id="18"/>
      <w:r>
        <w:rPr>
          <w:rFonts w:ascii="Times New Roman" w:hAnsi="Times New Roman" w:cs="Times New Roman"/>
          <w:color w:val="000000" w:themeColor="text1"/>
          <w:sz w:val="24"/>
          <w:szCs w:val="24"/>
          <w:lang w:val="en-GB"/>
        </w:rPr>
        <w:t xml:space="preserve"> </w:t>
      </w:r>
      <w:bookmarkEnd w:id="17"/>
    </w:p>
    <w:p w14:paraId="78240A37" w14:textId="77777777" w:rsidR="00211D65" w:rsidRDefault="009D3E4F">
      <w:pPr>
        <w:spacing w:after="120"/>
        <w:jc w:val="both"/>
        <w:rPr>
          <w:rFonts w:cs="Times New Roman"/>
          <w:color w:val="000000"/>
          <w:sz w:val="24"/>
          <w:szCs w:val="24"/>
          <w:lang w:val="en-GB"/>
        </w:rPr>
      </w:pPr>
      <w:r>
        <w:rPr>
          <w:rFonts w:cs="Times New Roman"/>
          <w:color w:val="000000" w:themeColor="text1"/>
          <w:sz w:val="24"/>
          <w:szCs w:val="24"/>
          <w:lang w:val="en-GB"/>
        </w:rPr>
        <w:t xml:space="preserve">We assessed genotype-frequency change of </w:t>
      </w:r>
      <w:r>
        <w:rPr>
          <w:rFonts w:cs="Times New Roman"/>
          <w:i/>
          <w:color w:val="000000" w:themeColor="text1"/>
          <w:sz w:val="24"/>
          <w:szCs w:val="24"/>
          <w:lang w:val="en-GB"/>
        </w:rPr>
        <w:t>E. huxleyi</w:t>
      </w:r>
      <w:r>
        <w:rPr>
          <w:rFonts w:cs="Times New Roman"/>
          <w:color w:val="000000" w:themeColor="text1"/>
          <w:sz w:val="24"/>
          <w:szCs w:val="24"/>
          <w:lang w:val="en-GB"/>
        </w:rPr>
        <w:t xml:space="preserve"> throughout the sorting phase. This was not required in order to apply the Eco-Evo assay, however, provides an “internal” quality check for the assay (where manipulation of intraspecific changes should mainly reflect genotype composition shifts). Practically, 20 </w:t>
      </w:r>
      <w:r>
        <w:rPr>
          <w:rFonts w:cs="Times New Roman"/>
          <w:i/>
          <w:color w:val="000000" w:themeColor="text1"/>
          <w:sz w:val="24"/>
          <w:szCs w:val="24"/>
          <w:lang w:val="en-GB"/>
        </w:rPr>
        <w:t>E. huxleyi</w:t>
      </w:r>
      <w:r>
        <w:rPr>
          <w:rFonts w:cs="Times New Roman"/>
          <w:color w:val="000000" w:themeColor="text1"/>
          <w:sz w:val="24"/>
          <w:szCs w:val="24"/>
          <w:lang w:val="en-GB"/>
        </w:rPr>
        <w:t xml:space="preserve"> cells per replicate were re-isolated after 8, 32, 64 and 80 days. The isolated cells were grown for a minimum of two weeks prior to genotype identification with microsatellites (for details see </w:t>
      </w:r>
      <w:r>
        <w:rPr>
          <w:rFonts w:cs="Times New Roman"/>
          <w:color w:val="000000" w:themeColor="text1"/>
          <w:sz w:val="24"/>
          <w:szCs w:val="24"/>
          <w:lang w:val="en-GB"/>
        </w:rPr>
        <w:fldChar w:fldCharType="begin" w:fldLock="1"/>
      </w:r>
      <w:r>
        <w:rPr>
          <w:rFonts w:cs="Times New Roman"/>
          <w:color w:val="000000" w:themeColor="text1"/>
          <w:sz w:val="24"/>
          <w:szCs w:val="24"/>
          <w:lang w:val="en-GB"/>
        </w:rPr>
        <w:instrText>ADDIN CSL_CITATION {"citationItems":[{"id":"ITEM-1","itemData":{"DOI":"DOI: 10.1098/rsbl.2016.0774","ISBN":"1744-9561","abstract":"Phenotypic plasticity describes the phenotypic adjustment of the same genotype to different environmental conditions and is best described by a reaction norm. We focus on the effect of ocean acidification (OA) on inter - and intraspecific reaction norms of three globally important phytoplankton species (Emiliania huxleyi, Gephyrocapsa oceanica, Chaetoceros affinis). Despite significant differences in growth rates between the species, they all showed a high potential for phenotypic buffering (no significant difference in growth rates between ambient and high CO2 condition). Only three coccolithophore genotypes showed a reduced growth in high CO2. Largely diverging responses to high CO2 of single coc-colithophore genotypes compared to the respective mean species responses, however, raise the question if an extrapolation to the population level is possible from single genotype experiments. We therefore compared the mean response of all tested genotypes to a total species response comprising the same genotypes, which was not significantly different in the coccolithophores. Assessing species reac-tion norm to different environmental conditions on short time scale in a genotype-mix could thus reduce sampling effort while increasing predictive power.","author":[{"dropping-particle":"","family":"Hattich","given":"Giannina S. I.","non-dropping-particle":"","parse-names":false,"suffix":""},{"dropping-particle":"","family":"Listmann","given":"Luisa","non-dropping-particle":"","parse-names":false,"suffix":""},{"dropping-particle":"","family":"Raab","given":"Julia","non-dropping-particle":"","parse-names":false,"suffix":""},{"dropping-particle":"","family":"Ozod-Seradj","given":"Dorthe","non-dropping-particle":"","parse-names":false,"suffix":""},{"dropping-particle":"","family":"Reusch","given":"Thorsten B. H.","non-dropping-particle":"","parse-names":false,"suffix":""},{"dropping-particle":"","family":"Matthiessen","given":"Birte","non-dropping-particle":"","parse-names":false,"suffix":""}],"container-title":"Biology Letters","id":"ITEM-1","issued":{"date-parts":[["2017"]]},"page":"1-4","title":"Inter- and intraspecific phenotypic plasticity of three phytoplankton species in response to ocean acidification","type":"article-journal","volume":"13"},"uris":["http://www.mendeley.com/documents/?uuid=9b3a32da-cfa7-46cc-9b33-b665e7107eef"]}],"mendeley":{"formattedCitation":"(Hattich et al. 2017)","manualFormatting":"Hattich et al. 2017)","plainTextFormattedCitation":"(Hattich et al. 2017)","previouslyFormattedCitation":"(Hattich et al. 2017)"},"properties":{"noteIndex":0},"schema":"https://github.com/citation-style-language/schema/raw/master/csl-citation.json"}</w:instrText>
      </w:r>
      <w:r>
        <w:rPr>
          <w:rFonts w:cs="Times New Roman"/>
          <w:color w:val="000000" w:themeColor="text1"/>
          <w:sz w:val="24"/>
          <w:szCs w:val="24"/>
          <w:lang w:val="en-GB"/>
        </w:rPr>
        <w:fldChar w:fldCharType="separate"/>
      </w:r>
      <w:r>
        <w:rPr>
          <w:rFonts w:cs="Times New Roman"/>
          <w:noProof/>
          <w:color w:val="000000" w:themeColor="text1"/>
          <w:sz w:val="24"/>
          <w:szCs w:val="24"/>
          <w:lang w:val="en-GB"/>
        </w:rPr>
        <w:t>Hattich et al. 2017)</w:t>
      </w:r>
      <w:r>
        <w:rPr>
          <w:rFonts w:cs="Times New Roman"/>
          <w:color w:val="000000" w:themeColor="text1"/>
          <w:sz w:val="24"/>
          <w:szCs w:val="24"/>
          <w:lang w:val="en-GB"/>
        </w:rPr>
        <w:fldChar w:fldCharType="end"/>
      </w:r>
      <w:r>
        <w:rPr>
          <w:rFonts w:cs="Times New Roman"/>
          <w:color w:val="000000" w:themeColor="text1"/>
          <w:sz w:val="24"/>
          <w:szCs w:val="24"/>
          <w:lang w:val="en-GB"/>
        </w:rPr>
        <w:t xml:space="preserve">. </w:t>
      </w:r>
    </w:p>
    <w:p w14:paraId="19A8D59F" w14:textId="77777777" w:rsidR="00211D65" w:rsidRDefault="009D3E4F">
      <w:pPr>
        <w:spacing w:after="120" w:line="240" w:lineRule="auto"/>
        <w:jc w:val="both"/>
        <w:rPr>
          <w:rFonts w:cs="Times New Roman"/>
          <w:color w:val="000000"/>
          <w:sz w:val="24"/>
          <w:szCs w:val="24"/>
          <w:lang w:val="en-GB"/>
        </w:rPr>
      </w:pPr>
      <w:r>
        <w:rPr>
          <w:rFonts w:cs="Times New Roman"/>
          <w:noProof/>
          <w:color w:val="000000" w:themeColor="text1"/>
          <w:sz w:val="24"/>
          <w:szCs w:val="24"/>
          <w:lang w:val="en-GB" w:eastAsia="en-GB"/>
        </w:rPr>
        <mc:AlternateContent>
          <mc:Choice Requires="wpg">
            <w:drawing>
              <wp:inline distT="0" distB="0" distL="0" distR="0" wp14:anchorId="1A57C364" wp14:editId="33EF9005">
                <wp:extent cx="5760864" cy="2932335"/>
                <wp:effectExtent l="0" t="0" r="0" b="1905"/>
                <wp:docPr id="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5.png"/>
                        <pic:cNvPicPr>
                          <a:picLocks noChangeAspect="1"/>
                        </pic:cNvPicPr>
                      </pic:nvPicPr>
                      <pic:blipFill>
                        <a:blip r:embed="rId21"/>
                        <a:stretch/>
                      </pic:blipFill>
                      <pic:spPr bwMode="auto">
                        <a:xfrm>
                          <a:off x="0" y="0"/>
                          <a:ext cx="5760864" cy="293233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453.6pt;height:230.9pt;" stroked="false">
                <v:path textboxrect="0,0,0,0"/>
                <v:imagedata r:id="rId22" o:title=""/>
              </v:shape>
            </w:pict>
          </mc:Fallback>
        </mc:AlternateContent>
      </w:r>
    </w:p>
    <w:p w14:paraId="7D17EF21" w14:textId="77777777" w:rsidR="00211D65" w:rsidRDefault="009D3E4F">
      <w:pPr>
        <w:jc w:val="both"/>
        <w:rPr>
          <w:rFonts w:eastAsia="Cambria" w:cs="Times New Roman"/>
          <w:iCs/>
          <w:szCs w:val="21"/>
          <w:lang w:val="en-GB"/>
        </w:rPr>
      </w:pPr>
      <w:bookmarkStart w:id="19" w:name="_Toc67645319"/>
      <w:bookmarkStart w:id="20" w:name="_Toc79054747"/>
      <w:r>
        <w:rPr>
          <w:rStyle w:val="Heading3Char1"/>
          <w:lang w:val="en-US"/>
        </w:rPr>
        <w:t>Figure S3:</w:t>
      </w:r>
      <w:bookmarkEnd w:id="20"/>
      <w:r>
        <w:rPr>
          <w:lang w:val="en-US"/>
        </w:rPr>
        <w:t xml:space="preserve"> Genotype frequency of </w:t>
      </w:r>
      <w:proofErr w:type="spellStart"/>
      <w:r>
        <w:rPr>
          <w:i/>
          <w:iCs/>
          <w:lang w:val="en-US"/>
        </w:rPr>
        <w:t>Emiliania</w:t>
      </w:r>
      <w:proofErr w:type="spellEnd"/>
      <w:r>
        <w:rPr>
          <w:i/>
          <w:iCs/>
          <w:lang w:val="en-US"/>
        </w:rPr>
        <w:t xml:space="preserve"> huxleyi</w:t>
      </w:r>
      <w:r>
        <w:rPr>
          <w:lang w:val="en-US"/>
        </w:rPr>
        <w:t xml:space="preserve"> under ambient and high (novel) CO</w:t>
      </w:r>
      <w:r>
        <w:rPr>
          <w:vertAlign w:val="subscript"/>
          <w:lang w:val="en-US"/>
        </w:rPr>
        <w:t>2</w:t>
      </w:r>
      <w:r>
        <w:rPr>
          <w:lang w:val="en-US"/>
        </w:rPr>
        <w:t xml:space="preserve"> concentrations are shown for the start and four samplings over the 80 days of the sorting phase. Mean of N=83, 45, 71, 68 and N=82, 57, 76, 38 genotyped cells across all five replicates in ambient and high CO</w:t>
      </w:r>
      <w:r>
        <w:rPr>
          <w:vertAlign w:val="subscript"/>
          <w:lang w:val="en-US"/>
        </w:rPr>
        <w:t>2</w:t>
      </w:r>
      <w:r>
        <w:rPr>
          <w:lang w:val="en-US"/>
        </w:rPr>
        <w:t xml:space="preserve"> concentrations, respectively at day 8, 32, 64, and 80 (correspond to 5, 20, 40, and 50 generations).</w:t>
      </w:r>
      <w:bookmarkEnd w:id="19"/>
    </w:p>
    <w:p w14:paraId="1A3DB1F0" w14:textId="77777777" w:rsidR="00211D65" w:rsidRDefault="00211D65">
      <w:pPr>
        <w:spacing w:after="120" w:line="240" w:lineRule="auto"/>
        <w:rPr>
          <w:rFonts w:cs="Times New Roman"/>
          <w:sz w:val="24"/>
          <w:szCs w:val="24"/>
          <w:lang w:val="en-GB"/>
        </w:rPr>
      </w:pPr>
    </w:p>
    <w:p w14:paraId="4BDFFBDC" w14:textId="77777777" w:rsidR="00211D65" w:rsidRDefault="00211D65">
      <w:pPr>
        <w:spacing w:after="120" w:line="240" w:lineRule="auto"/>
        <w:jc w:val="both"/>
        <w:rPr>
          <w:rFonts w:cs="Times New Roman"/>
          <w:color w:val="000000"/>
          <w:sz w:val="24"/>
          <w:szCs w:val="24"/>
          <w:lang w:val="en-GB"/>
        </w:rPr>
      </w:pPr>
    </w:p>
    <w:p w14:paraId="6ACDFF2F" w14:textId="77777777" w:rsidR="00211D65" w:rsidRDefault="009D3E4F">
      <w:pPr>
        <w:keepNext/>
        <w:spacing w:after="120" w:line="240" w:lineRule="auto"/>
        <w:jc w:val="both"/>
        <w:rPr>
          <w:rFonts w:cs="Times New Roman"/>
          <w:color w:val="000000"/>
          <w:sz w:val="24"/>
          <w:szCs w:val="24"/>
          <w:lang w:val="en-GB"/>
        </w:rPr>
      </w:pPr>
      <w:r>
        <w:rPr>
          <w:rFonts w:cs="Times New Roman"/>
          <w:noProof/>
          <w:color w:val="000000" w:themeColor="text1"/>
          <w:sz w:val="24"/>
          <w:szCs w:val="24"/>
          <w:lang w:val="en-GB" w:eastAsia="en-GB"/>
        </w:rPr>
        <w:lastRenderedPageBreak/>
        <mc:AlternateContent>
          <mc:Choice Requires="wpg">
            <w:drawing>
              <wp:inline distT="0" distB="0" distL="0" distR="0" wp14:anchorId="0874EE9B" wp14:editId="08F25B2C">
                <wp:extent cx="5776111" cy="2888055"/>
                <wp:effectExtent l="0" t="0" r="0" b="7620"/>
                <wp:docPr id="6"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ährstoffverlauf_BC11.jpg"/>
                        <pic:cNvPicPr>
                          <a:picLocks noChangeAspect="1"/>
                        </pic:cNvPicPr>
                      </pic:nvPicPr>
                      <pic:blipFill>
                        <a:blip r:embed="rId23"/>
                        <a:stretch/>
                      </pic:blipFill>
                      <pic:spPr bwMode="auto">
                        <a:xfrm>
                          <a:off x="0" y="0"/>
                          <a:ext cx="5848924" cy="2924461"/>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454.8pt;height:227.4pt;">
                <v:path textboxrect="0,0,0,0"/>
                <v:imagedata r:id="rId24" o:title=""/>
              </v:shape>
            </w:pict>
          </mc:Fallback>
        </mc:AlternateContent>
      </w:r>
    </w:p>
    <w:p w14:paraId="7BC3AD39" w14:textId="77777777" w:rsidR="00211D65" w:rsidRDefault="009D3E4F">
      <w:pPr>
        <w:jc w:val="both"/>
        <w:rPr>
          <w:rFonts w:eastAsia="Cambria"/>
          <w:lang w:val="en-GB"/>
        </w:rPr>
      </w:pPr>
      <w:bookmarkStart w:id="21" w:name="_Toc67645320"/>
      <w:bookmarkStart w:id="22" w:name="_Toc79054748"/>
      <w:r>
        <w:rPr>
          <w:rStyle w:val="Heading3Char1"/>
          <w:lang w:val="en-US"/>
        </w:rPr>
        <w:t>Figure S4:</w:t>
      </w:r>
      <w:bookmarkEnd w:id="22"/>
      <w:r>
        <w:rPr>
          <w:lang w:val="en-GB"/>
        </w:rPr>
        <w:t xml:space="preserve"> </w:t>
      </w:r>
      <w:r>
        <w:rPr>
          <w:rFonts w:eastAsia="Cambria"/>
          <w:lang w:val="en-GB"/>
        </w:rPr>
        <w:t xml:space="preserve">Shows an exemplified nutrient uptake (nitrate N, phosphate P and silicate Si) by a community of </w:t>
      </w:r>
      <w:proofErr w:type="spellStart"/>
      <w:r>
        <w:rPr>
          <w:rFonts w:eastAsia="Cambria"/>
          <w:i/>
          <w:lang w:val="en-GB"/>
        </w:rPr>
        <w:t>Chaetoceros</w:t>
      </w:r>
      <w:proofErr w:type="spellEnd"/>
      <w:r>
        <w:rPr>
          <w:rFonts w:eastAsia="Cambria"/>
          <w:i/>
          <w:lang w:val="en-GB"/>
        </w:rPr>
        <w:t xml:space="preserve"> </w:t>
      </w:r>
      <w:proofErr w:type="spellStart"/>
      <w:r>
        <w:rPr>
          <w:rFonts w:eastAsia="Cambria"/>
          <w:i/>
          <w:lang w:val="en-GB"/>
        </w:rPr>
        <w:t>affinis</w:t>
      </w:r>
      <w:proofErr w:type="spellEnd"/>
      <w:r>
        <w:rPr>
          <w:rFonts w:eastAsia="Cambria"/>
          <w:lang w:val="en-GB"/>
        </w:rPr>
        <w:t xml:space="preserve"> and </w:t>
      </w:r>
      <w:proofErr w:type="spellStart"/>
      <w:r>
        <w:rPr>
          <w:rFonts w:eastAsia="Cambria"/>
          <w:i/>
          <w:lang w:val="en-GB"/>
        </w:rPr>
        <w:t>Emiliania</w:t>
      </w:r>
      <w:proofErr w:type="spellEnd"/>
      <w:r>
        <w:rPr>
          <w:rFonts w:eastAsia="Cambria"/>
          <w:i/>
          <w:lang w:val="en-GB"/>
        </w:rPr>
        <w:t xml:space="preserve"> huxleyi</w:t>
      </w:r>
      <w:r>
        <w:rPr>
          <w:rFonts w:eastAsia="Cambria"/>
          <w:lang w:val="en-GB"/>
        </w:rPr>
        <w:t xml:space="preserve"> (Mix) and single-species cultures of </w:t>
      </w:r>
      <w:r>
        <w:rPr>
          <w:rFonts w:eastAsia="Cambria"/>
          <w:i/>
          <w:lang w:val="en-GB"/>
        </w:rPr>
        <w:t xml:space="preserve">C. </w:t>
      </w:r>
      <w:proofErr w:type="spellStart"/>
      <w:r>
        <w:rPr>
          <w:rFonts w:eastAsia="Cambria"/>
          <w:i/>
          <w:lang w:val="en-GB"/>
        </w:rPr>
        <w:t>affinis</w:t>
      </w:r>
      <w:proofErr w:type="spellEnd"/>
      <w:r>
        <w:rPr>
          <w:rFonts w:eastAsia="Cambria"/>
          <w:lang w:val="en-GB"/>
        </w:rPr>
        <w:t xml:space="preserve"> including all 9 genotypes (Mono). In batch cycle 11 running simultaneously to the Eco-Evo assay, nutrient samples of each 3 replicates were taken at day 4, 5, 6 and 7, sterile filtered, stored in the freezer until analysis with a SAN++ System from </w:t>
      </w:r>
      <w:proofErr w:type="spellStart"/>
      <w:r>
        <w:rPr>
          <w:rFonts w:eastAsia="Cambria"/>
          <w:lang w:val="en-GB"/>
        </w:rPr>
        <w:t>Skalar</w:t>
      </w:r>
      <w:proofErr w:type="spellEnd"/>
      <w:r>
        <w:rPr>
          <w:rFonts w:eastAsia="Cambria"/>
          <w:lang w:val="en-GB"/>
        </w:rPr>
        <w:t xml:space="preserve">. At the start of each batch nutrients were added to the final concentrations of 19.59 ± 0.65 </w:t>
      </w:r>
      <w:proofErr w:type="spellStart"/>
      <w:r>
        <w:rPr>
          <w:rFonts w:eastAsia="Cambria"/>
          <w:lang w:val="en-GB"/>
        </w:rPr>
        <w:t>μmol</w:t>
      </w:r>
      <w:proofErr w:type="spellEnd"/>
      <w:r>
        <w:rPr>
          <w:lang w:val="en-GB"/>
        </w:rPr>
        <w:t xml:space="preserve"> </w:t>
      </w:r>
      <w:r>
        <w:rPr>
          <w:rFonts w:eastAsia="Cambria"/>
          <w:lang w:val="en-GB"/>
        </w:rPr>
        <w:t>L</w:t>
      </w:r>
      <w:r>
        <w:rPr>
          <w:vertAlign w:val="superscript"/>
          <w:lang w:val="en-GB"/>
        </w:rPr>
        <w:t>-1</w:t>
      </w:r>
      <w:r>
        <w:rPr>
          <w:rFonts w:eastAsia="Cambria"/>
          <w:lang w:val="en-GB"/>
        </w:rPr>
        <w:t xml:space="preserve"> nitrate, 0.97 ± 0.09 </w:t>
      </w:r>
      <w:proofErr w:type="spellStart"/>
      <w:r>
        <w:rPr>
          <w:rFonts w:eastAsia="Cambria"/>
          <w:lang w:val="en-GB"/>
        </w:rPr>
        <w:t>μmol</w:t>
      </w:r>
      <w:proofErr w:type="spellEnd"/>
      <w:r>
        <w:rPr>
          <w:rFonts w:eastAsia="Cambria"/>
          <w:lang w:val="en-GB"/>
        </w:rPr>
        <w:t xml:space="preserve">/L phosphate and 3.81 ± 0.55 </w:t>
      </w:r>
      <w:proofErr w:type="spellStart"/>
      <w:r>
        <w:rPr>
          <w:rFonts w:eastAsia="Cambria"/>
          <w:lang w:val="en-GB"/>
        </w:rPr>
        <w:t>μmol</w:t>
      </w:r>
      <w:proofErr w:type="spellEnd"/>
      <w:r>
        <w:rPr>
          <w:lang w:val="en-GB"/>
        </w:rPr>
        <w:t xml:space="preserve"> </w:t>
      </w:r>
      <w:r>
        <w:rPr>
          <w:rFonts w:eastAsia="Cambria"/>
          <w:lang w:val="en-GB"/>
        </w:rPr>
        <w:t>L</w:t>
      </w:r>
      <w:r>
        <w:rPr>
          <w:vertAlign w:val="superscript"/>
          <w:lang w:val="en-GB"/>
        </w:rPr>
        <w:t>-1</w:t>
      </w:r>
      <w:r>
        <w:rPr>
          <w:rFonts w:eastAsia="Cambria"/>
          <w:lang w:val="en-GB"/>
        </w:rPr>
        <w:t xml:space="preserve"> silicate.</w:t>
      </w:r>
      <w:bookmarkEnd w:id="21"/>
    </w:p>
    <w:p w14:paraId="1CD96D5A" w14:textId="77777777" w:rsidR="00211D65" w:rsidRDefault="00211D65">
      <w:pPr>
        <w:spacing w:after="120" w:line="240" w:lineRule="auto"/>
        <w:jc w:val="both"/>
        <w:rPr>
          <w:rFonts w:cs="Times New Roman"/>
          <w:color w:val="000000"/>
          <w:sz w:val="24"/>
          <w:szCs w:val="24"/>
          <w:lang w:val="en-GB"/>
        </w:rPr>
      </w:pPr>
    </w:p>
    <w:p w14:paraId="5C44E318" w14:textId="77777777" w:rsidR="00211D65" w:rsidRDefault="009D3E4F">
      <w:pPr>
        <w:pStyle w:val="HTMLPreformatted"/>
        <w:spacing w:after="120" w:line="240" w:lineRule="auto"/>
        <w:rPr>
          <w:rStyle w:val="Heading1Char1"/>
          <w:rFonts w:ascii="Times New Roman" w:hAnsi="Times New Roman" w:cs="Times New Roman"/>
          <w:color w:val="000000"/>
          <w:sz w:val="24"/>
          <w:szCs w:val="24"/>
          <w:lang w:val="en-GB"/>
        </w:rPr>
      </w:pPr>
      <w:r>
        <w:rPr>
          <w:rFonts w:ascii="Times New Roman" w:eastAsia="Cambria" w:hAnsi="Times New Roman" w:cs="Times New Roman"/>
          <w:b/>
          <w:bCs/>
          <w:noProof/>
          <w:color w:val="000000" w:themeColor="text1"/>
          <w:sz w:val="24"/>
          <w:szCs w:val="24"/>
          <w:lang w:val="en-GB" w:eastAsia="en-GB"/>
        </w:rPr>
        <mc:AlternateContent>
          <mc:Choice Requires="wpg">
            <w:drawing>
              <wp:inline distT="0" distB="0" distL="0" distR="0" wp14:anchorId="54A05690" wp14:editId="2625B944">
                <wp:extent cx="3399592" cy="2267894"/>
                <wp:effectExtent l="0" t="0" r="0" b="0"/>
                <wp:docPr id="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3 italic.png"/>
                        <pic:cNvPicPr>
                          <a:picLocks noChangeAspect="1"/>
                        </pic:cNvPicPr>
                      </pic:nvPicPr>
                      <pic:blipFill>
                        <a:blip r:embed="rId25"/>
                        <a:stretch/>
                      </pic:blipFill>
                      <pic:spPr bwMode="auto">
                        <a:xfrm>
                          <a:off x="0" y="0"/>
                          <a:ext cx="3406902" cy="2272771"/>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267.7pt;height:178.6pt;" stroked="false">
                <v:path textboxrect="0,0,0,0"/>
                <v:imagedata r:id="rId26" o:title=""/>
              </v:shape>
            </w:pict>
          </mc:Fallback>
        </mc:AlternateContent>
      </w:r>
    </w:p>
    <w:p w14:paraId="59C901E9" w14:textId="77777777" w:rsidR="00211D65" w:rsidRDefault="009D3E4F">
      <w:pPr>
        <w:jc w:val="both"/>
        <w:rPr>
          <w:b/>
          <w:bCs/>
          <w:lang w:val="en-GB"/>
        </w:rPr>
      </w:pPr>
      <w:bookmarkStart w:id="23" w:name="_Toc67645321"/>
      <w:bookmarkStart w:id="24" w:name="_Toc79054749"/>
      <w:r>
        <w:rPr>
          <w:rStyle w:val="Heading3Char1"/>
          <w:lang w:val="en-US"/>
        </w:rPr>
        <w:t>Figure S5:</w:t>
      </w:r>
      <w:bookmarkEnd w:id="24"/>
      <w:r>
        <w:rPr>
          <w:lang w:val="en-GB"/>
        </w:rPr>
        <w:t xml:space="preserve"> Total cell abundance of </w:t>
      </w:r>
      <w:proofErr w:type="spellStart"/>
      <w:r>
        <w:rPr>
          <w:i/>
          <w:lang w:val="en-GB"/>
        </w:rPr>
        <w:t>Chaetoceros</w:t>
      </w:r>
      <w:proofErr w:type="spellEnd"/>
      <w:r>
        <w:rPr>
          <w:i/>
          <w:lang w:val="en-GB"/>
        </w:rPr>
        <w:t xml:space="preserve"> </w:t>
      </w:r>
      <w:proofErr w:type="spellStart"/>
      <w:r>
        <w:rPr>
          <w:i/>
          <w:lang w:val="en-GB"/>
        </w:rPr>
        <w:t>affinis</w:t>
      </w:r>
      <w:proofErr w:type="spellEnd"/>
      <w:r>
        <w:rPr>
          <w:lang w:val="en-GB"/>
        </w:rPr>
        <w:t xml:space="preserve"> and </w:t>
      </w:r>
      <w:proofErr w:type="spellStart"/>
      <w:r>
        <w:rPr>
          <w:i/>
          <w:lang w:val="en-GB"/>
        </w:rPr>
        <w:t>Emiliania</w:t>
      </w:r>
      <w:proofErr w:type="spellEnd"/>
      <w:r>
        <w:rPr>
          <w:i/>
          <w:lang w:val="en-GB"/>
        </w:rPr>
        <w:t xml:space="preserve"> huxleyi</w:t>
      </w:r>
      <w:r>
        <w:rPr>
          <w:lang w:val="en-GB"/>
        </w:rPr>
        <w:t xml:space="preserve"> in single-species cultures (with nine genotypes) being exposed to the same laboratory conditions of ambient and high CO</w:t>
      </w:r>
      <w:r>
        <w:rPr>
          <w:vertAlign w:val="subscript"/>
          <w:lang w:val="en-GB"/>
        </w:rPr>
        <w:t>2</w:t>
      </w:r>
      <w:r>
        <w:rPr>
          <w:lang w:val="en-GB"/>
        </w:rPr>
        <w:t xml:space="preserve"> concentrations as used in the sorting phase. Data from batch cycle 11 running simultaneously to the Eco-Evo assay. Mean values and 95% CI of n=5 replicates are shown.</w:t>
      </w:r>
      <w:bookmarkEnd w:id="23"/>
    </w:p>
    <w:p w14:paraId="0F5B1A98" w14:textId="77777777" w:rsidR="00211D65" w:rsidRDefault="00211D65">
      <w:pPr>
        <w:pStyle w:val="Caption"/>
        <w:spacing w:after="120" w:line="240" w:lineRule="auto"/>
        <w:jc w:val="both"/>
        <w:rPr>
          <w:rFonts w:cs="Times New Roman"/>
          <w:b w:val="0"/>
          <w:bCs w:val="0"/>
          <w:color w:val="000000"/>
          <w:sz w:val="24"/>
          <w:szCs w:val="24"/>
          <w:lang w:val="en-GB"/>
        </w:rPr>
      </w:pPr>
    </w:p>
    <w:p w14:paraId="3517EF9E" w14:textId="77777777" w:rsidR="00211D65" w:rsidRDefault="009D3E4F">
      <w:pPr>
        <w:pStyle w:val="Caption"/>
        <w:spacing w:after="120" w:line="240" w:lineRule="auto"/>
        <w:jc w:val="both"/>
        <w:rPr>
          <w:rStyle w:val="Heading2Char1"/>
          <w:rFonts w:ascii="Times New Roman" w:hAnsi="Times New Roman" w:cs="Times New Roman"/>
          <w:b/>
          <w:bCs/>
          <w:color w:val="000000"/>
          <w:sz w:val="24"/>
          <w:szCs w:val="24"/>
          <w:lang w:val="en-GB"/>
        </w:rPr>
      </w:pPr>
      <w:r>
        <w:rPr>
          <w:rFonts w:eastAsia="Cambria" w:cs="Times New Roman"/>
          <w:i/>
          <w:noProof/>
          <w:color w:val="000000" w:themeColor="text1"/>
          <w:sz w:val="24"/>
          <w:szCs w:val="24"/>
          <w:lang w:val="en-GB" w:eastAsia="en-GB"/>
        </w:rPr>
        <w:lastRenderedPageBreak/>
        <mc:AlternateContent>
          <mc:Choice Requires="wpg">
            <w:drawing>
              <wp:inline distT="0" distB="0" distL="0" distR="0" wp14:anchorId="10412F36" wp14:editId="2FBCE55D">
                <wp:extent cx="3889970" cy="3635663"/>
                <wp:effectExtent l="0" t="0" r="0" b="3175"/>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lement4.png"/>
                        <pic:cNvPicPr>
                          <a:picLocks noChangeAspect="1"/>
                        </pic:cNvPicPr>
                      </pic:nvPicPr>
                      <pic:blipFill>
                        <a:blip r:embed="rId27"/>
                        <a:stretch/>
                      </pic:blipFill>
                      <pic:spPr bwMode="auto">
                        <a:xfrm>
                          <a:off x="0" y="0"/>
                          <a:ext cx="3889970" cy="363566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306.3pt;height:286.3pt;" stroked="false">
                <v:path textboxrect="0,0,0,0"/>
                <v:imagedata r:id="rId28" o:title=""/>
              </v:shape>
            </w:pict>
          </mc:Fallback>
        </mc:AlternateContent>
      </w:r>
    </w:p>
    <w:p w14:paraId="7250554A" w14:textId="77777777" w:rsidR="00211D65" w:rsidRDefault="009D3E4F">
      <w:pPr>
        <w:jc w:val="both"/>
        <w:rPr>
          <w:rFonts w:eastAsia="Cambria"/>
          <w:b/>
          <w:bCs/>
          <w:i/>
          <w:lang w:val="en-GB"/>
        </w:rPr>
      </w:pPr>
      <w:bookmarkStart w:id="25" w:name="_Toc79054750"/>
      <w:r>
        <w:rPr>
          <w:rStyle w:val="Heading3Char1"/>
          <w:lang w:val="en-US"/>
        </w:rPr>
        <w:t>Figure S6:</w:t>
      </w:r>
      <w:bookmarkEnd w:id="25"/>
      <w:r>
        <w:rPr>
          <w:rFonts w:eastAsia="Cambria"/>
          <w:b/>
          <w:bCs/>
          <w:lang w:val="en-GB"/>
        </w:rPr>
        <w:t xml:space="preserve"> </w:t>
      </w:r>
      <w:r>
        <w:rPr>
          <w:rFonts w:eastAsia="Cambria"/>
          <w:lang w:val="en-GB"/>
        </w:rPr>
        <w:t>Absolute changes in total abundance by Ecology, Evolution and their interaction (</w:t>
      </w:r>
      <w:proofErr w:type="spellStart"/>
      <w:r>
        <w:rPr>
          <w:rFonts w:eastAsia="Cambria"/>
          <w:lang w:val="en-GB"/>
        </w:rPr>
        <w:t>Eco×Evo</w:t>
      </w:r>
      <w:proofErr w:type="spellEnd"/>
      <w:r>
        <w:rPr>
          <w:rFonts w:eastAsia="Cambria"/>
          <w:lang w:val="en-GB"/>
        </w:rPr>
        <w:t xml:space="preserve">) as calculated in the Eco-Evo assay as well as </w:t>
      </w:r>
      <w:r>
        <w:rPr>
          <w:lang w:val="en-GB"/>
        </w:rPr>
        <w:t>reaction norm (RN) approach</w:t>
      </w:r>
      <w:r>
        <w:rPr>
          <w:rFonts w:eastAsia="Cambria"/>
          <w:lang w:val="en-GB"/>
        </w:rPr>
        <w:t xml:space="preserve"> </w:t>
      </w:r>
      <w:r>
        <w:rPr>
          <w:lang w:val="en-GB"/>
        </w:rPr>
        <w:t xml:space="preserve">and </w:t>
      </w:r>
      <w:r>
        <w:rPr>
          <w:rFonts w:eastAsia="Cambria"/>
          <w:lang w:val="en-GB"/>
        </w:rPr>
        <w:t xml:space="preserve">the Geber </w:t>
      </w:r>
      <w:r>
        <w:rPr>
          <w:lang w:val="en-GB"/>
        </w:rPr>
        <w:t>method</w:t>
      </w:r>
      <w:r>
        <w:rPr>
          <w:rFonts w:eastAsia="Cambria"/>
          <w:lang w:val="en-GB"/>
        </w:rPr>
        <w:t xml:space="preserve">. These absolute changes are used to calculate the relative importance of ecology and evolution to the total community change. </w:t>
      </w:r>
      <w:r>
        <w:rPr>
          <w:rFonts w:eastAsia="Cambria"/>
          <w:b/>
          <w:bCs/>
          <w:i/>
          <w:lang w:val="en-GB"/>
        </w:rPr>
        <w:br w:type="page"/>
      </w:r>
    </w:p>
    <w:p w14:paraId="0EE4F05F" w14:textId="77777777" w:rsidR="00211D65" w:rsidRDefault="009D3E4F">
      <w:pPr>
        <w:pStyle w:val="Heading1"/>
        <w:spacing w:before="0" w:after="120" w:line="240" w:lineRule="auto"/>
        <w:rPr>
          <w:rFonts w:ascii="Times New Roman" w:hAnsi="Times New Roman" w:cs="Times New Roman"/>
          <w:sz w:val="24"/>
          <w:szCs w:val="24"/>
        </w:rPr>
      </w:pPr>
      <w:bookmarkStart w:id="26" w:name="_Toc67645322"/>
      <w:bookmarkStart w:id="27" w:name="_Toc79054751"/>
      <w:proofErr w:type="spellStart"/>
      <w:r>
        <w:rPr>
          <w:rFonts w:ascii="Times New Roman" w:hAnsi="Times New Roman" w:cs="Times New Roman"/>
          <w:sz w:val="24"/>
          <w:szCs w:val="24"/>
        </w:rPr>
        <w:lastRenderedPageBreak/>
        <w:t>Supplementary</w:t>
      </w:r>
      <w:proofErr w:type="spellEnd"/>
      <w:r>
        <w:rPr>
          <w:rFonts w:ascii="Times New Roman" w:hAnsi="Times New Roman" w:cs="Times New Roman"/>
          <w:sz w:val="24"/>
          <w:szCs w:val="24"/>
        </w:rPr>
        <w:t xml:space="preserve"> References</w:t>
      </w:r>
      <w:bookmarkEnd w:id="26"/>
      <w:bookmarkEnd w:id="27"/>
    </w:p>
    <w:p w14:paraId="09B03697" w14:textId="60897064" w:rsidR="00541390" w:rsidRPr="00541390" w:rsidRDefault="009D3E4F" w:rsidP="00541390">
      <w:pPr>
        <w:widowControl w:val="0"/>
        <w:autoSpaceDE w:val="0"/>
        <w:autoSpaceDN w:val="0"/>
        <w:adjustRightInd w:val="0"/>
        <w:spacing w:after="120" w:line="240" w:lineRule="auto"/>
        <w:ind w:left="480" w:hanging="480"/>
        <w:rPr>
          <w:rFonts w:cs="Times New Roman"/>
          <w:noProof/>
          <w:sz w:val="24"/>
          <w:szCs w:val="24"/>
        </w:rPr>
      </w:pPr>
      <w:r>
        <w:rPr>
          <w:rFonts w:eastAsia="Cambria" w:cs="Times New Roman"/>
          <w:b/>
          <w:bCs/>
          <w:i/>
          <w:sz w:val="24"/>
          <w:szCs w:val="24"/>
          <w:lang w:val="en-GB"/>
        </w:rPr>
        <w:fldChar w:fldCharType="begin" w:fldLock="1"/>
      </w:r>
      <w:r>
        <w:rPr>
          <w:rFonts w:eastAsia="Cambria" w:cs="Times New Roman"/>
          <w:b/>
          <w:bCs/>
          <w:i/>
          <w:sz w:val="24"/>
          <w:szCs w:val="24"/>
        </w:rPr>
        <w:instrText xml:space="preserve">ADDIN Mendeley Bibliography CSL_BIBLIOGRAPHY </w:instrText>
      </w:r>
      <w:r>
        <w:rPr>
          <w:rFonts w:eastAsia="Cambria" w:cs="Times New Roman"/>
          <w:b/>
          <w:bCs/>
          <w:i/>
          <w:sz w:val="24"/>
          <w:szCs w:val="24"/>
          <w:lang w:val="en-GB"/>
        </w:rPr>
        <w:fldChar w:fldCharType="separate"/>
      </w:r>
      <w:r w:rsidR="00541390" w:rsidRPr="00541390">
        <w:rPr>
          <w:rFonts w:cs="Times New Roman"/>
          <w:noProof/>
          <w:sz w:val="24"/>
          <w:szCs w:val="24"/>
        </w:rPr>
        <w:t xml:space="preserve">Eggers, S. L., A. M. Lewandowska, J. Barcelos e Ramos, S. Blanco-Ameijeiras, F. Gallo, and B. Matthiessen. 2014. Community composition has greater impact on the functioning of marine phytoplankton communities than ocean acidification. Glob. Chang. Biol. </w:t>
      </w:r>
      <w:r w:rsidR="00541390" w:rsidRPr="00541390">
        <w:rPr>
          <w:rFonts w:cs="Times New Roman"/>
          <w:b/>
          <w:bCs/>
          <w:noProof/>
          <w:sz w:val="24"/>
          <w:szCs w:val="24"/>
        </w:rPr>
        <w:t>20</w:t>
      </w:r>
      <w:r w:rsidR="00541390" w:rsidRPr="00541390">
        <w:rPr>
          <w:rFonts w:cs="Times New Roman"/>
          <w:noProof/>
          <w:sz w:val="24"/>
          <w:szCs w:val="24"/>
        </w:rPr>
        <w:t>: 713–723. doi:10.1111/gcb.12421</w:t>
      </w:r>
    </w:p>
    <w:p w14:paraId="482B0297" w14:textId="77777777" w:rsidR="00541390" w:rsidRPr="00541390" w:rsidRDefault="00541390" w:rsidP="00541390">
      <w:pPr>
        <w:widowControl w:val="0"/>
        <w:autoSpaceDE w:val="0"/>
        <w:autoSpaceDN w:val="0"/>
        <w:adjustRightInd w:val="0"/>
        <w:spacing w:after="120" w:line="240" w:lineRule="auto"/>
        <w:ind w:left="480" w:hanging="480"/>
        <w:rPr>
          <w:rFonts w:cs="Times New Roman"/>
          <w:noProof/>
          <w:sz w:val="24"/>
          <w:szCs w:val="24"/>
        </w:rPr>
      </w:pPr>
      <w:r w:rsidRPr="00541390">
        <w:rPr>
          <w:rFonts w:cs="Times New Roman"/>
          <w:noProof/>
          <w:sz w:val="24"/>
          <w:szCs w:val="24"/>
        </w:rPr>
        <w:t xml:space="preserve">Härnström, K., M. Ellegaard, T. J. Andersen, and A. Godhe. 2011. Hundred years of genetic structure in a sediment revived diatom population. Proc. Natl. Acad. Sci. U. S. A. </w:t>
      </w:r>
      <w:r w:rsidRPr="00541390">
        <w:rPr>
          <w:rFonts w:cs="Times New Roman"/>
          <w:b/>
          <w:bCs/>
          <w:noProof/>
          <w:sz w:val="24"/>
          <w:szCs w:val="24"/>
        </w:rPr>
        <w:t>108</w:t>
      </w:r>
      <w:r w:rsidRPr="00541390">
        <w:rPr>
          <w:rFonts w:cs="Times New Roman"/>
          <w:noProof/>
          <w:sz w:val="24"/>
          <w:szCs w:val="24"/>
        </w:rPr>
        <w:t>: 4252–4257. doi:10.1073/pnas.1013528108</w:t>
      </w:r>
    </w:p>
    <w:p w14:paraId="350F3C7D" w14:textId="77777777" w:rsidR="00541390" w:rsidRPr="00541390" w:rsidRDefault="00541390" w:rsidP="00541390">
      <w:pPr>
        <w:widowControl w:val="0"/>
        <w:autoSpaceDE w:val="0"/>
        <w:autoSpaceDN w:val="0"/>
        <w:adjustRightInd w:val="0"/>
        <w:spacing w:after="120" w:line="240" w:lineRule="auto"/>
        <w:ind w:left="480" w:hanging="480"/>
        <w:rPr>
          <w:rFonts w:cs="Times New Roman"/>
          <w:noProof/>
          <w:sz w:val="24"/>
          <w:szCs w:val="24"/>
        </w:rPr>
      </w:pPr>
      <w:r w:rsidRPr="00541390">
        <w:rPr>
          <w:rFonts w:cs="Times New Roman"/>
          <w:noProof/>
          <w:sz w:val="24"/>
          <w:szCs w:val="24"/>
        </w:rPr>
        <w:t xml:space="preserve">Hattich, G. S. I., L. Listmann, J. Raab, D. Ozod-Seradj, T. B. H. Reusch, and B. Matthiessen. 2017. Inter- and intraspecific phenotypic plasticity of three phytoplankton species in response to ocean acidification. Biol. Lett. </w:t>
      </w:r>
      <w:r w:rsidRPr="00541390">
        <w:rPr>
          <w:rFonts w:cs="Times New Roman"/>
          <w:b/>
          <w:bCs/>
          <w:noProof/>
          <w:sz w:val="24"/>
          <w:szCs w:val="24"/>
        </w:rPr>
        <w:t>13</w:t>
      </w:r>
      <w:r w:rsidRPr="00541390">
        <w:rPr>
          <w:rFonts w:cs="Times New Roman"/>
          <w:noProof/>
          <w:sz w:val="24"/>
          <w:szCs w:val="24"/>
        </w:rPr>
        <w:t>: 1–4. doi:DOI: 10.1098/rsbl.2016.0774</w:t>
      </w:r>
    </w:p>
    <w:p w14:paraId="249054E3" w14:textId="77777777" w:rsidR="00541390" w:rsidRPr="00541390" w:rsidRDefault="00541390" w:rsidP="00541390">
      <w:pPr>
        <w:widowControl w:val="0"/>
        <w:autoSpaceDE w:val="0"/>
        <w:autoSpaceDN w:val="0"/>
        <w:adjustRightInd w:val="0"/>
        <w:spacing w:after="120" w:line="240" w:lineRule="auto"/>
        <w:ind w:left="480" w:hanging="480"/>
        <w:rPr>
          <w:rFonts w:cs="Times New Roman"/>
          <w:noProof/>
          <w:sz w:val="24"/>
        </w:rPr>
      </w:pPr>
      <w:r w:rsidRPr="00541390">
        <w:rPr>
          <w:rFonts w:cs="Times New Roman"/>
          <w:noProof/>
          <w:sz w:val="24"/>
          <w:szCs w:val="24"/>
        </w:rPr>
        <w:t xml:space="preserve">Lohbeck, K. T., U. Riebesell, and T. B. H. Reusch. 2012. Adaptive evolution of a key phytoplankton species to ocean acidification. Nat. Geosci. </w:t>
      </w:r>
      <w:r w:rsidRPr="00541390">
        <w:rPr>
          <w:rFonts w:cs="Times New Roman"/>
          <w:b/>
          <w:bCs/>
          <w:noProof/>
          <w:sz w:val="24"/>
          <w:szCs w:val="24"/>
        </w:rPr>
        <w:t>5</w:t>
      </w:r>
      <w:r w:rsidRPr="00541390">
        <w:rPr>
          <w:rFonts w:cs="Times New Roman"/>
          <w:noProof/>
          <w:sz w:val="24"/>
          <w:szCs w:val="24"/>
        </w:rPr>
        <w:t>: 346–351. doi:10.1038/ngeo1441</w:t>
      </w:r>
    </w:p>
    <w:p w14:paraId="5C22CB64" w14:textId="77777777" w:rsidR="00211D65" w:rsidRDefault="009D3E4F">
      <w:pPr>
        <w:widowControl w:val="0"/>
        <w:spacing w:after="120" w:line="240" w:lineRule="auto"/>
        <w:rPr>
          <w:rFonts w:cs="Times New Roman"/>
          <w:color w:val="000000"/>
          <w:sz w:val="24"/>
          <w:szCs w:val="24"/>
          <w:lang w:val="en-GB"/>
        </w:rPr>
      </w:pPr>
      <w:r>
        <w:rPr>
          <w:rFonts w:eastAsia="Cambria" w:cs="Times New Roman"/>
          <w:b/>
          <w:bCs/>
          <w:i/>
          <w:sz w:val="24"/>
          <w:szCs w:val="24"/>
          <w:lang w:val="en-GB"/>
        </w:rPr>
        <w:fldChar w:fldCharType="end"/>
      </w:r>
    </w:p>
    <w:sectPr w:rsidR="00211D65">
      <w:headerReference w:type="even" r:id="rId29"/>
      <w:headerReference w:type="default" r:id="rId30"/>
      <w:footerReference w:type="even" r:id="rId31"/>
      <w:footerReference w:type="default" r:id="rId32"/>
      <w:pgSz w:w="11907" w:h="16839"/>
      <w:pgMar w:top="1417" w:right="1417" w:bottom="1134" w:left="1417" w:header="708" w:footer="708" w:gutter="0"/>
      <w:lnNumType w:countBy="1" w:restart="continuou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0CF8D" w14:textId="77777777" w:rsidR="00864830" w:rsidRDefault="00864830">
      <w:r>
        <w:separator/>
      </w:r>
    </w:p>
  </w:endnote>
  <w:endnote w:type="continuationSeparator" w:id="0">
    <w:p w14:paraId="4DB318E1" w14:textId="77777777" w:rsidR="00864830" w:rsidRDefault="00864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9380596"/>
      <w:docPartObj>
        <w:docPartGallery w:val="Page Numbers (Bottom of Page)"/>
        <w:docPartUnique/>
      </w:docPartObj>
    </w:sdtPr>
    <w:sdtEndPr/>
    <w:sdtContent>
      <w:p w14:paraId="1BB5DE9E" w14:textId="77777777" w:rsidR="00211D65" w:rsidRDefault="009D3E4F">
        <w:pPr>
          <w:pStyle w:val="Footer"/>
          <w:ind w:firstLine="0"/>
          <w:jc w:val="left"/>
          <w:rPr>
            <w:sz w:val="20"/>
            <w:szCs w:val="20"/>
          </w:rPr>
        </w:pPr>
        <w:r>
          <w:rPr>
            <w:sz w:val="20"/>
            <w:szCs w:val="20"/>
          </w:rPr>
          <w:fldChar w:fldCharType="begin"/>
        </w:r>
        <w:r>
          <w:rPr>
            <w:sz w:val="20"/>
            <w:szCs w:val="20"/>
          </w:rPr>
          <w:instrText>PAGE   \* MERGEFORMAT</w:instrText>
        </w:r>
        <w:r>
          <w:rPr>
            <w:sz w:val="20"/>
            <w:szCs w:val="20"/>
          </w:rPr>
          <w:fldChar w:fldCharType="separate"/>
        </w:r>
        <w:r>
          <w:rPr>
            <w:sz w:val="20"/>
            <w:szCs w:val="20"/>
            <w:lang w:val="de-DE"/>
          </w:rPr>
          <w:t>2</w:t>
        </w:r>
        <w:r>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8037436"/>
      <w:docPartObj>
        <w:docPartGallery w:val="Page Numbers (Bottom of Page)"/>
        <w:docPartUnique/>
      </w:docPartObj>
    </w:sdtPr>
    <w:sdtEndPr/>
    <w:sdtContent>
      <w:p w14:paraId="065970EC" w14:textId="77777777" w:rsidR="00211D65" w:rsidRDefault="009D3E4F">
        <w:pPr>
          <w:pStyle w:val="Footer"/>
          <w:jc w:val="right"/>
          <w:rPr>
            <w:sz w:val="20"/>
            <w:szCs w:val="20"/>
          </w:rPr>
        </w:pPr>
        <w:r>
          <w:rPr>
            <w:sz w:val="20"/>
            <w:szCs w:val="20"/>
          </w:rPr>
          <w:fldChar w:fldCharType="begin"/>
        </w:r>
        <w:r>
          <w:rPr>
            <w:sz w:val="20"/>
            <w:szCs w:val="20"/>
          </w:rPr>
          <w:instrText>PAGE   \* MERGEFORMAT</w:instrText>
        </w:r>
        <w:r>
          <w:rPr>
            <w:sz w:val="20"/>
            <w:szCs w:val="20"/>
          </w:rPr>
          <w:fldChar w:fldCharType="separate"/>
        </w:r>
        <w:r>
          <w:rPr>
            <w:sz w:val="22"/>
            <w:szCs w:val="20"/>
            <w:lang w:val="de-DE"/>
          </w:rPr>
          <w:t>1</w:t>
        </w:r>
        <w:r>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E0F9D" w14:textId="77777777" w:rsidR="00864830" w:rsidRDefault="00864830">
      <w:r>
        <w:separator/>
      </w:r>
    </w:p>
  </w:footnote>
  <w:footnote w:type="continuationSeparator" w:id="0">
    <w:p w14:paraId="24A47E18" w14:textId="77777777" w:rsidR="00864830" w:rsidRDefault="008648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1E0C4" w14:textId="77777777" w:rsidR="00211D65" w:rsidRDefault="00211D65">
    <w:pPr>
      <w:rPr>
        <w:sz w:val="20"/>
        <w:szCs w:val="20"/>
      </w:rPr>
    </w:pPr>
  </w:p>
  <w:p w14:paraId="1D0887E3" w14:textId="77777777" w:rsidR="00211D65" w:rsidRDefault="00211D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A1C8D" w14:textId="77777777" w:rsidR="00211D65" w:rsidRDefault="00211D65">
    <w:pPr>
      <w:jc w:val="right"/>
      <w:rPr>
        <w:sz w:val="20"/>
        <w:szCs w:val="20"/>
      </w:rPr>
    </w:pPr>
  </w:p>
  <w:p w14:paraId="53B61261" w14:textId="77777777" w:rsidR="00211D65" w:rsidRDefault="00211D65">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D5133D"/>
    <w:multiLevelType w:val="hybridMultilevel"/>
    <w:tmpl w:val="6CCAF33E"/>
    <w:lvl w:ilvl="0" w:tplc="2536F7D2">
      <w:start w:val="1"/>
      <w:numFmt w:val="decimal"/>
      <w:lvlText w:val="%1."/>
      <w:lvlJc w:val="left"/>
      <w:pPr>
        <w:ind w:left="720" w:hanging="360"/>
      </w:pPr>
      <w:rPr>
        <w:rFonts w:hint="default"/>
      </w:rPr>
    </w:lvl>
    <w:lvl w:ilvl="1" w:tplc="C0202A34">
      <w:start w:val="1"/>
      <w:numFmt w:val="lowerLetter"/>
      <w:lvlText w:val="%2."/>
      <w:lvlJc w:val="left"/>
      <w:pPr>
        <w:ind w:left="1440" w:hanging="360"/>
      </w:pPr>
    </w:lvl>
    <w:lvl w:ilvl="2" w:tplc="87204D88">
      <w:start w:val="1"/>
      <w:numFmt w:val="lowerRoman"/>
      <w:lvlText w:val="%3."/>
      <w:lvlJc w:val="right"/>
      <w:pPr>
        <w:ind w:left="2160" w:hanging="180"/>
      </w:pPr>
    </w:lvl>
    <w:lvl w:ilvl="3" w:tplc="D39EE83E">
      <w:start w:val="1"/>
      <w:numFmt w:val="decimal"/>
      <w:lvlText w:val="%4."/>
      <w:lvlJc w:val="left"/>
      <w:pPr>
        <w:ind w:left="2880" w:hanging="360"/>
      </w:pPr>
    </w:lvl>
    <w:lvl w:ilvl="4" w:tplc="1B6C5D2E">
      <w:start w:val="1"/>
      <w:numFmt w:val="lowerLetter"/>
      <w:lvlText w:val="%5."/>
      <w:lvlJc w:val="left"/>
      <w:pPr>
        <w:ind w:left="3600" w:hanging="360"/>
      </w:pPr>
    </w:lvl>
    <w:lvl w:ilvl="5" w:tplc="41802818">
      <w:start w:val="1"/>
      <w:numFmt w:val="lowerRoman"/>
      <w:lvlText w:val="%6."/>
      <w:lvlJc w:val="right"/>
      <w:pPr>
        <w:ind w:left="4320" w:hanging="180"/>
      </w:pPr>
    </w:lvl>
    <w:lvl w:ilvl="6" w:tplc="8F4A6F0E">
      <w:start w:val="1"/>
      <w:numFmt w:val="decimal"/>
      <w:lvlText w:val="%7."/>
      <w:lvlJc w:val="left"/>
      <w:pPr>
        <w:ind w:left="5040" w:hanging="360"/>
      </w:pPr>
    </w:lvl>
    <w:lvl w:ilvl="7" w:tplc="E9E49600">
      <w:start w:val="1"/>
      <w:numFmt w:val="lowerLetter"/>
      <w:lvlText w:val="%8."/>
      <w:lvlJc w:val="left"/>
      <w:pPr>
        <w:ind w:left="5760" w:hanging="360"/>
      </w:pPr>
    </w:lvl>
    <w:lvl w:ilvl="8" w:tplc="F2601366">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D65"/>
    <w:rsid w:val="0002424B"/>
    <w:rsid w:val="00046136"/>
    <w:rsid w:val="001C3139"/>
    <w:rsid w:val="00211D65"/>
    <w:rsid w:val="00264614"/>
    <w:rsid w:val="003966A0"/>
    <w:rsid w:val="00541390"/>
    <w:rsid w:val="00622BC8"/>
    <w:rsid w:val="007F331E"/>
    <w:rsid w:val="00864830"/>
    <w:rsid w:val="008F4782"/>
    <w:rsid w:val="009D3E4F"/>
    <w:rsid w:val="00B678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F7154A"/>
  <w15:docId w15:val="{094BAFDD-30E2-4EB9-A208-FB3B6F2ED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sz w:val="21"/>
    </w:rPr>
  </w:style>
  <w:style w:type="paragraph" w:styleId="Heading1">
    <w:name w:val="heading 1"/>
    <w:basedOn w:val="Normal"/>
    <w:next w:val="Normal"/>
    <w:link w:val="Heading1Char1"/>
    <w:uiPriority w:val="9"/>
    <w:qFormat/>
    <w:pPr>
      <w:spacing w:before="480" w:after="0"/>
      <w:contextualSpacing/>
      <w:outlineLvl w:val="0"/>
    </w:pPr>
    <w:rPr>
      <w:rFonts w:ascii="Cambria" w:eastAsia="Cambria" w:hAnsi="Cambria" w:cs="Cambria"/>
      <w:b/>
      <w:bCs/>
      <w:sz w:val="28"/>
      <w:szCs w:val="28"/>
    </w:rPr>
  </w:style>
  <w:style w:type="paragraph" w:styleId="Heading2">
    <w:name w:val="heading 2"/>
    <w:basedOn w:val="Normal"/>
    <w:next w:val="Normal"/>
    <w:link w:val="Heading2Char1"/>
    <w:uiPriority w:val="9"/>
    <w:unhideWhenUsed/>
    <w:qFormat/>
    <w:pPr>
      <w:spacing w:before="200" w:after="0"/>
      <w:outlineLvl w:val="1"/>
    </w:pPr>
    <w:rPr>
      <w:rFonts w:ascii="Cambria" w:eastAsia="Cambria" w:hAnsi="Cambria" w:cs="Cambria"/>
      <w:b/>
      <w:bCs/>
      <w:sz w:val="26"/>
      <w:szCs w:val="26"/>
    </w:rPr>
  </w:style>
  <w:style w:type="paragraph" w:styleId="Heading3">
    <w:name w:val="heading 3"/>
    <w:basedOn w:val="Normal"/>
    <w:next w:val="Normal"/>
    <w:link w:val="Heading3Char1"/>
    <w:uiPriority w:val="9"/>
    <w:unhideWhenUsed/>
    <w:qFormat/>
    <w:pPr>
      <w:spacing w:before="200" w:after="0" w:line="271" w:lineRule="auto"/>
      <w:outlineLvl w:val="2"/>
    </w:pPr>
    <w:rPr>
      <w:rFonts w:ascii="Cambria" w:eastAsia="Cambria" w:hAnsi="Cambria" w:cs="Cambria"/>
      <w:b/>
      <w:bCs/>
    </w:rPr>
  </w:style>
  <w:style w:type="paragraph" w:styleId="Heading4">
    <w:name w:val="heading 4"/>
    <w:basedOn w:val="Normal"/>
    <w:next w:val="Normal"/>
    <w:link w:val="Heading4Char1"/>
    <w:uiPriority w:val="9"/>
    <w:semiHidden/>
    <w:unhideWhenUsed/>
    <w:qFormat/>
    <w:pPr>
      <w:spacing w:before="200" w:after="0"/>
      <w:outlineLvl w:val="3"/>
    </w:pPr>
    <w:rPr>
      <w:rFonts w:ascii="Cambria" w:eastAsia="Cambria" w:hAnsi="Cambria" w:cs="Cambria"/>
      <w:b/>
      <w:bCs/>
      <w:i/>
      <w:iCs/>
    </w:rPr>
  </w:style>
  <w:style w:type="paragraph" w:styleId="Heading5">
    <w:name w:val="heading 5"/>
    <w:basedOn w:val="Normal"/>
    <w:next w:val="Normal"/>
    <w:link w:val="Heading5Char1"/>
    <w:uiPriority w:val="9"/>
    <w:semiHidden/>
    <w:unhideWhenUsed/>
    <w:qFormat/>
    <w:pPr>
      <w:spacing w:before="200" w:after="0"/>
      <w:outlineLvl w:val="4"/>
    </w:pPr>
    <w:rPr>
      <w:rFonts w:ascii="Cambria" w:eastAsia="Cambria" w:hAnsi="Cambria" w:cs="Cambria"/>
      <w:b/>
      <w:bCs/>
      <w:color w:val="7F7F7F" w:themeColor="text1" w:themeTint="80"/>
    </w:rPr>
  </w:style>
  <w:style w:type="paragraph" w:styleId="Heading6">
    <w:name w:val="heading 6"/>
    <w:basedOn w:val="Normal"/>
    <w:next w:val="Normal"/>
    <w:link w:val="Heading6Char1"/>
    <w:uiPriority w:val="9"/>
    <w:semiHidden/>
    <w:unhideWhenUsed/>
    <w:qFormat/>
    <w:pPr>
      <w:spacing w:after="0" w:line="271" w:lineRule="auto"/>
      <w:outlineLvl w:val="5"/>
    </w:pPr>
    <w:rPr>
      <w:rFonts w:ascii="Cambria" w:eastAsia="Cambria" w:hAnsi="Cambria" w:cs="Cambria"/>
      <w:b/>
      <w:bCs/>
      <w:i/>
      <w:iCs/>
      <w:color w:val="7F7F7F" w:themeColor="text1" w:themeTint="80"/>
    </w:rPr>
  </w:style>
  <w:style w:type="paragraph" w:styleId="Heading7">
    <w:name w:val="heading 7"/>
    <w:basedOn w:val="Normal"/>
    <w:next w:val="Normal"/>
    <w:link w:val="Heading7Char1"/>
    <w:uiPriority w:val="9"/>
    <w:semiHidden/>
    <w:unhideWhenUsed/>
    <w:qFormat/>
    <w:pPr>
      <w:spacing w:after="0"/>
      <w:outlineLvl w:val="6"/>
    </w:pPr>
    <w:rPr>
      <w:rFonts w:ascii="Cambria" w:eastAsia="Cambria" w:hAnsi="Cambria" w:cs="Cambria"/>
      <w:i/>
      <w:iCs/>
    </w:rPr>
  </w:style>
  <w:style w:type="paragraph" w:styleId="Heading8">
    <w:name w:val="heading 8"/>
    <w:basedOn w:val="Normal"/>
    <w:next w:val="Normal"/>
    <w:link w:val="Heading8Char1"/>
    <w:uiPriority w:val="9"/>
    <w:semiHidden/>
    <w:unhideWhenUsed/>
    <w:qFormat/>
    <w:pPr>
      <w:spacing w:after="0"/>
      <w:outlineLvl w:val="7"/>
    </w:pPr>
    <w:rPr>
      <w:rFonts w:ascii="Cambria" w:eastAsia="Cambria" w:hAnsi="Cambria" w:cs="Cambria"/>
      <w:sz w:val="20"/>
      <w:szCs w:val="20"/>
    </w:rPr>
  </w:style>
  <w:style w:type="paragraph" w:styleId="Heading9">
    <w:name w:val="heading 9"/>
    <w:basedOn w:val="Normal"/>
    <w:next w:val="Normal"/>
    <w:link w:val="Heading9Char1"/>
    <w:uiPriority w:val="9"/>
    <w:semiHidden/>
    <w:unhideWhenUsed/>
    <w:qFormat/>
    <w:pPr>
      <w:spacing w:after="0"/>
      <w:outlineLvl w:val="8"/>
    </w:pPr>
    <w:rPr>
      <w:rFonts w:ascii="Cambria" w:eastAsia="Cambria" w:hAnsi="Cambria" w:cs="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
    <w:name w:val="Heading 3 Char"/>
    <w:basedOn w:val="DefaultParagraphFont"/>
    <w:uiPriority w:val="9"/>
    <w:rPr>
      <w:rFonts w:ascii="Arial" w:eastAsia="Arial" w:hAnsi="Arial" w:cs="Arial"/>
      <w:sz w:val="30"/>
      <w:szCs w:val="30"/>
    </w:rPr>
  </w:style>
  <w:style w:type="character" w:customStyle="1" w:styleId="Heading4Char">
    <w:name w:val="Heading 4 Char"/>
    <w:basedOn w:val="DefaultParagraphFont"/>
    <w:uiPriority w:val="9"/>
    <w:rPr>
      <w:rFonts w:ascii="Arial" w:eastAsia="Arial" w:hAnsi="Arial" w:cs="Arial"/>
      <w:b/>
      <w:bCs/>
      <w:sz w:val="26"/>
      <w:szCs w:val="26"/>
    </w:rPr>
  </w:style>
  <w:style w:type="character" w:customStyle="1" w:styleId="Heading5Char">
    <w:name w:val="Heading 5 Char"/>
    <w:basedOn w:val="DefaultParagraphFont"/>
    <w:uiPriority w:val="9"/>
    <w:rPr>
      <w:rFonts w:ascii="Arial" w:eastAsia="Arial" w:hAnsi="Arial" w:cs="Arial"/>
      <w:b/>
      <w:bCs/>
      <w:sz w:val="24"/>
      <w:szCs w:val="24"/>
    </w:rPr>
  </w:style>
  <w:style w:type="character" w:customStyle="1" w:styleId="Heading6Char">
    <w:name w:val="Heading 6 Char"/>
    <w:basedOn w:val="DefaultParagraphFont"/>
    <w:uiPriority w:val="9"/>
    <w:rPr>
      <w:rFonts w:ascii="Arial" w:eastAsia="Arial" w:hAnsi="Arial" w:cs="Arial"/>
      <w:b/>
      <w:bCs/>
      <w:sz w:val="22"/>
      <w:szCs w:val="22"/>
    </w:rPr>
  </w:style>
  <w:style w:type="character" w:customStyle="1" w:styleId="Heading7Char">
    <w:name w:val="Heading 7 Char"/>
    <w:basedOn w:val="DefaultParagraphFont"/>
    <w:uiPriority w:val="9"/>
    <w:rPr>
      <w:rFonts w:ascii="Arial" w:eastAsia="Arial" w:hAnsi="Arial" w:cs="Arial"/>
      <w:b/>
      <w:bCs/>
      <w:i/>
      <w:iCs/>
      <w:sz w:val="22"/>
      <w:szCs w:val="22"/>
    </w:rPr>
  </w:style>
  <w:style w:type="character" w:customStyle="1" w:styleId="Heading8Char">
    <w:name w:val="Heading 8 Char"/>
    <w:basedOn w:val="DefaultParagraphFont"/>
    <w:uiPriority w:val="9"/>
    <w:rPr>
      <w:rFonts w:ascii="Arial" w:eastAsia="Arial" w:hAnsi="Arial" w:cs="Arial"/>
      <w:i/>
      <w:iCs/>
      <w:sz w:val="22"/>
      <w:szCs w:val="22"/>
    </w:rPr>
  </w:style>
  <w:style w:type="character" w:customStyle="1" w:styleId="Heading9Char">
    <w:name w:val="Heading 9 Char"/>
    <w:basedOn w:val="DefaultParagraphFont"/>
    <w:uiPriority w:val="9"/>
    <w:rPr>
      <w:rFonts w:ascii="Arial" w:eastAsia="Arial" w:hAnsi="Arial" w:cs="Arial"/>
      <w:i/>
      <w:iCs/>
      <w:sz w:val="21"/>
      <w:szCs w:val="21"/>
    </w:rPr>
  </w:style>
  <w:style w:type="character" w:customStyle="1" w:styleId="TitleChar">
    <w:name w:val="Title Char"/>
    <w:basedOn w:val="DefaultParagraphFont"/>
    <w:uiPriority w:val="10"/>
    <w:rPr>
      <w:sz w:val="48"/>
      <w:szCs w:val="48"/>
    </w:rPr>
  </w:style>
  <w:style w:type="character" w:customStyle="1" w:styleId="SubtitleChar">
    <w:name w:val="Subtitle Char"/>
    <w:basedOn w:val="DefaultParagraphFon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character" w:customStyle="1" w:styleId="CaptionChar">
    <w:name w:val="Caption Char"/>
    <w:uiPriority w:val="99"/>
  </w:style>
  <w:style w:type="table" w:styleId="TableGrid">
    <w:name w:val="Table Grid"/>
    <w:basedOn w:val="Table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
    <w:name w:val="Table Grid Light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1">
    <w:name w:val="Grid Table 1 Light - Accent 21"/>
    <w:basedOn w:val="Table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1">
    <w:name w:val="Grid Table 1 Light - Accent 31"/>
    <w:basedOn w:val="Table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1">
    <w:name w:val="Grid Table 1 Light - Accent 41"/>
    <w:basedOn w:val="Table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1">
    <w:name w:val="Grid Table 1 Light - Accent 51"/>
    <w:basedOn w:val="Table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1">
    <w:name w:val="Grid Table 1 Light - Accent 61"/>
    <w:basedOn w:val="Table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1">
    <w:name w:val="Grid Table 2 - Accent 11"/>
    <w:basedOn w:val="Table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2-Accent21">
    <w:name w:val="Grid Table 2 - Accent 21"/>
    <w:basedOn w:val="Table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2-Accent31">
    <w:name w:val="Grid Table 2 - Accent 31"/>
    <w:basedOn w:val="Table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2-Accent41">
    <w:name w:val="Grid Table 2 - Accent 41"/>
    <w:basedOn w:val="Table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2-Accent51">
    <w:name w:val="Grid Table 2 - Accent 51"/>
    <w:basedOn w:val="Table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2-Accent61">
    <w:name w:val="Grid Table 2 - Accent 61"/>
    <w:basedOn w:val="Table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1">
    <w:name w:val="Grid Table 3 - Accent 11"/>
    <w:basedOn w:val="Table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3-Accent21">
    <w:name w:val="Grid Table 3 - Accent 21"/>
    <w:basedOn w:val="Table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3-Accent31">
    <w:name w:val="Grid Table 3 - Accent 31"/>
    <w:basedOn w:val="Table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3-Accent41">
    <w:name w:val="Grid Table 3 - Accent 41"/>
    <w:basedOn w:val="Table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3-Accent51">
    <w:name w:val="Grid Table 3 - Accent 51"/>
    <w:basedOn w:val="Table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3-Accent61">
    <w:name w:val="Grid Table 3 - Accent 61"/>
    <w:basedOn w:val="Table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1">
    <w:name w:val="Grid Table 4 - Accent 11"/>
    <w:basedOn w:val="TableNormal"/>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FFFFFF"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CE6F2" w:themeFill="accent1" w:themeFillTint="32"/>
      </w:tcPr>
    </w:tblStylePr>
    <w:tblStylePr w:type="band1Horz">
      <w:rPr>
        <w:rFonts w:ascii="Arial" w:hAnsi="Arial"/>
        <w:color w:val="404040"/>
        <w:sz w:val="22"/>
      </w:rPr>
      <w:tblPr/>
      <w:tcPr>
        <w:shd w:val="clear" w:color="FFFFFF" w:fill="DCE6F2" w:themeFill="accent1" w:themeFillTint="32"/>
      </w:tcPr>
    </w:tblStylePr>
  </w:style>
  <w:style w:type="table" w:customStyle="1" w:styleId="GridTable4-Accent21">
    <w:name w:val="Grid Table 4 - Accent 21"/>
    <w:basedOn w:val="TableNormal"/>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FFFFFF"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4-Accent31">
    <w:name w:val="Grid Table 4 - Accent 31"/>
    <w:basedOn w:val="TableNormal"/>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FFFFFF"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4-Accent41">
    <w:name w:val="Grid Table 4 - Accent 41"/>
    <w:basedOn w:val="TableNormal"/>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FFFFFF"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4-Accent51">
    <w:name w:val="Grid Table 4 - Accent 51"/>
    <w:basedOn w:val="TableNormal"/>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4-Accent61">
    <w:name w:val="Grid Table 4 - Accent 61"/>
    <w:basedOn w:val="TableNormal"/>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5F1" w:themeFill="accent1" w:themeFillTint="34"/>
    </w:tblPr>
    <w:tblStylePr w:type="firstRow">
      <w:rPr>
        <w:rFonts w:ascii="Arial" w:hAnsi="Arial"/>
        <w:b/>
        <w:color w:val="FFFFFF"/>
        <w:sz w:val="22"/>
      </w:rPr>
      <w:tblPr/>
      <w:tcPr>
        <w:shd w:val="clear" w:color="FFFFFF" w:fill="4F81BD" w:themeFill="accent1"/>
      </w:tcPr>
    </w:tblStylePr>
    <w:tblStylePr w:type="lastRow">
      <w:rPr>
        <w:rFonts w:ascii="Arial" w:hAnsi="Arial"/>
        <w:b/>
        <w:color w:val="FFFFFF"/>
        <w:sz w:val="22"/>
      </w:rPr>
      <w:tblPr/>
      <w:tcPr>
        <w:tcBorders>
          <w:top w:val="single" w:sz="4" w:space="0" w:color="FFFFFF" w:themeColor="light1"/>
        </w:tcBorders>
        <w:shd w:val="clear" w:color="FFFFFF" w:fill="4F81BD" w:themeFill="accent1"/>
      </w:tcPr>
    </w:tblStylePr>
    <w:tblStylePr w:type="firstCol">
      <w:rPr>
        <w:rFonts w:ascii="Arial" w:hAnsi="Arial"/>
        <w:b/>
        <w:color w:val="FFFFFF"/>
        <w:sz w:val="22"/>
      </w:rPr>
      <w:tblPr/>
      <w:tcPr>
        <w:shd w:val="clear" w:color="FFFFFF" w:fill="4F81BD" w:themeFill="accent1"/>
      </w:tcPr>
    </w:tblStylePr>
    <w:tblStylePr w:type="lastCol">
      <w:rPr>
        <w:rFonts w:ascii="Arial" w:hAnsi="Arial"/>
        <w:b/>
        <w:color w:val="FFFFFF"/>
        <w:sz w:val="22"/>
      </w:rPr>
      <w:tblPr/>
      <w:tcPr>
        <w:shd w:val="clear" w:color="FFFFFF" w:fill="4F81BD" w:themeFill="accent1"/>
      </w:tcPr>
    </w:tblStylePr>
    <w:tblStylePr w:type="band1Vert">
      <w:tblPr/>
      <w:tcPr>
        <w:shd w:val="clear" w:color="FFFFFF" w:fill="AEC4E0" w:themeFill="accent1" w:themeFillTint="75"/>
      </w:tcPr>
    </w:tblStylePr>
    <w:tblStylePr w:type="band1Horz">
      <w:tblPr/>
      <w:tcPr>
        <w:shd w:val="clear" w:color="FFFFFF" w:fill="AEC4E0" w:themeFill="accent1" w:themeFillTint="75"/>
      </w:tcPr>
    </w:tblStylePr>
  </w:style>
  <w:style w:type="table" w:customStyle="1" w:styleId="GridTable5Dark-Accent21">
    <w:name w:val="Grid Table 5 Dark - Accent 2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CDC" w:themeFill="accent2" w:themeFillTint="32"/>
    </w:tblPr>
    <w:tblStylePr w:type="firstRow">
      <w:rPr>
        <w:rFonts w:ascii="Arial" w:hAnsi="Arial"/>
        <w:b/>
        <w:color w:val="FFFFFF"/>
        <w:sz w:val="22"/>
      </w:rPr>
      <w:tblPr/>
      <w:tcPr>
        <w:shd w:val="clear" w:color="FFFFFF" w:fill="C0504D" w:themeFill="accent2"/>
      </w:tcPr>
    </w:tblStylePr>
    <w:tblStylePr w:type="lastRow">
      <w:rPr>
        <w:rFonts w:ascii="Arial" w:hAnsi="Arial"/>
        <w:b/>
        <w:color w:val="FFFFFF"/>
        <w:sz w:val="22"/>
      </w:rPr>
      <w:tblPr/>
      <w:tcPr>
        <w:tcBorders>
          <w:top w:val="single" w:sz="4" w:space="0" w:color="FFFFFF" w:themeColor="light1"/>
        </w:tcBorders>
        <w:shd w:val="clear" w:color="FFFFFF" w:fill="C0504D" w:themeFill="accent2"/>
      </w:tcPr>
    </w:tblStylePr>
    <w:tblStylePr w:type="firstCol">
      <w:rPr>
        <w:rFonts w:ascii="Arial" w:hAnsi="Arial"/>
        <w:b/>
        <w:color w:val="FFFFFF"/>
        <w:sz w:val="22"/>
      </w:rPr>
      <w:tblPr/>
      <w:tcPr>
        <w:shd w:val="clear" w:color="FFFFFF" w:fill="C0504D" w:themeFill="accent2"/>
      </w:tcPr>
    </w:tblStylePr>
    <w:tblStylePr w:type="lastCol">
      <w:rPr>
        <w:rFonts w:ascii="Arial" w:hAnsi="Arial"/>
        <w:b/>
        <w:color w:val="FFFFFF"/>
        <w:sz w:val="22"/>
      </w:rPr>
      <w:tblPr/>
      <w:tcPr>
        <w:shd w:val="clear" w:color="FFFFFF" w:fill="C0504D" w:themeFill="accent2"/>
      </w:tcPr>
    </w:tblStylePr>
    <w:tblStylePr w:type="band1Vert">
      <w:tblPr/>
      <w:tcPr>
        <w:shd w:val="clear" w:color="FFFFFF" w:fill="E2AEAD" w:themeFill="accent2" w:themeFillTint="75"/>
      </w:tcPr>
    </w:tblStylePr>
    <w:tblStylePr w:type="band1Horz">
      <w:tblPr/>
      <w:tcPr>
        <w:shd w:val="clear" w:color="FFFFFF" w:fill="E2AEAD" w:themeFill="accent2" w:themeFillTint="75"/>
      </w:tcPr>
    </w:tblStylePr>
  </w:style>
  <w:style w:type="table" w:customStyle="1" w:styleId="GridTable5Dark-Accent31">
    <w:name w:val="Grid Table 5 Dark - Accent 3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AF1DC" w:themeFill="accent3" w:themeFillTint="34"/>
    </w:tblPr>
    <w:tblStylePr w:type="firstRow">
      <w:rPr>
        <w:rFonts w:ascii="Arial" w:hAnsi="Arial"/>
        <w:b/>
        <w:color w:val="FFFFFF"/>
        <w:sz w:val="22"/>
      </w:rPr>
      <w:tblPr/>
      <w:tcPr>
        <w:shd w:val="clear" w:color="FFFFFF" w:fill="9BBB59" w:themeFill="accent3"/>
      </w:tcPr>
    </w:tblStylePr>
    <w:tblStylePr w:type="lastRow">
      <w:rPr>
        <w:rFonts w:ascii="Arial" w:hAnsi="Arial"/>
        <w:b/>
        <w:color w:val="FFFFFF"/>
        <w:sz w:val="22"/>
      </w:rPr>
      <w:tblPr/>
      <w:tcPr>
        <w:tcBorders>
          <w:top w:val="single" w:sz="4" w:space="0" w:color="FFFFFF" w:themeColor="light1"/>
        </w:tcBorders>
        <w:shd w:val="clear" w:color="FFFFFF" w:fill="9BBB59" w:themeFill="accent3"/>
      </w:tcPr>
    </w:tblStylePr>
    <w:tblStylePr w:type="firstCol">
      <w:rPr>
        <w:rFonts w:ascii="Arial" w:hAnsi="Arial"/>
        <w:b/>
        <w:color w:val="FFFFFF"/>
        <w:sz w:val="22"/>
      </w:rPr>
      <w:tblPr/>
      <w:tcPr>
        <w:shd w:val="clear" w:color="FFFFFF" w:fill="9BBB59" w:themeFill="accent3"/>
      </w:tcPr>
    </w:tblStylePr>
    <w:tblStylePr w:type="lastCol">
      <w:rPr>
        <w:rFonts w:ascii="Arial" w:hAnsi="Arial"/>
        <w:b/>
        <w:color w:val="FFFFFF"/>
        <w:sz w:val="22"/>
      </w:rPr>
      <w:tblPr/>
      <w:tcPr>
        <w:shd w:val="clear" w:color="FFFFFF" w:fill="9BBB59" w:themeFill="accent3"/>
      </w:tcPr>
    </w:tblStylePr>
    <w:tblStylePr w:type="band1Vert">
      <w:tblPr/>
      <w:tcPr>
        <w:shd w:val="clear" w:color="FFFFFF" w:fill="D0DFB2" w:themeFill="accent3" w:themeFillTint="75"/>
      </w:tcPr>
    </w:tblStylePr>
    <w:tblStylePr w:type="band1Horz">
      <w:tblPr/>
      <w:tcPr>
        <w:shd w:val="clear" w:color="FFFFFF" w:fill="D0DFB2"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5DFEC" w:themeFill="accent4" w:themeFillTint="34"/>
    </w:tblPr>
    <w:tblStylePr w:type="firstRow">
      <w:rPr>
        <w:rFonts w:ascii="Arial" w:hAnsi="Arial"/>
        <w:b/>
        <w:color w:val="FFFFFF"/>
        <w:sz w:val="22"/>
      </w:rPr>
      <w:tblPr/>
      <w:tcPr>
        <w:shd w:val="clear" w:color="FFFFFF" w:fill="8064A2" w:themeFill="accent4"/>
      </w:tcPr>
    </w:tblStylePr>
    <w:tblStylePr w:type="lastRow">
      <w:rPr>
        <w:rFonts w:ascii="Arial" w:hAnsi="Arial"/>
        <w:b/>
        <w:color w:val="FFFFFF"/>
        <w:sz w:val="22"/>
      </w:rPr>
      <w:tblPr/>
      <w:tcPr>
        <w:tcBorders>
          <w:top w:val="single" w:sz="4" w:space="0" w:color="FFFFFF" w:themeColor="light1"/>
        </w:tcBorders>
        <w:shd w:val="clear" w:color="FFFFFF" w:fill="8064A2" w:themeFill="accent4"/>
      </w:tcPr>
    </w:tblStylePr>
    <w:tblStylePr w:type="firstCol">
      <w:rPr>
        <w:rFonts w:ascii="Arial" w:hAnsi="Arial"/>
        <w:b/>
        <w:color w:val="FFFFFF"/>
        <w:sz w:val="22"/>
      </w:rPr>
      <w:tblPr/>
      <w:tcPr>
        <w:shd w:val="clear" w:color="FFFFFF" w:fill="8064A2" w:themeFill="accent4"/>
      </w:tcPr>
    </w:tblStylePr>
    <w:tblStylePr w:type="lastCol">
      <w:rPr>
        <w:rFonts w:ascii="Arial" w:hAnsi="Arial"/>
        <w:b/>
        <w:color w:val="FFFFFF"/>
        <w:sz w:val="22"/>
      </w:rPr>
      <w:tblPr/>
      <w:tcPr>
        <w:shd w:val="clear" w:color="FFFFFF" w:fill="8064A2" w:themeFill="accent4"/>
      </w:tcPr>
    </w:tblStylePr>
    <w:tblStylePr w:type="band1Vert">
      <w:tblPr/>
      <w:tcPr>
        <w:shd w:val="clear" w:color="FFFFFF" w:fill="C4B7D4" w:themeFill="accent4" w:themeFillTint="75"/>
      </w:tcPr>
    </w:tblStylePr>
    <w:tblStylePr w:type="band1Horz">
      <w:tblPr/>
      <w:tcPr>
        <w:shd w:val="clear" w:color="FFFFFF" w:fill="C4B7D4" w:themeFill="accent4" w:themeFillTint="75"/>
      </w:tcPr>
    </w:tblStylePr>
  </w:style>
  <w:style w:type="table" w:customStyle="1" w:styleId="GridTable5Dark-Accent51">
    <w:name w:val="Grid Table 5 Dark - Accent 5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EF3" w:themeFill="accent5" w:themeFillTint="34"/>
    </w:tblPr>
    <w:tblStylePr w:type="firstRow">
      <w:rPr>
        <w:rFonts w:ascii="Arial" w:hAnsi="Arial"/>
        <w:b/>
        <w:color w:val="FFFFFF"/>
        <w:sz w:val="22"/>
      </w:rPr>
      <w:tblPr/>
      <w:tcPr>
        <w:shd w:val="clear" w:color="FFFFFF" w:fill="4BACC6" w:themeFill="accent5"/>
      </w:tcPr>
    </w:tblStylePr>
    <w:tblStylePr w:type="lastRow">
      <w:rPr>
        <w:rFonts w:ascii="Arial" w:hAnsi="Arial"/>
        <w:b/>
        <w:color w:val="FFFFFF"/>
        <w:sz w:val="22"/>
      </w:rPr>
      <w:tblPr/>
      <w:tcPr>
        <w:tcBorders>
          <w:top w:val="single" w:sz="4" w:space="0" w:color="FFFFFF" w:themeColor="light1"/>
        </w:tcBorders>
        <w:shd w:val="clear" w:color="FFFFFF" w:fill="4BACC6" w:themeFill="accent5"/>
      </w:tcPr>
    </w:tblStylePr>
    <w:tblStylePr w:type="firstCol">
      <w:rPr>
        <w:rFonts w:ascii="Arial" w:hAnsi="Arial"/>
        <w:b/>
        <w:color w:val="FFFFFF"/>
        <w:sz w:val="22"/>
      </w:rPr>
      <w:tblPr/>
      <w:tcPr>
        <w:shd w:val="clear" w:color="FFFFFF" w:fill="4BACC6" w:themeFill="accent5"/>
      </w:tcPr>
    </w:tblStylePr>
    <w:tblStylePr w:type="lastCol">
      <w:rPr>
        <w:rFonts w:ascii="Arial" w:hAnsi="Arial"/>
        <w:b/>
        <w:color w:val="FFFFFF"/>
        <w:sz w:val="22"/>
      </w:rPr>
      <w:tblPr/>
      <w:tcPr>
        <w:shd w:val="clear" w:color="FFFFFF" w:fill="4BACC6" w:themeFill="accent5"/>
      </w:tcPr>
    </w:tblStylePr>
    <w:tblStylePr w:type="band1Vert">
      <w:tblPr/>
      <w:tcPr>
        <w:shd w:val="clear" w:color="FFFFFF" w:fill="ACD8E4" w:themeFill="accent5" w:themeFillTint="75"/>
      </w:tcPr>
    </w:tblStylePr>
    <w:tblStylePr w:type="band1Horz">
      <w:tblPr/>
      <w:tcPr>
        <w:shd w:val="clear" w:color="FFFFFF" w:fill="ACD8E4" w:themeFill="accent5" w:themeFillTint="75"/>
      </w:tcPr>
    </w:tblStylePr>
  </w:style>
  <w:style w:type="table" w:customStyle="1" w:styleId="GridTable5Dark-Accent61">
    <w:name w:val="Grid Table 5 Dark - Accent 6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DE9D8" w:themeFill="accent6" w:themeFillTint="34"/>
    </w:tblPr>
    <w:tblStylePr w:type="firstRow">
      <w:rPr>
        <w:rFonts w:ascii="Arial" w:hAnsi="Arial"/>
        <w:b/>
        <w:color w:val="FFFFFF"/>
        <w:sz w:val="22"/>
      </w:rPr>
      <w:tblPr/>
      <w:tcPr>
        <w:shd w:val="clear" w:color="FFFFFF" w:fill="F79646" w:themeFill="accent6"/>
      </w:tcPr>
    </w:tblStylePr>
    <w:tblStylePr w:type="lastRow">
      <w:rPr>
        <w:rFonts w:ascii="Arial" w:hAnsi="Arial"/>
        <w:b/>
        <w:color w:val="FFFFFF"/>
        <w:sz w:val="22"/>
      </w:rPr>
      <w:tblPr/>
      <w:tcPr>
        <w:tcBorders>
          <w:top w:val="single" w:sz="4" w:space="0" w:color="FFFFFF" w:themeColor="light1"/>
        </w:tcBorders>
        <w:shd w:val="clear" w:color="FFFFFF" w:fill="F79646" w:themeFill="accent6"/>
      </w:tcPr>
    </w:tblStylePr>
    <w:tblStylePr w:type="firstCol">
      <w:rPr>
        <w:rFonts w:ascii="Arial" w:hAnsi="Arial"/>
        <w:b/>
        <w:color w:val="FFFFFF"/>
        <w:sz w:val="22"/>
      </w:rPr>
      <w:tblPr/>
      <w:tcPr>
        <w:shd w:val="clear" w:color="FFFFFF" w:fill="F79646" w:themeFill="accent6"/>
      </w:tcPr>
    </w:tblStylePr>
    <w:tblStylePr w:type="lastCol">
      <w:rPr>
        <w:rFonts w:ascii="Arial" w:hAnsi="Arial"/>
        <w:b/>
        <w:color w:val="FFFFFF"/>
        <w:sz w:val="22"/>
      </w:rPr>
      <w:tblPr/>
      <w:tcPr>
        <w:shd w:val="clear" w:color="FFFFFF" w:fill="F79646" w:themeFill="accent6"/>
      </w:tcPr>
    </w:tblStylePr>
    <w:tblStylePr w:type="band1Vert">
      <w:tblPr/>
      <w:tcPr>
        <w:shd w:val="clear" w:color="FFFFFF" w:fill="FBCEAA" w:themeFill="accent6" w:themeFillTint="75"/>
      </w:tcPr>
    </w:tblStylePr>
    <w:tblStylePr w:type="band1Horz">
      <w:tblPr/>
      <w:tcPr>
        <w:shd w:val="clear" w:color="FFFFFF" w:fill="FBCEAA" w:themeFill="accent6"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eNormal"/>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1">
    <w:name w:val="Grid Table 6 Colorful - Accent 21"/>
    <w:basedOn w:val="Table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1">
    <w:name w:val="Grid Table 6 Colorful - Accent 31"/>
    <w:basedOn w:val="TableNormal"/>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1">
    <w:name w:val="Grid Table 6 Colorful - Accent 41"/>
    <w:basedOn w:val="Table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1">
    <w:name w:val="Grid Table 6 Colorful - Accent 51"/>
    <w:basedOn w:val="TableNormal"/>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1">
    <w:name w:val="Grid Table 6 Colorful - Accent 61"/>
    <w:basedOn w:val="TableNormal"/>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DE9D8" w:themeFill="accent6" w:themeFillTint="34"/>
      </w:tcPr>
    </w:tblStylePr>
    <w:tblStylePr w:type="band1Horz">
      <w:rPr>
        <w:rFonts w:ascii="Arial" w:hAnsi="Arial"/>
        <w:color w:val="266779" w:themeColor="accent5" w:themeShade="95"/>
        <w:sz w:val="22"/>
      </w:rPr>
      <w:tblPr/>
      <w:tcPr>
        <w:shd w:val="clear" w:color="FFFFFF" w:fill="FDE9D8" w:themeFill="accent6" w:themeFillTint="34"/>
      </w:tcPr>
    </w:tblStylePr>
    <w:tblStylePr w:type="band2Horz">
      <w:rPr>
        <w:rFonts w:ascii="Arial" w:hAnsi="Arial"/>
        <w:color w:val="266779" w:themeColor="accent5"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eNormal"/>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FFFFFF"/>
      </w:tc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1">
    <w:name w:val="Grid Table 7 Colorful - Accent 21"/>
    <w:basedOn w:val="TableNormal"/>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1">
    <w:name w:val="Grid Table 7 Colorful - Accent 31"/>
    <w:basedOn w:val="TableNormal"/>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FFFFFF"/>
      </w:tc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1">
    <w:name w:val="Grid Table 7 Colorful - Accent 41"/>
    <w:basedOn w:val="TableNormal"/>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1">
    <w:name w:val="Grid Table 7 Colorful - Accent 51"/>
    <w:basedOn w:val="TableNormal"/>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FFFFFF"/>
      </w:tc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1">
    <w:name w:val="Grid Table 7 Colorful - Accent 61"/>
    <w:basedOn w:val="TableNormal"/>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FFFFFF"/>
      </w:tcPr>
    </w:tblStylePr>
    <w:tblStylePr w:type="band1Vert">
      <w:tblPr/>
      <w:tcPr>
        <w:shd w:val="clear" w:color="FFFFFF" w:fill="FDE9D8" w:themeFill="accent6" w:themeFillTint="34"/>
      </w:tcPr>
    </w:tblStylePr>
    <w:tblStylePr w:type="band1Horz">
      <w:rPr>
        <w:rFonts w:ascii="Arial" w:hAnsi="Arial"/>
        <w:color w:val="B15407" w:themeColor="accent6" w:themeShade="95"/>
        <w:sz w:val="22"/>
      </w:rPr>
      <w:tblPr/>
      <w:tcPr>
        <w:shd w:val="clear" w:color="FFFFFF" w:fill="FDE9D8" w:themeFill="accent6" w:themeFillTint="34"/>
      </w:tcPr>
    </w:tblStylePr>
    <w:tblStylePr w:type="band2Horz">
      <w:rPr>
        <w:rFonts w:ascii="Arial" w:hAnsi="Arial"/>
        <w:color w:val="B15407"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1">
    <w:name w:val="List Table 1 Light - Accent 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2DFEE" w:themeFill="accent1" w:themeFillTint="40"/>
      </w:tcPr>
    </w:tblStylePr>
    <w:tblStylePr w:type="band1Horz">
      <w:tblPr/>
      <w:tcPr>
        <w:shd w:val="clear" w:color="FFFFFF" w:fill="D2DFEE" w:themeFill="accent1" w:themeFillTint="40"/>
      </w:tcPr>
    </w:tblStylePr>
  </w:style>
  <w:style w:type="table" w:customStyle="1" w:styleId="ListTable1Light-Accent21">
    <w:name w:val="List Table 1 Light - Accent 2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D2D2" w:themeFill="accent2" w:themeFillTint="40"/>
      </w:tcPr>
    </w:tblStylePr>
    <w:tblStylePr w:type="band1Horz">
      <w:tblPr/>
      <w:tcPr>
        <w:shd w:val="clear" w:color="FFFFFF" w:fill="EFD2D2" w:themeFill="accent2" w:themeFillTint="40"/>
      </w:tcPr>
    </w:tblStylePr>
  </w:style>
  <w:style w:type="table" w:customStyle="1" w:styleId="ListTable1Light-Accent31">
    <w:name w:val="List Table 1 Light - Accent 3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5EED5" w:themeFill="accent3" w:themeFillTint="40"/>
      </w:tcPr>
    </w:tblStylePr>
    <w:tblStylePr w:type="band1Horz">
      <w:tblPr/>
      <w:tcPr>
        <w:shd w:val="clear" w:color="FFFFFF" w:fill="E5EED5" w:themeFill="accent3" w:themeFillTint="40"/>
      </w:tcPr>
    </w:tblStylePr>
  </w:style>
  <w:style w:type="table" w:customStyle="1" w:styleId="ListTable1Light-Accent41">
    <w:name w:val="List Table 1 Light - Accent 4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FD8E7" w:themeFill="accent4" w:themeFillTint="40"/>
      </w:tcPr>
    </w:tblStylePr>
    <w:tblStylePr w:type="band1Horz">
      <w:tblPr/>
      <w:tcPr>
        <w:shd w:val="clear" w:color="FFFFFF" w:fill="DFD8E7" w:themeFill="accent4" w:themeFillTint="40"/>
      </w:tcPr>
    </w:tblStylePr>
  </w:style>
  <w:style w:type="table" w:customStyle="1" w:styleId="ListTable1Light-Accent51">
    <w:name w:val="List Table 1 Light - Accent 5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1EAF0" w:themeFill="accent5" w:themeFillTint="40"/>
      </w:tcPr>
    </w:tblStylePr>
    <w:tblStylePr w:type="band1Horz">
      <w:tblPr/>
      <w:tcPr>
        <w:shd w:val="clear" w:color="FFFFFF" w:fill="D1EAF0" w:themeFill="accent5" w:themeFillTint="40"/>
      </w:tcPr>
    </w:tblStylePr>
  </w:style>
  <w:style w:type="table" w:customStyle="1" w:styleId="ListTable1Light-Accent61">
    <w:name w:val="List Table 1 Light - Accent 6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DE4D0" w:themeFill="accent6" w:themeFillTint="40"/>
      </w:tcPr>
    </w:tblStylePr>
    <w:tblStylePr w:type="band1Horz">
      <w:tblPr/>
      <w:tcPr>
        <w:shd w:val="clear" w:color="FFFFFF" w:fill="FDE4D0"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1">
    <w:name w:val="List Table 2 - Accent 11"/>
    <w:basedOn w:val="TableNormal"/>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2-Accent21">
    <w:name w:val="List Table 2 - Accent 21"/>
    <w:basedOn w:val="TableNormal"/>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2-Accent31">
    <w:name w:val="List Table 2 - Accent 31"/>
    <w:basedOn w:val="TableNormal"/>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2-Accent41">
    <w:name w:val="List Table 2 - Accent 41"/>
    <w:basedOn w:val="TableNormal"/>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2-Accent51">
    <w:name w:val="List Table 2 - Accent 51"/>
    <w:basedOn w:val="TableNormal"/>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2-Accent61">
    <w:name w:val="List Table 2 - Accent 61"/>
    <w:basedOn w:val="TableNormal"/>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1">
    <w:name w:val="List Table 3 - Accent 21"/>
    <w:basedOn w:val="Table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FFFFFF"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1">
    <w:name w:val="List Table 3 - Accent 31"/>
    <w:basedOn w:val="TableNormal"/>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FFFFFF"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1">
    <w:name w:val="List Table 3 - Accent 41"/>
    <w:basedOn w:val="Table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FFFFFF"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1">
    <w:name w:val="List Table 3 - Accent 51"/>
    <w:basedOn w:val="TableNormal"/>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FFFFFF"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1">
    <w:name w:val="List Table 3 - Accent 61"/>
    <w:basedOn w:val="TableNormal"/>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FFFFF"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1">
    <w:name w:val="List Table 4 - Accent 11"/>
    <w:basedOn w:val="TableNormal"/>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4-Accent21">
    <w:name w:val="List Table 4 - Accent 21"/>
    <w:basedOn w:val="TableNormal"/>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FFFFFF"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4-Accent31">
    <w:name w:val="List Table 4 - Accent 31"/>
    <w:basedOn w:val="TableNormal"/>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FFFFFF"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4-Accent41">
    <w:name w:val="List Table 4 - Accent 41"/>
    <w:basedOn w:val="TableNormal"/>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FFFFFF"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4-Accent51">
    <w:name w:val="List Table 4 - Accent 51"/>
    <w:basedOn w:val="TableNormal"/>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FFFFFF"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4-Accent61">
    <w:name w:val="List Table 4 - Accent 61"/>
    <w:basedOn w:val="TableNormal"/>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FFFFF"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1">
    <w:name w:val="List Table 5 Dark - Accent 11"/>
    <w:basedOn w:val="TableNormal"/>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FFFFFF"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FFFFFF"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F81BD" w:themeFill="accent1"/>
      </w:tcPr>
    </w:tblStylePr>
    <w:tblStylePr w:type="band2Horz">
      <w:tblPr/>
      <w:tcPr>
        <w:tcBorders>
          <w:top w:val="single" w:sz="4" w:space="0" w:color="FFFFFF" w:themeColor="light1"/>
          <w:bottom w:val="single" w:sz="4" w:space="0" w:color="FFFFFF" w:themeColor="light1"/>
        </w:tcBorders>
        <w:shd w:val="clear" w:color="FFFFFF" w:fill="4F81BD" w:themeFill="accent1"/>
      </w:tcPr>
    </w:tblStylePr>
  </w:style>
  <w:style w:type="table" w:customStyle="1" w:styleId="ListTable5Dark-Accent21">
    <w:name w:val="List Table 5 Dark - Accent 21"/>
    <w:basedOn w:val="TableNormal"/>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FFFFFF"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FFFFFF"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99695" w:themeFill="accent2" w:themeFillTint="97"/>
      </w:tcPr>
    </w:tblStylePr>
    <w:tblStylePr w:type="band2Horz">
      <w:tblPr/>
      <w:tcPr>
        <w:tcBorders>
          <w:top w:val="single" w:sz="4" w:space="0" w:color="FFFFFF" w:themeColor="light1"/>
          <w:bottom w:val="single" w:sz="4" w:space="0" w:color="FFFFFF" w:themeColor="light1"/>
        </w:tcBorders>
        <w:shd w:val="clear" w:color="FFFFFF" w:fill="D99695" w:themeFill="accent2" w:themeFillTint="97"/>
      </w:tcPr>
    </w:tblStylePr>
  </w:style>
  <w:style w:type="table" w:customStyle="1" w:styleId="ListTable5Dark-Accent31">
    <w:name w:val="List Table 5 Dark - Accent 31"/>
    <w:basedOn w:val="TableNormal"/>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FFFFFF"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FFFFFF"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3D69B" w:themeFill="accent3" w:themeFillTint="98"/>
      </w:tcPr>
    </w:tblStylePr>
    <w:tblStylePr w:type="band2Horz">
      <w:tblPr/>
      <w:tcPr>
        <w:tcBorders>
          <w:top w:val="single" w:sz="4" w:space="0" w:color="FFFFFF" w:themeColor="light1"/>
          <w:bottom w:val="single" w:sz="4" w:space="0" w:color="FFFFFF" w:themeColor="light1"/>
        </w:tcBorders>
        <w:shd w:val="clear" w:color="FFFFFF" w:fill="C3D69B" w:themeFill="accent3" w:themeFillTint="98"/>
      </w:tcPr>
    </w:tblStylePr>
  </w:style>
  <w:style w:type="table" w:customStyle="1" w:styleId="ListTable5Dark-Accent41">
    <w:name w:val="List Table 5 Dark - Accent 41"/>
    <w:basedOn w:val="TableNormal"/>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FFFFFF"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FFFFFF"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B2A1C6" w:themeFill="accent4" w:themeFillTint="9A"/>
      </w:tcPr>
    </w:tblStylePr>
    <w:tblStylePr w:type="band2Horz">
      <w:tblPr/>
      <w:tcPr>
        <w:tcBorders>
          <w:top w:val="single" w:sz="4" w:space="0" w:color="FFFFFF" w:themeColor="light1"/>
          <w:bottom w:val="single" w:sz="4" w:space="0" w:color="FFFFFF" w:themeColor="light1"/>
        </w:tcBorders>
        <w:shd w:val="clear" w:color="FFFFFF" w:fill="B2A1C6" w:themeFill="accent4" w:themeFillTint="9A"/>
      </w:tcPr>
    </w:tblStylePr>
  </w:style>
  <w:style w:type="table" w:customStyle="1" w:styleId="ListTable5Dark-Accent51">
    <w:name w:val="List Table 5 Dark - Accent 51"/>
    <w:basedOn w:val="TableNormal"/>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FFFFFF"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FFFFFF"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2CCDC" w:themeFill="accent5" w:themeFillTint="9A"/>
      </w:tcPr>
    </w:tblStylePr>
    <w:tblStylePr w:type="band2Horz">
      <w:tblPr/>
      <w:tcPr>
        <w:tcBorders>
          <w:top w:val="single" w:sz="4" w:space="0" w:color="FFFFFF" w:themeColor="light1"/>
          <w:bottom w:val="single" w:sz="4" w:space="0" w:color="FFFFFF" w:themeColor="light1"/>
        </w:tcBorders>
        <w:shd w:val="clear" w:color="FFFFFF" w:fill="92CCDC" w:themeFill="accent5" w:themeFillTint="9A"/>
      </w:tcPr>
    </w:tblStylePr>
  </w:style>
  <w:style w:type="table" w:customStyle="1" w:styleId="ListTable5Dark-Accent61">
    <w:name w:val="List Table 5 Dark - Accent 61"/>
    <w:basedOn w:val="TableNormal"/>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FFFFF"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FFFFF"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AC090" w:themeFill="accent6" w:themeFillTint="98"/>
      </w:tcPr>
    </w:tblStylePr>
    <w:tblStylePr w:type="band2Horz">
      <w:tblPr/>
      <w:tcPr>
        <w:tcBorders>
          <w:top w:val="single" w:sz="4" w:space="0" w:color="FFFFFF" w:themeColor="light1"/>
          <w:bottom w:val="single" w:sz="4" w:space="0" w:color="FFFFFF" w:themeColor="light1"/>
        </w:tcBorders>
        <w:shd w:val="clear" w:color="FFFFFF" w:fill="FAC090" w:themeFill="accent6" w:themeFillTint="98"/>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Normal"/>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1">
    <w:name w:val="List Table 6 Colorful - Accent 21"/>
    <w:basedOn w:val="TableNormal"/>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1">
    <w:name w:val="List Table 6 Colorful - Accent 31"/>
    <w:basedOn w:val="TableNormal"/>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1">
    <w:name w:val="List Table 6 Colorful - Accent 41"/>
    <w:basedOn w:val="TableNormal"/>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1">
    <w:name w:val="List Table 6 Colorful - Accent 51"/>
    <w:basedOn w:val="TableNormal"/>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1">
    <w:name w:val="List Table 6 Colorful - Accent 61"/>
    <w:basedOn w:val="TableNormal"/>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eNormal"/>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FFFFFF"/>
      </w:tc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1">
    <w:name w:val="List Table 7 Colorful - Accent 21"/>
    <w:basedOn w:val="TableNormal"/>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1">
    <w:name w:val="List Table 7 Colorful - Accent 31"/>
    <w:basedOn w:val="TableNormal"/>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FFFFFF"/>
      </w:tc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1">
    <w:name w:val="List Table 7 Colorful - Accent 41"/>
    <w:basedOn w:val="TableNormal"/>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1">
    <w:name w:val="List Table 7 Colorful - Accent 51"/>
    <w:basedOn w:val="TableNormal"/>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FFFFFF"/>
      </w:tc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1">
    <w:name w:val="List Table 7 Colorful - Accent 61"/>
    <w:basedOn w:val="TableNormal"/>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FFFFFF"/>
      </w:tc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rPr>
    <w:tblPr>
      <w:tblStyleRowBandSize w:val="1"/>
      <w:tblStyleColBandSize w:val="1"/>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rPr>
    <w:tblPr>
      <w:tblStyleRowBandSize w:val="1"/>
      <w:tblStyleColBandSize w:val="1"/>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rPr>
    <w:tblPr>
      <w:tblStyleRowBandSize w:val="1"/>
      <w:tblStyleColBandSize w:val="1"/>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rPr>
    <w:tblPr>
      <w:tblStyleRowBandSize w:val="1"/>
      <w:tblStyleColBandSize w:val="1"/>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rPr>
    <w:tblPr>
      <w:tblStyleRowBandSize w:val="1"/>
      <w:tblStyleColBandSize w:val="1"/>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rPr>
    <w:tblPr>
      <w:tblStyleRowBandSize w:val="1"/>
      <w:tblStyleColBandSize w:val="1"/>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ootnoteText">
    <w:name w:val="footnote text"/>
    <w:basedOn w:val="Normal"/>
    <w:link w:val="FootnoteTextChar"/>
    <w:uiPriority w:val="99"/>
    <w:semiHidden/>
    <w:unhideWhenUsed/>
    <w:pPr>
      <w:spacing w:after="40" w:line="240" w:lineRule="auto"/>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r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character" w:customStyle="1" w:styleId="Heading1Char1">
    <w:name w:val="Heading 1 Char1"/>
    <w:basedOn w:val="DefaultParagraphFont"/>
    <w:link w:val="Heading1"/>
    <w:uiPriority w:val="9"/>
    <w:rPr>
      <w:rFonts w:ascii="Cambria" w:eastAsia="Cambria" w:hAnsi="Cambria" w:cs="Cambria"/>
      <w:b/>
      <w:bCs/>
      <w:sz w:val="28"/>
      <w:szCs w:val="28"/>
    </w:rPr>
  </w:style>
  <w:style w:type="character" w:customStyle="1" w:styleId="Heading2Char1">
    <w:name w:val="Heading 2 Char1"/>
    <w:basedOn w:val="DefaultParagraphFont"/>
    <w:link w:val="Heading2"/>
    <w:uiPriority w:val="9"/>
    <w:rPr>
      <w:rFonts w:ascii="Cambria" w:eastAsia="Cambria" w:hAnsi="Cambria" w:cs="Cambria"/>
      <w:b/>
      <w:bCs/>
      <w:sz w:val="26"/>
      <w:szCs w:val="26"/>
    </w:rPr>
  </w:style>
  <w:style w:type="paragraph" w:styleId="Caption">
    <w:name w:val="caption"/>
    <w:basedOn w:val="Normal"/>
    <w:next w:val="Normal"/>
    <w:uiPriority w:val="35"/>
    <w:unhideWhenUsed/>
    <w:rPr>
      <w:b/>
      <w:bCs/>
      <w:color w:val="943634" w:themeColor="accent2" w:themeShade="BF"/>
      <w:sz w:val="18"/>
      <w:szCs w:val="18"/>
    </w:rPr>
  </w:style>
  <w:style w:type="paragraph" w:styleId="Header">
    <w:name w:val="header"/>
    <w:basedOn w:val="Normal"/>
    <w:link w:val="HeaderChar1"/>
    <w:uiPriority w:val="99"/>
    <w:unhideWhenUsed/>
    <w:pPr>
      <w:tabs>
        <w:tab w:val="center" w:pos="4703"/>
        <w:tab w:val="right" w:pos="9406"/>
      </w:tabs>
      <w:ind w:firstLine="720"/>
      <w:jc w:val="both"/>
    </w:pPr>
    <w:rPr>
      <w:lang w:val="en-US"/>
    </w:rPr>
  </w:style>
  <w:style w:type="character" w:customStyle="1" w:styleId="HeaderChar1">
    <w:name w:val="Header Char1"/>
    <w:basedOn w:val="DefaultParagraphFont"/>
    <w:link w:val="Header"/>
    <w:uiPriority w:val="99"/>
    <w:rPr>
      <w:rFonts w:eastAsia="Calibri"/>
      <w:sz w:val="24"/>
      <w:lang w:val="en-US"/>
    </w:rPr>
  </w:style>
  <w:style w:type="paragraph" w:styleId="Footer">
    <w:name w:val="footer"/>
    <w:basedOn w:val="Normal"/>
    <w:link w:val="FooterChar1"/>
    <w:uiPriority w:val="99"/>
    <w:unhideWhenUsed/>
    <w:pPr>
      <w:tabs>
        <w:tab w:val="center" w:pos="4703"/>
        <w:tab w:val="right" w:pos="9406"/>
      </w:tabs>
      <w:ind w:firstLine="720"/>
      <w:jc w:val="both"/>
    </w:pPr>
    <w:rPr>
      <w:lang w:val="en-US"/>
    </w:rPr>
  </w:style>
  <w:style w:type="character" w:customStyle="1" w:styleId="FooterChar1">
    <w:name w:val="Footer Char1"/>
    <w:basedOn w:val="DefaultParagraphFont"/>
    <w:link w:val="Footer"/>
    <w:uiPriority w:val="99"/>
    <w:rPr>
      <w:rFonts w:eastAsia="Calibri"/>
      <w:sz w:val="24"/>
      <w:lang w:val="en-US"/>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val="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eastAsia="de-DE"/>
    </w:rPr>
  </w:style>
  <w:style w:type="character" w:styleId="LineNumber">
    <w:name w:val="line number"/>
    <w:basedOn w:val="DefaultParagraphFont"/>
    <w:uiPriority w:val="99"/>
    <w:semiHidden/>
    <w:unhideWhenUsed/>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eastAsia="de-DE"/>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eastAsia="de-DE"/>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unhideWhenUsed/>
    <w:qFormat/>
    <w:pPr>
      <w:outlineLvl w:val="9"/>
    </w:pPr>
    <w:rPr>
      <w:lang w:bidi="en-US"/>
    </w:rPr>
  </w:style>
  <w:style w:type="paragraph" w:styleId="TOC1">
    <w:name w:val="toc 1"/>
    <w:basedOn w:val="Normal"/>
    <w:next w:val="Normal"/>
    <w:uiPriority w:val="39"/>
    <w:unhideWhenUsed/>
    <w:pPr>
      <w:tabs>
        <w:tab w:val="right" w:leader="dot" w:pos="9063"/>
      </w:tabs>
      <w:spacing w:after="100"/>
    </w:pPr>
  </w:style>
  <w:style w:type="paragraph" w:styleId="TOC2">
    <w:name w:val="toc 2"/>
    <w:basedOn w:val="Normal"/>
    <w:next w:val="Normal"/>
    <w:uiPriority w:val="39"/>
    <w:unhideWhenUsed/>
    <w:pPr>
      <w:spacing w:after="100"/>
      <w:ind w:left="240"/>
    </w:pPr>
  </w:style>
  <w:style w:type="character" w:styleId="Hyperlink">
    <w:name w:val="Hyperlink"/>
    <w:basedOn w:val="DefaultParagraphFont"/>
    <w:uiPriority w:val="99"/>
    <w:unhideWhenUsed/>
    <w:rPr>
      <w:color w:val="0000FF" w:themeColor="hyperlink"/>
      <w:u w:val="single"/>
    </w:rPr>
  </w:style>
  <w:style w:type="character" w:customStyle="1" w:styleId="Heading3Char1">
    <w:name w:val="Heading 3 Char1"/>
    <w:basedOn w:val="DefaultParagraphFont"/>
    <w:link w:val="Heading3"/>
    <w:uiPriority w:val="9"/>
    <w:rPr>
      <w:rFonts w:ascii="Cambria" w:eastAsia="Cambria" w:hAnsi="Cambria" w:cs="Cambria"/>
      <w:b/>
      <w:bCs/>
    </w:rPr>
  </w:style>
  <w:style w:type="character" w:customStyle="1" w:styleId="Heading4Char1">
    <w:name w:val="Heading 4 Char1"/>
    <w:basedOn w:val="DefaultParagraphFont"/>
    <w:link w:val="Heading4"/>
    <w:uiPriority w:val="9"/>
    <w:semiHidden/>
    <w:rPr>
      <w:rFonts w:ascii="Cambria" w:eastAsia="Cambria" w:hAnsi="Cambria" w:cs="Cambria"/>
      <w:b/>
      <w:bCs/>
      <w:i/>
      <w:iCs/>
    </w:rPr>
  </w:style>
  <w:style w:type="character" w:customStyle="1" w:styleId="Heading5Char1">
    <w:name w:val="Heading 5 Char1"/>
    <w:basedOn w:val="DefaultParagraphFont"/>
    <w:link w:val="Heading5"/>
    <w:uiPriority w:val="9"/>
    <w:semiHidden/>
    <w:rPr>
      <w:rFonts w:ascii="Cambria" w:eastAsia="Cambria" w:hAnsi="Cambria" w:cs="Cambria"/>
      <w:b/>
      <w:bCs/>
      <w:color w:val="7F7F7F" w:themeColor="text1" w:themeTint="80"/>
    </w:rPr>
  </w:style>
  <w:style w:type="character" w:customStyle="1" w:styleId="Heading6Char1">
    <w:name w:val="Heading 6 Char1"/>
    <w:basedOn w:val="DefaultParagraphFont"/>
    <w:link w:val="Heading6"/>
    <w:uiPriority w:val="9"/>
    <w:semiHidden/>
    <w:rPr>
      <w:rFonts w:ascii="Cambria" w:eastAsia="Cambria" w:hAnsi="Cambria" w:cs="Cambria"/>
      <w:b/>
      <w:bCs/>
      <w:i/>
      <w:iCs/>
      <w:color w:val="7F7F7F" w:themeColor="text1" w:themeTint="80"/>
    </w:rPr>
  </w:style>
  <w:style w:type="character" w:customStyle="1" w:styleId="Heading7Char1">
    <w:name w:val="Heading 7 Char1"/>
    <w:basedOn w:val="DefaultParagraphFont"/>
    <w:link w:val="Heading7"/>
    <w:uiPriority w:val="9"/>
    <w:semiHidden/>
    <w:rPr>
      <w:rFonts w:ascii="Cambria" w:eastAsia="Cambria" w:hAnsi="Cambria" w:cs="Cambria"/>
      <w:i/>
      <w:iCs/>
    </w:rPr>
  </w:style>
  <w:style w:type="character" w:customStyle="1" w:styleId="Heading8Char1">
    <w:name w:val="Heading 8 Char1"/>
    <w:basedOn w:val="DefaultParagraphFont"/>
    <w:link w:val="Heading8"/>
    <w:uiPriority w:val="9"/>
    <w:semiHidden/>
    <w:rPr>
      <w:rFonts w:ascii="Cambria" w:eastAsia="Cambria" w:hAnsi="Cambria" w:cs="Cambria"/>
      <w:sz w:val="20"/>
      <w:szCs w:val="20"/>
    </w:rPr>
  </w:style>
  <w:style w:type="character" w:customStyle="1" w:styleId="Heading9Char1">
    <w:name w:val="Heading 9 Char1"/>
    <w:basedOn w:val="DefaultParagraphFont"/>
    <w:link w:val="Heading9"/>
    <w:uiPriority w:val="9"/>
    <w:semiHidden/>
    <w:rPr>
      <w:rFonts w:ascii="Cambria" w:eastAsia="Cambria" w:hAnsi="Cambria" w:cs="Cambria"/>
      <w:i/>
      <w:iCs/>
      <w:spacing w:val="5"/>
      <w:sz w:val="20"/>
      <w:szCs w:val="20"/>
    </w:rPr>
  </w:style>
  <w:style w:type="paragraph" w:styleId="Title">
    <w:name w:val="Title"/>
    <w:basedOn w:val="Normal"/>
    <w:next w:val="Normal"/>
    <w:link w:val="TitleChar1"/>
    <w:uiPriority w:val="10"/>
    <w:qFormat/>
    <w:pPr>
      <w:pBdr>
        <w:bottom w:val="single" w:sz="4" w:space="1" w:color="auto"/>
      </w:pBdr>
      <w:spacing w:line="240" w:lineRule="auto"/>
      <w:contextualSpacing/>
    </w:pPr>
    <w:rPr>
      <w:rFonts w:ascii="Cambria" w:eastAsia="Cambria" w:hAnsi="Cambria" w:cs="Cambria"/>
      <w:spacing w:val="5"/>
      <w:sz w:val="52"/>
      <w:szCs w:val="52"/>
    </w:rPr>
  </w:style>
  <w:style w:type="character" w:customStyle="1" w:styleId="TitleChar1">
    <w:name w:val="Title Char1"/>
    <w:basedOn w:val="DefaultParagraphFont"/>
    <w:link w:val="Title"/>
    <w:uiPriority w:val="10"/>
    <w:rPr>
      <w:rFonts w:ascii="Cambria" w:eastAsia="Cambria" w:hAnsi="Cambria" w:cs="Cambria"/>
      <w:spacing w:val="5"/>
      <w:sz w:val="52"/>
      <w:szCs w:val="52"/>
    </w:rPr>
  </w:style>
  <w:style w:type="paragraph" w:styleId="Subtitle">
    <w:name w:val="Subtitle"/>
    <w:basedOn w:val="Normal"/>
    <w:next w:val="Normal"/>
    <w:link w:val="SubtitleChar1"/>
    <w:uiPriority w:val="11"/>
    <w:qFormat/>
    <w:pPr>
      <w:spacing w:after="600"/>
    </w:pPr>
    <w:rPr>
      <w:rFonts w:ascii="Cambria" w:eastAsia="Cambria" w:hAnsi="Cambria" w:cs="Cambria"/>
      <w:i/>
      <w:iCs/>
      <w:spacing w:val="13"/>
      <w:sz w:val="24"/>
      <w:szCs w:val="24"/>
    </w:rPr>
  </w:style>
  <w:style w:type="character" w:customStyle="1" w:styleId="SubtitleChar1">
    <w:name w:val="Subtitle Char1"/>
    <w:basedOn w:val="DefaultParagraphFont"/>
    <w:link w:val="Subtitle"/>
    <w:uiPriority w:val="11"/>
    <w:rPr>
      <w:rFonts w:ascii="Cambria" w:eastAsia="Cambria" w:hAnsi="Cambria" w:cs="Cambria"/>
      <w:i/>
      <w:iCs/>
      <w:spacing w:val="13"/>
      <w:sz w:val="24"/>
      <w:szCs w:val="24"/>
    </w:rPr>
  </w:style>
  <w:style w:type="character" w:styleId="Strong">
    <w:name w:val="Strong"/>
    <w:uiPriority w:val="22"/>
    <w:qFormat/>
    <w:rPr>
      <w:b/>
      <w:bCs/>
    </w:rPr>
  </w:style>
  <w:style w:type="character" w:styleId="Emphasis">
    <w:name w:val="Emphasis"/>
    <w:uiPriority w:val="20"/>
    <w:qFormat/>
    <w:rPr>
      <w:b/>
      <w:bCs/>
      <w:i/>
      <w:iCs/>
      <w:spacing w:val="10"/>
      <w:shd w:val="clear" w:color="auto" w:fill="auto"/>
    </w:rPr>
  </w:style>
  <w:style w:type="paragraph" w:styleId="NoSpacing">
    <w:name w:val="No Spacing"/>
    <w:basedOn w:val="Normal"/>
    <w:link w:val="NoSpacingChar"/>
    <w:uiPriority w:val="1"/>
    <w:qFormat/>
    <w:pPr>
      <w:spacing w:after="0" w:line="240" w:lineRule="auto"/>
    </w:pPr>
  </w:style>
  <w:style w:type="paragraph" w:styleId="Quote">
    <w:name w:val="Quote"/>
    <w:basedOn w:val="Normal"/>
    <w:next w:val="Normal"/>
    <w:link w:val="QuoteChar1"/>
    <w:uiPriority w:val="29"/>
    <w:qFormat/>
    <w:pPr>
      <w:spacing w:before="200" w:after="0"/>
      <w:ind w:left="360" w:right="360"/>
    </w:pPr>
    <w:rPr>
      <w:i/>
      <w:iCs/>
    </w:rPr>
  </w:style>
  <w:style w:type="character" w:customStyle="1" w:styleId="QuoteChar1">
    <w:name w:val="Quote Char1"/>
    <w:basedOn w:val="DefaultParagraphFont"/>
    <w:link w:val="Quote"/>
    <w:uiPriority w:val="29"/>
    <w:rPr>
      <w:i/>
      <w:iCs/>
    </w:rPr>
  </w:style>
  <w:style w:type="paragraph" w:styleId="IntenseQuote">
    <w:name w:val="Intense Quote"/>
    <w:basedOn w:val="Normal"/>
    <w:next w:val="Normal"/>
    <w:link w:val="IntenseQuoteChar1"/>
    <w:uiPriority w:val="30"/>
    <w:qFormat/>
    <w:pPr>
      <w:pBdr>
        <w:bottom w:val="single" w:sz="4" w:space="1" w:color="auto"/>
      </w:pBdr>
      <w:spacing w:before="200" w:after="280"/>
      <w:ind w:left="1008" w:right="1152"/>
      <w:jc w:val="both"/>
    </w:pPr>
    <w:rPr>
      <w:b/>
      <w:bCs/>
      <w:i/>
      <w:iCs/>
    </w:rPr>
  </w:style>
  <w:style w:type="character" w:customStyle="1" w:styleId="IntenseQuoteChar1">
    <w:name w:val="Intense Quote Char1"/>
    <w:basedOn w:val="DefaultParagraphFont"/>
    <w:link w:val="IntenseQuote"/>
    <w:uiPriority w:val="30"/>
    <w:rPr>
      <w:b/>
      <w:bCs/>
      <w:i/>
      <w:iCs/>
    </w:rPr>
  </w:style>
  <w:style w:type="character" w:styleId="SubtleEmphasis">
    <w:name w:val="Subtle Emphasis"/>
    <w:uiPriority w:val="19"/>
    <w:qFormat/>
    <w:rPr>
      <w:i/>
      <w:iCs/>
    </w:rPr>
  </w:style>
  <w:style w:type="character" w:styleId="IntenseEmphasis">
    <w:name w:val="Intense Emphasis"/>
    <w:uiPriority w:val="21"/>
    <w:qFormat/>
    <w:rPr>
      <w:b/>
      <w:bCs/>
    </w:rPr>
  </w:style>
  <w:style w:type="character" w:styleId="SubtleReference">
    <w:name w:val="Subtle Reference"/>
    <w:uiPriority w:val="31"/>
    <w:qFormat/>
    <w:rPr>
      <w:smallCaps/>
    </w:rPr>
  </w:style>
  <w:style w:type="character" w:styleId="IntenseReference">
    <w:name w:val="Intense Reference"/>
    <w:uiPriority w:val="32"/>
    <w:qFormat/>
    <w:rPr>
      <w:smallCaps/>
      <w:spacing w:val="5"/>
      <w:u w:val="single"/>
    </w:rPr>
  </w:style>
  <w:style w:type="character" w:styleId="BookTitle">
    <w:name w:val="Book Title"/>
    <w:uiPriority w:val="33"/>
    <w:qFormat/>
    <w:rPr>
      <w:i/>
      <w:iCs/>
      <w:smallCaps/>
      <w:spacing w:val="5"/>
    </w:rPr>
  </w:style>
  <w:style w:type="character" w:customStyle="1" w:styleId="NoSpacingChar">
    <w:name w:val="No Spacing Char"/>
    <w:basedOn w:val="DefaultParagraphFont"/>
    <w:link w:val="NoSpacing"/>
    <w:uiPriority w:val="1"/>
  </w:style>
  <w:style w:type="paragraph" w:styleId="Revision">
    <w:name w:val="Revision"/>
    <w:hidden/>
    <w:uiPriority w:val="99"/>
    <w:semiHidden/>
    <w:pPr>
      <w:spacing w:after="0" w:line="240" w:lineRule="auto"/>
    </w:pPr>
    <w:rPr>
      <w:sz w:val="24"/>
    </w:rPr>
  </w:style>
  <w:style w:type="paragraph" w:styleId="TOC3">
    <w:name w:val="toc 3"/>
    <w:basedOn w:val="Normal"/>
    <w:next w:val="Normal"/>
    <w:uiPriority w:val="39"/>
    <w:unhideWhenUsed/>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0.png"/><Relationship Id="rId18" Type="http://schemas.openxmlformats.org/officeDocument/2006/relationships/image" Target="media/image4.png"/><Relationship Id="rId26" Type="http://schemas.openxmlformats.org/officeDocument/2006/relationships/image" Target="media/image70.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7" Type="http://schemas.openxmlformats.org/officeDocument/2006/relationships/image" Target="media/image30.png"/><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60.jp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0.emf"/><Relationship Id="rId23" Type="http://schemas.openxmlformats.org/officeDocument/2006/relationships/image" Target="media/image7.jpg"/><Relationship Id="rId28" Type="http://schemas.openxmlformats.org/officeDocument/2006/relationships/image" Target="media/image80.png"/><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50.png"/><Relationship Id="rId27" Type="http://schemas.openxmlformats.org/officeDocument/2006/relationships/image" Target="media/image9.png"/><Relationship Id="rId30" Type="http://schemas.openxmlformats.org/officeDocument/2006/relationships/header" Target="head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C1558B-A35F-4CCC-AD0B-5B15B85A7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1815</TotalTime>
  <Pages>10</Pages>
  <Words>4042</Words>
  <Characters>21425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GEOMAR</Company>
  <LinksUpToDate>false</LinksUpToDate>
  <CharactersWithSpaces>25417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Hattich, Giannina</dc:creator>
  <cp:lastModifiedBy>Giannina Hattich</cp:lastModifiedBy>
  <cp:revision>8</cp:revision>
  <dcterms:created xsi:type="dcterms:W3CDTF">2021-08-05T07:57:00Z</dcterms:created>
  <dcterms:modified xsi:type="dcterms:W3CDTF">2021-08-06T14:12:00Z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http://www.zotero.org/styles/limnology-and-oceanography</vt:lpwstr>
  </property>
  <property fmtid="{D5CDD505-2E9C-101B-9397-08002B2CF9AE}" pid="15" name="Mendeley Recent Style Name 6_1">
    <vt:lpwstr>Limnology and Oceanography</vt:lpwstr>
  </property>
  <property fmtid="{D5CDD505-2E9C-101B-9397-08002B2CF9AE}" pid="16" name="Mendeley Recent Style Id 7_1">
    <vt:lpwstr>http://www.zotero.org/styles/marine-pollution-bulletin</vt:lpwstr>
  </property>
  <property fmtid="{D5CDD505-2E9C-101B-9397-08002B2CF9AE}" pid="17" name="Mendeley Recent Style Name 7_1">
    <vt:lpwstr>Marine Pollution Bulletin</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db737a21-fd25-39cc-b09e-de40a4176ec5</vt:lpwstr>
  </property>
  <property fmtid="{D5CDD505-2E9C-101B-9397-08002B2CF9AE}" pid="24" name="Mendeley Citation Style_1">
    <vt:lpwstr>http://www.zotero.org/styles/limnology-and-oceanography</vt:lpwstr>
  </property>
</Properties>
</file>