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EE" w:rsidRPr="005B7386" w:rsidRDefault="00326CEE" w:rsidP="00D05255">
      <w:pPr>
        <w:autoSpaceDE w:val="0"/>
        <w:autoSpaceDN w:val="0"/>
        <w:adjustRightInd w:val="0"/>
        <w:spacing w:line="360" w:lineRule="auto"/>
        <w:rPr>
          <w:rFonts w:ascii="Calibri" w:hAnsi="Calibri" w:cs="Calibri"/>
          <w:b/>
          <w:lang w:val="en-US"/>
        </w:rPr>
      </w:pPr>
      <w:bookmarkStart w:id="0" w:name="_GoBack"/>
      <w:bookmarkEnd w:id="0"/>
      <w:r w:rsidRPr="005B7386">
        <w:rPr>
          <w:rFonts w:ascii="Calibri" w:hAnsi="Calibri" w:cs="Calibri"/>
          <w:b/>
          <w:lang w:val="en-US"/>
        </w:rPr>
        <w:t>Supporting information on model interpretation:</w:t>
      </w:r>
    </w:p>
    <w:p w:rsidR="00326CEE" w:rsidRPr="00B957A6" w:rsidRDefault="00326CEE" w:rsidP="00326CEE">
      <w:pPr>
        <w:autoSpaceDE w:val="0"/>
        <w:autoSpaceDN w:val="0"/>
        <w:adjustRightInd w:val="0"/>
        <w:rPr>
          <w:rFonts w:ascii="Calibri" w:hAnsi="Calibri" w:cs="Calibri"/>
          <w:color w:val="000000"/>
          <w:sz w:val="22"/>
          <w:szCs w:val="22"/>
        </w:rPr>
      </w:pPr>
      <w:r w:rsidRPr="00B957A6">
        <w:rPr>
          <w:rFonts w:ascii="Calibri" w:hAnsi="Calibri" w:cs="Calibri"/>
          <w:color w:val="000000"/>
          <w:sz w:val="22"/>
          <w:szCs w:val="22"/>
        </w:rPr>
        <w:t xml:space="preserve">For continuous variables, a count ratio of 0.1 means that when the term is 1 standard deviation below its mean and all other terms are at their means, then the count is 10% of what it is when all terms are at their means. A count ratio of 1.1 means that when the term is 1 standard deviation above its mean and all other terms are at their means, then the count is 10% higher than when all terms are at their means. For the categorical variable of Gear, a count ratio of 0.28 means that the Moc10 gear retained 28 percent as much total GZ per unit volume as the other gear. Since the model is using categorical variables Daytime and Gear MOC1 as the baseline, the above examples are all relative to those baselines. As long as we don’t expect the categorical variables to interact with the continuous ones (which we don’t), </w:t>
      </w:r>
      <w:r w:rsidR="00160143">
        <w:rPr>
          <w:rFonts w:ascii="Calibri" w:hAnsi="Calibri" w:cs="Calibri"/>
          <w:color w:val="000000"/>
          <w:sz w:val="22"/>
          <w:szCs w:val="22"/>
        </w:rPr>
        <w:t xml:space="preserve">the baseline categories should not make a </w:t>
      </w:r>
      <w:r w:rsidRPr="00B957A6">
        <w:rPr>
          <w:rFonts w:ascii="Calibri" w:hAnsi="Calibri" w:cs="Calibri"/>
          <w:color w:val="000000"/>
          <w:sz w:val="22"/>
          <w:szCs w:val="22"/>
        </w:rPr>
        <w:t xml:space="preserve">difference. </w:t>
      </w:r>
    </w:p>
    <w:p w:rsidR="004E1607" w:rsidRPr="00B957A6" w:rsidRDefault="004E1607" w:rsidP="00326CEE">
      <w:pPr>
        <w:autoSpaceDE w:val="0"/>
        <w:autoSpaceDN w:val="0"/>
        <w:adjustRightInd w:val="0"/>
        <w:rPr>
          <w:rFonts w:ascii="Calibri" w:hAnsi="Calibri" w:cs="Calibri"/>
          <w:color w:val="000000"/>
          <w:sz w:val="22"/>
          <w:szCs w:val="22"/>
        </w:rPr>
      </w:pPr>
    </w:p>
    <w:p w:rsidR="00D05255" w:rsidRPr="0027010C" w:rsidRDefault="00D05255"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Bold"/>
          <w:b/>
          <w:bCs/>
          <w:sz w:val="22"/>
          <w:szCs w:val="22"/>
          <w:lang w:val="en-US" w:eastAsia="en-US"/>
        </w:rPr>
        <w:t xml:space="preserve">Table </w:t>
      </w:r>
      <w:r w:rsidR="00453CEB" w:rsidRPr="0027010C">
        <w:rPr>
          <w:rFonts w:ascii="Calibri" w:eastAsia="Calibri" w:hAnsi="Calibri" w:cs="LMRoman10-Bold"/>
          <w:b/>
          <w:bCs/>
          <w:sz w:val="22"/>
          <w:szCs w:val="22"/>
          <w:lang w:val="en-US" w:eastAsia="en-US"/>
        </w:rPr>
        <w:t>S</w:t>
      </w:r>
      <w:r w:rsidR="00453CEB">
        <w:rPr>
          <w:rFonts w:ascii="Calibri" w:eastAsia="Calibri" w:hAnsi="Calibri" w:cs="LMRoman10-Bold"/>
          <w:b/>
          <w:bCs/>
          <w:sz w:val="22"/>
          <w:szCs w:val="22"/>
          <w:lang w:val="en-US" w:eastAsia="en-US"/>
        </w:rPr>
        <w:t>1</w:t>
      </w:r>
      <w:r w:rsidRPr="0027010C">
        <w:rPr>
          <w:rFonts w:ascii="Calibri" w:eastAsia="Calibri" w:hAnsi="Calibri" w:cs="LMRoman10-Bold"/>
          <w:b/>
          <w:bCs/>
          <w:sz w:val="22"/>
          <w:szCs w:val="22"/>
          <w:lang w:val="en-US" w:eastAsia="en-US"/>
        </w:rPr>
        <w:t xml:space="preserve">: AICc table of model selection for </w:t>
      </w:r>
      <w:r w:rsidRPr="0027010C">
        <w:rPr>
          <w:rFonts w:ascii="Calibri" w:eastAsia="Calibri" w:hAnsi="Calibri" w:cs="LMRoman10-BoldItalic"/>
          <w:b/>
          <w:bCs/>
          <w:i/>
          <w:iCs/>
          <w:sz w:val="22"/>
          <w:szCs w:val="22"/>
          <w:lang w:val="en-US" w:eastAsia="en-US"/>
        </w:rPr>
        <w:t xml:space="preserve">Beroe </w:t>
      </w:r>
      <w:r w:rsidRPr="0027010C">
        <w:rPr>
          <w:rFonts w:ascii="Calibri" w:eastAsia="Calibri" w:hAnsi="Calibri" w:cs="LMRoman10-Bold"/>
          <w:b/>
          <w:bCs/>
          <w:sz w:val="22"/>
          <w:szCs w:val="22"/>
          <w:lang w:val="en-US" w:eastAsia="en-US"/>
        </w:rPr>
        <w:t>spp. counts</w:t>
      </w:r>
      <w:r w:rsidRPr="0027010C">
        <w:rPr>
          <w:rFonts w:ascii="Calibri" w:eastAsia="Calibri" w:hAnsi="Calibri" w:cs="LMRoman10-Regular"/>
          <w:sz w:val="22"/>
          <w:szCs w:val="22"/>
          <w:lang w:val="en-US" w:eastAsia="en-US"/>
        </w:rPr>
        <w:t>. Each row represents a model</w:t>
      </w:r>
      <w:r w:rsidR="000B3778">
        <w:rPr>
          <w:rFonts w:ascii="Calibri" w:eastAsia="Calibri" w:hAnsi="Calibri" w:cs="LMRoman10-Regular"/>
          <w:sz w:val="22"/>
          <w:szCs w:val="22"/>
        </w:rPr>
        <w:t xml:space="preserve"> </w:t>
      </w:r>
      <w:r w:rsidRPr="0027010C">
        <w:rPr>
          <w:rFonts w:ascii="Calibri" w:eastAsia="Calibri" w:hAnsi="Calibri" w:cs="LMRoman10-Regular"/>
          <w:sz w:val="22"/>
          <w:szCs w:val="22"/>
          <w:lang w:val="en-US" w:eastAsia="en-US"/>
        </w:rPr>
        <w:t>Columns “Depth”, “Oxygen”, “Salinity”, and “Temp” represent coefficient estimates for the continuous</w:t>
      </w:r>
      <w:r w:rsidR="000B3778">
        <w:rPr>
          <w:rFonts w:ascii="Calibri" w:eastAsia="Calibri" w:hAnsi="Calibri" w:cs="LMRoman10-Regular"/>
          <w:sz w:val="22"/>
          <w:szCs w:val="22"/>
          <w:lang w:val="en-US" w:eastAsia="en-US"/>
        </w:rPr>
        <w:t xml:space="preserve"> </w:t>
      </w:r>
      <w:r w:rsidR="00E15247" w:rsidRPr="0027010C">
        <w:rPr>
          <w:rFonts w:ascii="Calibri" w:eastAsia="Calibri" w:hAnsi="Calibri" w:cs="LMRoman10-Regular"/>
          <w:sz w:val="22"/>
          <w:szCs w:val="22"/>
          <w:lang w:val="en-US" w:eastAsia="en-US"/>
        </w:rPr>
        <w:t>v</w:t>
      </w:r>
      <w:r w:rsidRPr="0027010C">
        <w:rPr>
          <w:rFonts w:ascii="Calibri" w:eastAsia="Calibri" w:hAnsi="Calibri" w:cs="LMRoman10-Regular"/>
          <w:sz w:val="22"/>
          <w:szCs w:val="22"/>
          <w:lang w:val="en-US" w:eastAsia="en-US"/>
        </w:rPr>
        <w:t>ariables, which were scaled to have mean zero and unit variance across the entire dataset for comparability.</w:t>
      </w:r>
      <w:r w:rsidR="000B3778">
        <w:rPr>
          <w:rFonts w:ascii="Calibri" w:eastAsia="Calibri" w:hAnsi="Calibri" w:cs="LMRoman10-Regular"/>
          <w:sz w:val="22"/>
          <w:szCs w:val="22"/>
          <w:lang w:val="en-US" w:eastAsia="en-US"/>
        </w:rPr>
        <w:t xml:space="preserve"> </w:t>
      </w:r>
      <w:r w:rsidRPr="0027010C">
        <w:rPr>
          <w:rFonts w:ascii="Calibri" w:eastAsia="Calibri" w:hAnsi="Calibri" w:cs="LMRoman10-Regular"/>
          <w:sz w:val="22"/>
          <w:szCs w:val="22"/>
          <w:lang w:val="en-US" w:eastAsia="en-US"/>
        </w:rPr>
        <w:t>Columns “Gear” and “Time” represent the presence of those factors in the models. A blank entry means that</w:t>
      </w:r>
      <w:r w:rsidR="000B3778">
        <w:rPr>
          <w:rFonts w:ascii="Calibri" w:eastAsia="Calibri" w:hAnsi="Calibri" w:cs="LMRoman10-Regular"/>
          <w:sz w:val="22"/>
          <w:szCs w:val="22"/>
          <w:lang w:val="en-US" w:eastAsia="en-US"/>
        </w:rPr>
        <w:t xml:space="preserve"> </w:t>
      </w:r>
      <w:r w:rsidRPr="0027010C">
        <w:rPr>
          <w:rFonts w:ascii="Calibri" w:eastAsia="Calibri" w:hAnsi="Calibri" w:cs="LMRoman10-Regular"/>
          <w:sz w:val="22"/>
          <w:szCs w:val="22"/>
          <w:lang w:val="en-US" w:eastAsia="en-US"/>
        </w:rPr>
        <w:t>the fixed effect did not appear in the submodel. All models also included intercepts, an offset of log volume</w:t>
      </w:r>
      <w:r w:rsidR="000B3778">
        <w:rPr>
          <w:rFonts w:ascii="Calibri" w:eastAsia="Calibri" w:hAnsi="Calibri" w:cs="LMRoman10-Regular"/>
          <w:sz w:val="22"/>
          <w:szCs w:val="22"/>
          <w:lang w:val="en-US" w:eastAsia="en-US"/>
        </w:rPr>
        <w:t xml:space="preserve"> </w:t>
      </w:r>
      <w:r w:rsidRPr="0027010C">
        <w:rPr>
          <w:rFonts w:ascii="Calibri" w:eastAsia="Calibri" w:hAnsi="Calibri" w:cs="LMRoman10-Regular"/>
          <w:sz w:val="22"/>
          <w:szCs w:val="22"/>
          <w:lang w:val="en-US" w:eastAsia="en-US"/>
        </w:rPr>
        <w:t>of water filtered, a dispersion parameter for the negative binomial distribution, and random effects of trawl</w:t>
      </w:r>
    </w:p>
    <w:p w:rsidR="00D05255" w:rsidRPr="0027010C" w:rsidRDefault="00D05255"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and site. Models are presented in ascending order of delta AICc (the last column), up to 7. The column “df” is the number of parameters estimated in the model, which does not count the offset. The full model is represented by df=10.</w:t>
      </w:r>
      <w:r w:rsidR="005E7A4A" w:rsidRPr="0027010C">
        <w:rPr>
          <w:rFonts w:ascii="Calibri" w:eastAsia="Calibri" w:hAnsi="Calibri" w:cs="LMRoman10-Regular"/>
          <w:sz w:val="22"/>
          <w:szCs w:val="22"/>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3"/>
        <w:gridCol w:w="1307"/>
        <w:gridCol w:w="1313"/>
        <w:gridCol w:w="1309"/>
        <w:gridCol w:w="1307"/>
        <w:gridCol w:w="1300"/>
        <w:gridCol w:w="1307"/>
      </w:tblGrid>
      <w:tr w:rsidR="0027010C" w:rsidTr="0027010C">
        <w:tc>
          <w:tcPr>
            <w:tcW w:w="1325" w:type="dxa"/>
            <w:tcBorders>
              <w:top w:val="nil"/>
              <w:left w:val="nil"/>
              <w:bottom w:val="single" w:sz="4" w:space="0" w:color="auto"/>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Depth</w:t>
            </w:r>
          </w:p>
        </w:tc>
        <w:tc>
          <w:tcPr>
            <w:tcW w:w="1325" w:type="dxa"/>
            <w:tcBorders>
              <w:top w:val="nil"/>
              <w:left w:val="nil"/>
              <w:bottom w:val="single" w:sz="4" w:space="0" w:color="auto"/>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Oxygen</w:t>
            </w:r>
          </w:p>
        </w:tc>
        <w:tc>
          <w:tcPr>
            <w:tcW w:w="1326" w:type="dxa"/>
            <w:tcBorders>
              <w:top w:val="nil"/>
              <w:left w:val="nil"/>
              <w:bottom w:val="single" w:sz="4" w:space="0" w:color="auto"/>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Gear</w:t>
            </w:r>
          </w:p>
        </w:tc>
        <w:tc>
          <w:tcPr>
            <w:tcW w:w="1326" w:type="dxa"/>
            <w:tcBorders>
              <w:top w:val="nil"/>
              <w:left w:val="nil"/>
              <w:bottom w:val="single" w:sz="4" w:space="0" w:color="auto"/>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Salinity</w:t>
            </w:r>
          </w:p>
        </w:tc>
        <w:tc>
          <w:tcPr>
            <w:tcW w:w="1326" w:type="dxa"/>
            <w:tcBorders>
              <w:top w:val="nil"/>
              <w:left w:val="nil"/>
              <w:bottom w:val="single" w:sz="4" w:space="0" w:color="auto"/>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Temp</w:t>
            </w:r>
          </w:p>
        </w:tc>
        <w:tc>
          <w:tcPr>
            <w:tcW w:w="1326" w:type="dxa"/>
            <w:tcBorders>
              <w:top w:val="nil"/>
              <w:left w:val="nil"/>
              <w:bottom w:val="single" w:sz="4" w:space="0" w:color="auto"/>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Time</w:t>
            </w:r>
          </w:p>
        </w:tc>
        <w:tc>
          <w:tcPr>
            <w:tcW w:w="1326" w:type="dxa"/>
            <w:tcBorders>
              <w:top w:val="nil"/>
              <w:left w:val="nil"/>
              <w:bottom w:val="single" w:sz="4" w:space="0" w:color="auto"/>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df</w:t>
            </w:r>
          </w:p>
        </w:tc>
        <w:tc>
          <w:tcPr>
            <w:tcW w:w="1326" w:type="dxa"/>
            <w:tcBorders>
              <w:top w:val="nil"/>
              <w:left w:val="nil"/>
              <w:bottom w:val="single" w:sz="4" w:space="0" w:color="auto"/>
              <w:right w:val="nil"/>
            </w:tcBorders>
            <w:shd w:val="clear" w:color="auto" w:fill="auto"/>
          </w:tcPr>
          <w:p w:rsidR="005E7A4A" w:rsidRPr="0027010C" w:rsidRDefault="005E7A4A" w:rsidP="0027010C">
            <w:pPr>
              <w:autoSpaceDE w:val="0"/>
              <w:autoSpaceDN w:val="0"/>
              <w:adjustRightInd w:val="0"/>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delta</w:t>
            </w:r>
          </w:p>
        </w:tc>
      </w:tr>
      <w:tr w:rsidR="0027010C" w:rsidTr="0027010C">
        <w:tc>
          <w:tcPr>
            <w:tcW w:w="1325" w:type="dxa"/>
            <w:tcBorders>
              <w:top w:val="single" w:sz="4" w:space="0" w:color="auto"/>
              <w:left w:val="nil"/>
              <w:bottom w:val="nil"/>
              <w:right w:val="nil"/>
            </w:tcBorders>
            <w:shd w:val="clear" w:color="auto" w:fill="auto"/>
          </w:tcPr>
          <w:p w:rsidR="005E7A4A" w:rsidRPr="0027010C" w:rsidRDefault="005E7A4A" w:rsidP="0027010C">
            <w:pPr>
              <w:autoSpaceDE w:val="0"/>
              <w:autoSpaceDN w:val="0"/>
              <w:adjustRightInd w:val="0"/>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1.15</w:t>
            </w:r>
          </w:p>
        </w:tc>
        <w:tc>
          <w:tcPr>
            <w:tcW w:w="1325" w:type="dxa"/>
            <w:tcBorders>
              <w:top w:val="single" w:sz="4" w:space="0" w:color="auto"/>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single" w:sz="4" w:space="0" w:color="auto"/>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single" w:sz="4" w:space="0" w:color="auto"/>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1.33</w:t>
            </w:r>
          </w:p>
        </w:tc>
        <w:tc>
          <w:tcPr>
            <w:tcW w:w="1326" w:type="dxa"/>
            <w:tcBorders>
              <w:top w:val="single" w:sz="4" w:space="0" w:color="auto"/>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single" w:sz="4" w:space="0" w:color="auto"/>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single" w:sz="4" w:space="0" w:color="auto"/>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single" w:sz="4" w:space="0" w:color="auto"/>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0.00</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1.94</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-0.52</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0.99</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1.55</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1.52</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1.12</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0.91</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0.42</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1.59</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0.79</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1.00</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2.05</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1.15</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1.32</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2.09</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1.20</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-0.03</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1.39</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2.19</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1.09</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-0.22</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1.44</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3.53</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1.94</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-0.52</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0.99</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1.55</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3.65</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1.12</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0.90</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0.42</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3.70</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0.79</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0.99</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4.09</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1.20</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-0.03</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1.39</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4.31</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0.31</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4.33</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1.09</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-0.22</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1.43</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5.61</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0.08</w:t>
            </w: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0.34</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6.07</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0.31</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6.37</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0.33</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-0.03</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6.49</w:t>
            </w:r>
          </w:p>
        </w:tc>
      </w:tr>
      <w:tr w:rsidR="0027010C" w:rsidTr="0027010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0.30</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0.01</w:t>
            </w: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5E7A4A"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5E7A4A" w:rsidRPr="0027010C" w:rsidRDefault="00B37F51"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6.51</w:t>
            </w:r>
          </w:p>
        </w:tc>
      </w:tr>
    </w:tbl>
    <w:p w:rsidR="00425153" w:rsidRPr="0027010C" w:rsidRDefault="00425153">
      <w:pPr>
        <w:spacing w:after="160" w:line="259" w:lineRule="auto"/>
        <w:rPr>
          <w:rFonts w:ascii="LMRoman10-Regular" w:eastAsia="Calibri" w:hAnsi="LMRoman10-Regular" w:cs="LMRoman10-Regular"/>
          <w:sz w:val="20"/>
          <w:szCs w:val="20"/>
          <w:lang w:val="da-DK" w:eastAsia="en-US"/>
        </w:rPr>
      </w:pPr>
      <w:r w:rsidRPr="0027010C">
        <w:rPr>
          <w:rFonts w:ascii="LMRoman10-Regular" w:eastAsia="Calibri" w:hAnsi="LMRoman10-Regular" w:cs="LMRoman10-Regular"/>
          <w:sz w:val="20"/>
          <w:szCs w:val="20"/>
          <w:lang w:val="da-DK" w:eastAsia="en-US"/>
        </w:rPr>
        <w:br w:type="page"/>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Bold"/>
          <w:b/>
          <w:bCs/>
          <w:sz w:val="22"/>
          <w:szCs w:val="22"/>
          <w:lang w:val="en-US" w:eastAsia="en-US"/>
        </w:rPr>
        <w:lastRenderedPageBreak/>
        <w:t xml:space="preserve">Table </w:t>
      </w:r>
      <w:r w:rsidR="00453CEB" w:rsidRPr="0027010C">
        <w:rPr>
          <w:rFonts w:ascii="Calibri" w:eastAsia="Calibri" w:hAnsi="Calibri" w:cs="LMRoman10-Bold"/>
          <w:b/>
          <w:bCs/>
          <w:sz w:val="22"/>
          <w:szCs w:val="22"/>
          <w:lang w:val="en-US" w:eastAsia="en-US"/>
        </w:rPr>
        <w:t>S</w:t>
      </w:r>
      <w:r w:rsidR="00453CEB">
        <w:rPr>
          <w:rFonts w:ascii="Calibri" w:eastAsia="Calibri" w:hAnsi="Calibri" w:cs="LMRoman10-Bold"/>
          <w:b/>
          <w:bCs/>
          <w:sz w:val="22"/>
          <w:szCs w:val="22"/>
          <w:lang w:val="en-US" w:eastAsia="en-US"/>
        </w:rPr>
        <w:t>2</w:t>
      </w:r>
      <w:r w:rsidRPr="0027010C">
        <w:rPr>
          <w:rFonts w:ascii="Calibri" w:eastAsia="Calibri" w:hAnsi="Calibri" w:cs="LMRoman10-Bold"/>
          <w:b/>
          <w:bCs/>
          <w:sz w:val="22"/>
          <w:szCs w:val="22"/>
          <w:lang w:val="en-US" w:eastAsia="en-US"/>
        </w:rPr>
        <w:t>: AIC</w:t>
      </w:r>
      <w:r w:rsidR="00AA197E">
        <w:rPr>
          <w:rFonts w:ascii="Calibri" w:eastAsia="Calibri" w:hAnsi="Calibri" w:cs="LMRoman10-Bold"/>
          <w:b/>
          <w:bCs/>
          <w:sz w:val="22"/>
          <w:szCs w:val="22"/>
          <w:lang w:val="en-US" w:eastAsia="en-US"/>
        </w:rPr>
        <w:t>c table of model selection for h</w:t>
      </w:r>
      <w:r w:rsidRPr="0027010C">
        <w:rPr>
          <w:rFonts w:ascii="Calibri" w:eastAsia="Calibri" w:hAnsi="Calibri" w:cs="LMRoman10-Bold"/>
          <w:b/>
          <w:bCs/>
          <w:sz w:val="22"/>
          <w:szCs w:val="22"/>
          <w:lang w:val="en-US" w:eastAsia="en-US"/>
        </w:rPr>
        <w:t>ydromedusae counts</w:t>
      </w:r>
      <w:r w:rsidRPr="0027010C">
        <w:rPr>
          <w:rFonts w:ascii="Calibri" w:eastAsia="Calibri" w:hAnsi="Calibri" w:cs="LMRoman10-Regular"/>
          <w:sz w:val="22"/>
          <w:szCs w:val="22"/>
          <w:lang w:val="en-US" w:eastAsia="en-US"/>
        </w:rPr>
        <w:t>. Each row represents a model.</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Columns “Depth”, “Oxygen”, “Salinity”, and “Temp” represent coefficient estimates for the continuous</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variables which were scaled to have mean zero and unit variance across the entire dataset for comparability.</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Columns “Gear” and “Time” represent the presence of those factors in the models. A blank entry means that</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the fixed effect did not appear in the submodel. All models also included intercepts, an offset of log volume</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of water filtered, a dispersion parameter for the negative binomial distribution, and random effects of trawl</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and site. Models are presented in ascending order of delta AICc (the last column), up to 7. The column “df”</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is the number of parameters estimated in the model, which does not count the offset. The full model is represented by df=10.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3"/>
        <w:gridCol w:w="1307"/>
        <w:gridCol w:w="1313"/>
        <w:gridCol w:w="1309"/>
        <w:gridCol w:w="1307"/>
        <w:gridCol w:w="1300"/>
        <w:gridCol w:w="1307"/>
      </w:tblGrid>
      <w:tr w:rsidR="0027010C" w:rsidTr="0027010C">
        <w:tc>
          <w:tcPr>
            <w:tcW w:w="1325" w:type="dxa"/>
            <w:tcBorders>
              <w:top w:val="nil"/>
              <w:left w:val="nil"/>
              <w:bottom w:val="single" w:sz="4" w:space="0" w:color="auto"/>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Depth</w:t>
            </w:r>
          </w:p>
        </w:tc>
        <w:tc>
          <w:tcPr>
            <w:tcW w:w="1325" w:type="dxa"/>
            <w:tcBorders>
              <w:top w:val="nil"/>
              <w:left w:val="nil"/>
              <w:bottom w:val="single" w:sz="4" w:space="0" w:color="auto"/>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Oxygen</w:t>
            </w:r>
          </w:p>
        </w:tc>
        <w:tc>
          <w:tcPr>
            <w:tcW w:w="1326" w:type="dxa"/>
            <w:tcBorders>
              <w:top w:val="nil"/>
              <w:left w:val="nil"/>
              <w:bottom w:val="single" w:sz="4" w:space="0" w:color="auto"/>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Gear</w:t>
            </w:r>
          </w:p>
        </w:tc>
        <w:tc>
          <w:tcPr>
            <w:tcW w:w="1326" w:type="dxa"/>
            <w:tcBorders>
              <w:top w:val="nil"/>
              <w:left w:val="nil"/>
              <w:bottom w:val="single" w:sz="4" w:space="0" w:color="auto"/>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Salinity</w:t>
            </w:r>
          </w:p>
        </w:tc>
        <w:tc>
          <w:tcPr>
            <w:tcW w:w="1326" w:type="dxa"/>
            <w:tcBorders>
              <w:top w:val="nil"/>
              <w:left w:val="nil"/>
              <w:bottom w:val="single" w:sz="4" w:space="0" w:color="auto"/>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Temp</w:t>
            </w:r>
          </w:p>
        </w:tc>
        <w:tc>
          <w:tcPr>
            <w:tcW w:w="1326" w:type="dxa"/>
            <w:tcBorders>
              <w:top w:val="nil"/>
              <w:left w:val="nil"/>
              <w:bottom w:val="single" w:sz="4" w:space="0" w:color="auto"/>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Time</w:t>
            </w:r>
          </w:p>
        </w:tc>
        <w:tc>
          <w:tcPr>
            <w:tcW w:w="1326" w:type="dxa"/>
            <w:tcBorders>
              <w:top w:val="nil"/>
              <w:left w:val="nil"/>
              <w:bottom w:val="single" w:sz="4" w:space="0" w:color="auto"/>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df</w:t>
            </w:r>
          </w:p>
        </w:tc>
        <w:tc>
          <w:tcPr>
            <w:tcW w:w="1326" w:type="dxa"/>
            <w:tcBorders>
              <w:top w:val="nil"/>
              <w:left w:val="nil"/>
              <w:bottom w:val="single" w:sz="4" w:space="0" w:color="auto"/>
              <w:right w:val="nil"/>
            </w:tcBorders>
            <w:shd w:val="clear" w:color="auto" w:fill="auto"/>
          </w:tcPr>
          <w:p w:rsidR="00FC74C5" w:rsidRPr="0027010C" w:rsidRDefault="00FC74C5" w:rsidP="0027010C">
            <w:pPr>
              <w:autoSpaceDE w:val="0"/>
              <w:autoSpaceDN w:val="0"/>
              <w:adjustRightInd w:val="0"/>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delta</w:t>
            </w:r>
          </w:p>
        </w:tc>
      </w:tr>
      <w:tr w:rsidR="0027010C" w:rsidTr="0027010C">
        <w:tc>
          <w:tcPr>
            <w:tcW w:w="1325" w:type="dxa"/>
            <w:tcBorders>
              <w:top w:val="single" w:sz="4" w:space="0" w:color="auto"/>
              <w:left w:val="nil"/>
              <w:bottom w:val="nil"/>
              <w:right w:val="nil"/>
            </w:tcBorders>
            <w:shd w:val="clear" w:color="auto" w:fill="auto"/>
          </w:tcPr>
          <w:p w:rsidR="00FC74C5" w:rsidRPr="0027010C" w:rsidRDefault="00FC74C5" w:rsidP="0027010C">
            <w:pPr>
              <w:autoSpaceDE w:val="0"/>
              <w:autoSpaceDN w:val="0"/>
              <w:adjustRightInd w:val="0"/>
              <w:jc w:val="center"/>
              <w:rPr>
                <w:rFonts w:ascii="Calibri" w:eastAsia="Calibri" w:hAnsi="Calibri" w:cs="LMRoman10-Regular"/>
                <w:sz w:val="22"/>
                <w:szCs w:val="22"/>
                <w:lang w:val="en-US" w:eastAsia="en-US"/>
              </w:rPr>
            </w:pPr>
          </w:p>
        </w:tc>
        <w:tc>
          <w:tcPr>
            <w:tcW w:w="1325" w:type="dxa"/>
            <w:tcBorders>
              <w:top w:val="single" w:sz="4" w:space="0" w:color="auto"/>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-0.70</w:t>
            </w:r>
          </w:p>
        </w:tc>
        <w:tc>
          <w:tcPr>
            <w:tcW w:w="1326" w:type="dxa"/>
            <w:tcBorders>
              <w:top w:val="single" w:sz="4" w:space="0" w:color="auto"/>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single" w:sz="4" w:space="0" w:color="auto"/>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single" w:sz="4" w:space="0" w:color="auto"/>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1.17</w:t>
            </w:r>
          </w:p>
        </w:tc>
        <w:tc>
          <w:tcPr>
            <w:tcW w:w="1326" w:type="dxa"/>
            <w:tcBorders>
              <w:top w:val="single" w:sz="4" w:space="0" w:color="auto"/>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single" w:sz="4" w:space="0" w:color="auto"/>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single" w:sz="4" w:space="0" w:color="auto"/>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0.00</w:t>
            </w:r>
          </w:p>
        </w:tc>
      </w:tr>
      <w:tr w:rsidR="0027010C" w:rsidTr="0027010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-0.71</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1.16</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0.69</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-0.80</w:t>
            </w:r>
          </w:p>
        </w:t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1.21</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-0.79</w:t>
            </w:r>
          </w:p>
        </w:t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1.83</w:t>
            </w:r>
          </w:p>
        </w:tc>
      </w:tr>
      <w:tr w:rsidR="0027010C" w:rsidTr="0027010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-0.67</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0.24</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0.95</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1.84</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-0.23</w:t>
            </w: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-0.59</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0.90</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1.94</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-0.88</w:t>
            </w: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-0.18</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1.96</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-0.88</w:t>
            </w: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-0.20</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2.34</w:t>
            </w:r>
          </w:p>
        </w:tc>
      </w:tr>
      <w:tr w:rsidR="0027010C" w:rsidTr="0027010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-0.67</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0.29</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0.90</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2.39</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-0.27</w:t>
            </w: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-0.58</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0.84</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2.53</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-1.01</w:t>
            </w:r>
          </w:p>
        </w:t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-0.23</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3.06</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-0.90</w:t>
            </w:r>
          </w:p>
        </w:t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-0.10</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3.28</w:t>
            </w:r>
          </w:p>
        </w:tc>
      </w:tr>
      <w:tr w:rsidR="0027010C" w:rsidTr="0027010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-0.43</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1.05</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3.51</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-1.02</w:t>
            </w:r>
          </w:p>
        </w:t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-0.25</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3.65</w:t>
            </w:r>
          </w:p>
        </w:tc>
      </w:tr>
      <w:tr w:rsidR="0027010C" w:rsidTr="0027010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-0.45</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1.06</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3.67</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-0.92</w:t>
            </w:r>
          </w:p>
        </w:t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-0.14</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3.83</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-0.71</w:t>
            </w: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-0.24</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0.21</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4.06</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-0.07</w:t>
            </w: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-0.64</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0.19</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0.91</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4.07</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-0.68</w:t>
            </w: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-0.27</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0.25</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4.42</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-0.08</w:t>
            </w:r>
          </w:p>
        </w:t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-0.64</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0.24</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0.86</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4.65</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-1.01</w:t>
            </w:r>
          </w:p>
        </w:t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-0.24</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0.01</w:t>
            </w: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5.27</w:t>
            </w:r>
          </w:p>
        </w:tc>
      </w:tr>
      <w:tr w:rsidR="0027010C" w:rsidTr="0027010C">
        <w:tc>
          <w:tcPr>
            <w:tcW w:w="1325"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-1.03</w:t>
            </w:r>
          </w:p>
        </w:tc>
        <w:tc>
          <w:tcPr>
            <w:tcW w:w="1325"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FC74C5" w:rsidRPr="0027010C" w:rsidRDefault="00FC74C5"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-0.22</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-0.03</w:t>
            </w:r>
          </w:p>
        </w:tc>
        <w:tc>
          <w:tcPr>
            <w:tcW w:w="1326" w:type="dxa"/>
            <w:tcBorders>
              <w:top w:val="nil"/>
              <w:left w:val="nil"/>
              <w:bottom w:val="nil"/>
              <w:right w:val="nil"/>
            </w:tcBorders>
            <w:shd w:val="clear" w:color="auto" w:fill="auto"/>
          </w:tcPr>
          <w:p w:rsidR="00FC74C5" w:rsidRPr="0027010C" w:rsidRDefault="00AE1436"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FC74C5" w:rsidRPr="0027010C" w:rsidRDefault="00646198"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5.88</w:t>
            </w:r>
          </w:p>
        </w:tc>
      </w:tr>
    </w:tbl>
    <w:p w:rsidR="005E7A4A" w:rsidRPr="0027010C" w:rsidRDefault="005E7A4A" w:rsidP="00425153">
      <w:pPr>
        <w:autoSpaceDE w:val="0"/>
        <w:autoSpaceDN w:val="0"/>
        <w:adjustRightInd w:val="0"/>
        <w:spacing w:line="360" w:lineRule="auto"/>
        <w:rPr>
          <w:rFonts w:ascii="Calibri" w:eastAsia="Calibri" w:hAnsi="Calibri" w:cs="LMRoman10-Regular"/>
          <w:sz w:val="22"/>
          <w:szCs w:val="22"/>
          <w:lang w:val="en-US" w:eastAsia="en-US"/>
        </w:rPr>
      </w:pPr>
    </w:p>
    <w:p w:rsidR="00425153" w:rsidRPr="0027010C" w:rsidRDefault="00425153">
      <w:pPr>
        <w:spacing w:after="160" w:line="259" w:lineRule="auto"/>
        <w:rPr>
          <w:rFonts w:ascii="LMRoman10-Regular" w:eastAsia="Calibri" w:hAnsi="LMRoman10-Regular" w:cs="LMRoman10-Regular"/>
          <w:sz w:val="20"/>
          <w:szCs w:val="20"/>
          <w:lang w:val="da-DK" w:eastAsia="en-US"/>
        </w:rPr>
      </w:pPr>
      <w:r w:rsidRPr="0027010C">
        <w:rPr>
          <w:rFonts w:ascii="LMRoman10-Regular" w:eastAsia="Calibri" w:hAnsi="LMRoman10-Regular" w:cs="LMRoman10-Regular"/>
          <w:sz w:val="20"/>
          <w:szCs w:val="20"/>
          <w:lang w:val="da-DK" w:eastAsia="en-US"/>
        </w:rPr>
        <w:br w:type="page"/>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Bold"/>
          <w:b/>
          <w:bCs/>
          <w:sz w:val="22"/>
          <w:szCs w:val="22"/>
          <w:lang w:val="en-US" w:eastAsia="en-US"/>
        </w:rPr>
        <w:lastRenderedPageBreak/>
        <w:t xml:space="preserve">Table </w:t>
      </w:r>
      <w:r w:rsidR="00453CEB" w:rsidRPr="0027010C">
        <w:rPr>
          <w:rFonts w:ascii="Calibri" w:eastAsia="Calibri" w:hAnsi="Calibri" w:cs="LMRoman10-Bold"/>
          <w:b/>
          <w:bCs/>
          <w:sz w:val="22"/>
          <w:szCs w:val="22"/>
          <w:lang w:val="en-US" w:eastAsia="en-US"/>
        </w:rPr>
        <w:t>S</w:t>
      </w:r>
      <w:r w:rsidR="00453CEB">
        <w:rPr>
          <w:rFonts w:ascii="Calibri" w:eastAsia="Calibri" w:hAnsi="Calibri" w:cs="LMRoman10-Bold"/>
          <w:b/>
          <w:bCs/>
          <w:sz w:val="22"/>
          <w:szCs w:val="22"/>
          <w:lang w:val="en-US" w:eastAsia="en-US"/>
        </w:rPr>
        <w:t>3</w:t>
      </w:r>
      <w:r w:rsidRPr="0027010C">
        <w:rPr>
          <w:rFonts w:ascii="Calibri" w:eastAsia="Calibri" w:hAnsi="Calibri" w:cs="LMRoman10-Bold"/>
          <w:b/>
          <w:bCs/>
          <w:sz w:val="22"/>
          <w:szCs w:val="22"/>
          <w:lang w:val="en-US" w:eastAsia="en-US"/>
        </w:rPr>
        <w:t>: AICc table of model selection for total gelatinous zooplankton (GZ) counts</w:t>
      </w:r>
      <w:r w:rsidRPr="0027010C">
        <w:rPr>
          <w:rFonts w:ascii="Calibri" w:eastAsia="Calibri" w:hAnsi="Calibri" w:cs="LMRoman10-Regular"/>
          <w:sz w:val="22"/>
          <w:szCs w:val="22"/>
          <w:lang w:val="en-US" w:eastAsia="en-US"/>
        </w:rPr>
        <w:t>. Each row represents a model. Columns “Depth”, “Oxygen”, “Salinity”, and “Temp” represent coefficient estimates for the continuous variables which were scaled to have mean zero and unit variance across the entire dataset for comparability. Columns “Gear”</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and “Time” represent the presence of those factors in the models. A blank entry means that the fixed effect did not appear in the submodel. All models also included intercepts, an offset of log volume of water filtered, a dispersion parameter for the negative binomial distribution, and random effects of trawl and site. Models are presented in ascending order of delta AICc (the last column), up to 7. The column “df” is the number of parameters estimated in the model, which does not count the offset.</w:t>
      </w:r>
    </w:p>
    <w:p w:rsidR="00425153" w:rsidRPr="0027010C" w:rsidRDefault="00425153" w:rsidP="004E1607">
      <w:pPr>
        <w:autoSpaceDE w:val="0"/>
        <w:autoSpaceDN w:val="0"/>
        <w:adjustRightInd w:val="0"/>
        <w:rPr>
          <w:rFonts w:ascii="Calibri" w:eastAsia="Calibri" w:hAnsi="Calibri" w:cs="LMRoman10-Regular"/>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3"/>
        <w:gridCol w:w="1307"/>
        <w:gridCol w:w="1313"/>
        <w:gridCol w:w="1309"/>
        <w:gridCol w:w="1307"/>
        <w:gridCol w:w="1300"/>
        <w:gridCol w:w="1307"/>
      </w:tblGrid>
      <w:tr w:rsidR="0027010C" w:rsidTr="0027010C">
        <w:tc>
          <w:tcPr>
            <w:tcW w:w="1325" w:type="dxa"/>
            <w:tcBorders>
              <w:top w:val="nil"/>
              <w:left w:val="nil"/>
              <w:bottom w:val="single" w:sz="4" w:space="0" w:color="auto"/>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Depth</w:t>
            </w:r>
          </w:p>
        </w:tc>
        <w:tc>
          <w:tcPr>
            <w:tcW w:w="1325" w:type="dxa"/>
            <w:tcBorders>
              <w:top w:val="nil"/>
              <w:left w:val="nil"/>
              <w:bottom w:val="single" w:sz="4" w:space="0" w:color="auto"/>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Oxygen</w:t>
            </w:r>
          </w:p>
        </w:tc>
        <w:tc>
          <w:tcPr>
            <w:tcW w:w="1326" w:type="dxa"/>
            <w:tcBorders>
              <w:top w:val="nil"/>
              <w:left w:val="nil"/>
              <w:bottom w:val="single" w:sz="4" w:space="0" w:color="auto"/>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Gear</w:t>
            </w:r>
          </w:p>
        </w:tc>
        <w:tc>
          <w:tcPr>
            <w:tcW w:w="1326" w:type="dxa"/>
            <w:tcBorders>
              <w:top w:val="nil"/>
              <w:left w:val="nil"/>
              <w:bottom w:val="single" w:sz="4" w:space="0" w:color="auto"/>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Salinity</w:t>
            </w:r>
          </w:p>
        </w:tc>
        <w:tc>
          <w:tcPr>
            <w:tcW w:w="1326" w:type="dxa"/>
            <w:tcBorders>
              <w:top w:val="nil"/>
              <w:left w:val="nil"/>
              <w:bottom w:val="single" w:sz="4" w:space="0" w:color="auto"/>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Temp</w:t>
            </w:r>
          </w:p>
        </w:tc>
        <w:tc>
          <w:tcPr>
            <w:tcW w:w="1326" w:type="dxa"/>
            <w:tcBorders>
              <w:top w:val="nil"/>
              <w:left w:val="nil"/>
              <w:bottom w:val="single" w:sz="4" w:space="0" w:color="auto"/>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Time</w:t>
            </w:r>
          </w:p>
        </w:tc>
        <w:tc>
          <w:tcPr>
            <w:tcW w:w="1326" w:type="dxa"/>
            <w:tcBorders>
              <w:top w:val="nil"/>
              <w:left w:val="nil"/>
              <w:bottom w:val="single" w:sz="4" w:space="0" w:color="auto"/>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df</w:t>
            </w:r>
          </w:p>
        </w:tc>
        <w:tc>
          <w:tcPr>
            <w:tcW w:w="1326" w:type="dxa"/>
            <w:tcBorders>
              <w:top w:val="nil"/>
              <w:left w:val="nil"/>
              <w:bottom w:val="single" w:sz="4" w:space="0" w:color="auto"/>
              <w:right w:val="nil"/>
            </w:tcBorders>
            <w:shd w:val="clear" w:color="auto" w:fill="auto"/>
          </w:tcPr>
          <w:p w:rsidR="003C66E3" w:rsidRPr="0027010C" w:rsidRDefault="003C66E3" w:rsidP="0027010C">
            <w:pPr>
              <w:autoSpaceDE w:val="0"/>
              <w:autoSpaceDN w:val="0"/>
              <w:adjustRightInd w:val="0"/>
              <w:jc w:val="center"/>
              <w:rPr>
                <w:rFonts w:ascii="Calibri" w:eastAsia="Calibri" w:hAnsi="Calibri" w:cs="LMRoman10-Regular"/>
                <w:b/>
                <w:sz w:val="22"/>
                <w:szCs w:val="22"/>
                <w:lang w:val="en-US" w:eastAsia="en-US"/>
              </w:rPr>
            </w:pPr>
            <w:r w:rsidRPr="0027010C">
              <w:rPr>
                <w:rFonts w:ascii="Calibri" w:eastAsia="Calibri" w:hAnsi="Calibri" w:cs="LMRoman10-Regular"/>
                <w:b/>
                <w:sz w:val="22"/>
                <w:szCs w:val="22"/>
                <w:lang w:val="en-US" w:eastAsia="en-US"/>
              </w:rPr>
              <w:t>delta</w:t>
            </w:r>
          </w:p>
        </w:tc>
      </w:tr>
      <w:tr w:rsidR="0027010C" w:rsidTr="0027010C">
        <w:tc>
          <w:tcPr>
            <w:tcW w:w="1325" w:type="dxa"/>
            <w:tcBorders>
              <w:top w:val="single" w:sz="4" w:space="0" w:color="auto"/>
              <w:left w:val="nil"/>
              <w:bottom w:val="nil"/>
              <w:right w:val="nil"/>
            </w:tcBorders>
            <w:shd w:val="clear" w:color="auto" w:fill="auto"/>
          </w:tcPr>
          <w:p w:rsidR="003C66E3" w:rsidRPr="0027010C" w:rsidRDefault="003C66E3" w:rsidP="0027010C">
            <w:pPr>
              <w:autoSpaceDE w:val="0"/>
              <w:autoSpaceDN w:val="0"/>
              <w:adjustRightInd w:val="0"/>
              <w:jc w:val="center"/>
              <w:rPr>
                <w:rFonts w:ascii="Calibri" w:eastAsia="Calibri" w:hAnsi="Calibri" w:cs="LMRoman10-Regular"/>
                <w:sz w:val="22"/>
                <w:szCs w:val="22"/>
                <w:lang w:val="en-US" w:eastAsia="en-US"/>
              </w:rPr>
            </w:pPr>
          </w:p>
        </w:tc>
        <w:tc>
          <w:tcPr>
            <w:tcW w:w="1325" w:type="dxa"/>
            <w:tcBorders>
              <w:top w:val="single" w:sz="4" w:space="0" w:color="auto"/>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single" w:sz="4" w:space="0" w:color="auto"/>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single" w:sz="4" w:space="0" w:color="auto"/>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-0.59</w:t>
            </w:r>
          </w:p>
        </w:tc>
        <w:tc>
          <w:tcPr>
            <w:tcW w:w="1326" w:type="dxa"/>
            <w:tcBorders>
              <w:top w:val="single" w:sz="4" w:space="0" w:color="auto"/>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0.97</w:t>
            </w:r>
          </w:p>
        </w:tc>
        <w:tc>
          <w:tcPr>
            <w:tcW w:w="1326" w:type="dxa"/>
            <w:tcBorders>
              <w:top w:val="single" w:sz="4" w:space="0" w:color="auto"/>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single" w:sz="4" w:space="0" w:color="auto"/>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single" w:sz="4" w:space="0" w:color="auto"/>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0.00</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-0.57</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0.94</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1.69</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-0.02</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-0.60</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0.99</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2.19</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-0.03</w:t>
            </w: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-0.61</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0.96</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2.20</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-0.02</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-0.57</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0.96</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3.91</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-0.04</w:t>
            </w: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-0.59</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0.93</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3.92</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0.45</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4.16</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0.28</w:t>
            </w: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0.71</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4.27</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0.01</w:t>
            </w: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-0.02</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-0.59</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1.00</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4.43</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0.56</w:t>
            </w: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-0.21</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1.11</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5.09</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0.44</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5.28</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0.26</w:t>
            </w: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0.69</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8</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5.70</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0.05</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0.42</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7</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6.17</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0.00</w:t>
            </w: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-0.02</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-0.57</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0.96</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6.18</w:t>
            </w:r>
          </w:p>
        </w:tc>
      </w:tr>
      <w:tr w:rsidR="0027010C" w:rsidTr="0027010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0.53</w:t>
            </w:r>
          </w:p>
        </w:tc>
        <w:tc>
          <w:tcPr>
            <w:tcW w:w="1325"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-0.20</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1.06</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w:t>
            </w:r>
          </w:p>
        </w:tc>
        <w:tc>
          <w:tcPr>
            <w:tcW w:w="1326" w:type="dxa"/>
            <w:tcBorders>
              <w:top w:val="nil"/>
              <w:left w:val="nil"/>
              <w:bottom w:val="nil"/>
              <w:right w:val="nil"/>
            </w:tcBorders>
            <w:shd w:val="clear" w:color="auto" w:fill="auto"/>
          </w:tcPr>
          <w:p w:rsidR="003C66E3" w:rsidRPr="0027010C"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9</w:t>
            </w:r>
          </w:p>
        </w:tc>
        <w:tc>
          <w:tcPr>
            <w:tcW w:w="1326" w:type="dxa"/>
            <w:tcBorders>
              <w:top w:val="nil"/>
              <w:left w:val="nil"/>
              <w:bottom w:val="nil"/>
              <w:right w:val="nil"/>
            </w:tcBorders>
            <w:shd w:val="clear" w:color="auto" w:fill="auto"/>
          </w:tcPr>
          <w:p w:rsidR="003C66E3" w:rsidRDefault="003C66E3" w:rsidP="0027010C">
            <w:pPr>
              <w:autoSpaceDE w:val="0"/>
              <w:autoSpaceDN w:val="0"/>
              <w:adjustRightInd w:val="0"/>
              <w:spacing w:line="360" w:lineRule="auto"/>
              <w:jc w:val="center"/>
              <w:rPr>
                <w:rFonts w:ascii="Calibri" w:eastAsia="Calibri" w:hAnsi="Calibri" w:cs="LMRoman10-Regular"/>
                <w:sz w:val="22"/>
                <w:szCs w:val="22"/>
                <w:lang w:val="en-US" w:eastAsia="en-US"/>
              </w:rPr>
            </w:pPr>
            <w:r w:rsidRPr="0027010C">
              <w:rPr>
                <w:rFonts w:ascii="Calibri" w:eastAsia="Calibri" w:hAnsi="Calibri" w:cs="LMRoman10-Regular"/>
                <w:sz w:val="22"/>
                <w:szCs w:val="22"/>
                <w:lang w:val="en-US" w:eastAsia="en-US"/>
              </w:rPr>
              <w:t>6.67</w:t>
            </w:r>
          </w:p>
          <w:p w:rsidR="006870B8" w:rsidRPr="0027010C" w:rsidRDefault="006870B8" w:rsidP="0027010C">
            <w:pPr>
              <w:autoSpaceDE w:val="0"/>
              <w:autoSpaceDN w:val="0"/>
              <w:adjustRightInd w:val="0"/>
              <w:spacing w:line="360" w:lineRule="auto"/>
              <w:jc w:val="center"/>
              <w:rPr>
                <w:rFonts w:ascii="Calibri" w:eastAsia="Calibri" w:hAnsi="Calibri" w:cs="LMRoman10-Regular"/>
                <w:sz w:val="22"/>
                <w:szCs w:val="22"/>
                <w:lang w:val="en-US" w:eastAsia="en-US"/>
              </w:rPr>
            </w:pPr>
          </w:p>
        </w:tc>
      </w:tr>
      <w:tr w:rsidR="00432835" w:rsidTr="0027010C">
        <w:tc>
          <w:tcPr>
            <w:tcW w:w="1325" w:type="dxa"/>
            <w:tcBorders>
              <w:top w:val="nil"/>
              <w:left w:val="nil"/>
              <w:bottom w:val="nil"/>
              <w:right w:val="nil"/>
            </w:tcBorders>
            <w:shd w:val="clear" w:color="auto" w:fill="auto"/>
          </w:tcPr>
          <w:p w:rsidR="00432835" w:rsidRPr="0027010C" w:rsidRDefault="0043283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5" w:type="dxa"/>
            <w:tcBorders>
              <w:top w:val="nil"/>
              <w:left w:val="nil"/>
              <w:bottom w:val="nil"/>
              <w:right w:val="nil"/>
            </w:tcBorders>
            <w:shd w:val="clear" w:color="auto" w:fill="auto"/>
          </w:tcPr>
          <w:p w:rsidR="00432835" w:rsidRPr="0027010C" w:rsidRDefault="0043283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432835" w:rsidRPr="0027010C" w:rsidRDefault="0043283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432835" w:rsidRPr="0027010C" w:rsidRDefault="0043283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432835" w:rsidRPr="0027010C" w:rsidRDefault="0043283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432835" w:rsidRPr="0027010C" w:rsidRDefault="0043283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432835" w:rsidRPr="0027010C" w:rsidRDefault="00432835" w:rsidP="0027010C">
            <w:pPr>
              <w:autoSpaceDE w:val="0"/>
              <w:autoSpaceDN w:val="0"/>
              <w:adjustRightInd w:val="0"/>
              <w:spacing w:line="360" w:lineRule="auto"/>
              <w:jc w:val="center"/>
              <w:rPr>
                <w:rFonts w:ascii="Calibri" w:eastAsia="Calibri" w:hAnsi="Calibri" w:cs="LMRoman10-Regular"/>
                <w:sz w:val="22"/>
                <w:szCs w:val="22"/>
                <w:lang w:val="en-US" w:eastAsia="en-US"/>
              </w:rPr>
            </w:pPr>
          </w:p>
        </w:tc>
        <w:tc>
          <w:tcPr>
            <w:tcW w:w="1326" w:type="dxa"/>
            <w:tcBorders>
              <w:top w:val="nil"/>
              <w:left w:val="nil"/>
              <w:bottom w:val="nil"/>
              <w:right w:val="nil"/>
            </w:tcBorders>
            <w:shd w:val="clear" w:color="auto" w:fill="auto"/>
          </w:tcPr>
          <w:p w:rsidR="00432835" w:rsidRPr="0027010C" w:rsidRDefault="00432835" w:rsidP="0027010C">
            <w:pPr>
              <w:autoSpaceDE w:val="0"/>
              <w:autoSpaceDN w:val="0"/>
              <w:adjustRightInd w:val="0"/>
              <w:spacing w:line="360" w:lineRule="auto"/>
              <w:jc w:val="center"/>
              <w:rPr>
                <w:rFonts w:ascii="Calibri" w:eastAsia="Calibri" w:hAnsi="Calibri" w:cs="LMRoman10-Regular"/>
                <w:sz w:val="22"/>
                <w:szCs w:val="22"/>
                <w:lang w:val="en-US" w:eastAsia="en-US"/>
              </w:rPr>
            </w:pPr>
          </w:p>
        </w:tc>
      </w:tr>
    </w:tbl>
    <w:p w:rsidR="006870B8" w:rsidRDefault="006870B8"/>
    <w:p w:rsidR="00160143" w:rsidRPr="0027010C" w:rsidRDefault="00160143" w:rsidP="00432835">
      <w:pPr>
        <w:spacing w:before="240" w:after="240"/>
        <w:rPr>
          <w:rFonts w:ascii="Calibri" w:hAnsi="Calibri"/>
          <w:sz w:val="22"/>
          <w:szCs w:val="22"/>
        </w:rPr>
      </w:pPr>
    </w:p>
    <w:sectPr w:rsidR="00160143" w:rsidRPr="0027010C" w:rsidSect="00D0525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B2A" w:rsidRDefault="00742B2A">
      <w:r>
        <w:separator/>
      </w:r>
    </w:p>
  </w:endnote>
  <w:endnote w:type="continuationSeparator" w:id="0">
    <w:p w:rsidR="00742B2A" w:rsidRDefault="0074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MRoman10-Bold">
    <w:panose1 w:val="00000000000000000000"/>
    <w:charset w:val="00"/>
    <w:family w:val="auto"/>
    <w:notTrueType/>
    <w:pitch w:val="default"/>
    <w:sig w:usb0="00000003" w:usb1="00000000" w:usb2="00000000" w:usb3="00000000" w:csb0="00000001" w:csb1="00000000"/>
  </w:font>
  <w:font w:name="LMRoman10-Regular">
    <w:altName w:val="MS Gothic"/>
    <w:panose1 w:val="00000000000000000000"/>
    <w:charset w:val="00"/>
    <w:family w:val="auto"/>
    <w:notTrueType/>
    <w:pitch w:val="default"/>
    <w:sig w:usb0="00000000" w:usb1="08070000" w:usb2="00000010" w:usb3="00000000" w:csb0="00020001" w:csb1="00000000"/>
  </w:font>
  <w:font w:name="LMRoman10-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B2A" w:rsidRDefault="00742B2A">
      <w:r>
        <w:separator/>
      </w:r>
    </w:p>
  </w:footnote>
  <w:footnote w:type="continuationSeparator" w:id="0">
    <w:p w:rsidR="00742B2A" w:rsidRDefault="0074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25D" w:rsidRDefault="007542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3C0F5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0MjcwtDQxMDAxNzBS0lEKTi0uzszPAykwMqoFADqgC/YtAAAA"/>
  </w:docVars>
  <w:rsids>
    <w:rsidRoot w:val="00075863"/>
    <w:rsid w:val="00004562"/>
    <w:rsid w:val="00030644"/>
    <w:rsid w:val="000568BB"/>
    <w:rsid w:val="000579E9"/>
    <w:rsid w:val="00057FA5"/>
    <w:rsid w:val="00060A0B"/>
    <w:rsid w:val="00075584"/>
    <w:rsid w:val="00075863"/>
    <w:rsid w:val="0008393E"/>
    <w:rsid w:val="00091AAE"/>
    <w:rsid w:val="000A6ECC"/>
    <w:rsid w:val="000B3778"/>
    <w:rsid w:val="000C6F1D"/>
    <w:rsid w:val="000D124A"/>
    <w:rsid w:val="000E14E4"/>
    <w:rsid w:val="000F4E9A"/>
    <w:rsid w:val="001035A6"/>
    <w:rsid w:val="0011587A"/>
    <w:rsid w:val="00116C98"/>
    <w:rsid w:val="00133FFB"/>
    <w:rsid w:val="00160143"/>
    <w:rsid w:val="00172612"/>
    <w:rsid w:val="0017532F"/>
    <w:rsid w:val="001864F6"/>
    <w:rsid w:val="001B6983"/>
    <w:rsid w:val="001C5F3E"/>
    <w:rsid w:val="001F0ECA"/>
    <w:rsid w:val="001F209C"/>
    <w:rsid w:val="001F47B7"/>
    <w:rsid w:val="00201568"/>
    <w:rsid w:val="00220C72"/>
    <w:rsid w:val="002240DA"/>
    <w:rsid w:val="0023147D"/>
    <w:rsid w:val="00237162"/>
    <w:rsid w:val="00244D76"/>
    <w:rsid w:val="002549B7"/>
    <w:rsid w:val="002563C9"/>
    <w:rsid w:val="00265667"/>
    <w:rsid w:val="0027010C"/>
    <w:rsid w:val="00283530"/>
    <w:rsid w:val="0029510D"/>
    <w:rsid w:val="002B0608"/>
    <w:rsid w:val="002B7057"/>
    <w:rsid w:val="002D0192"/>
    <w:rsid w:val="002D3836"/>
    <w:rsid w:val="002F1DBC"/>
    <w:rsid w:val="003055D5"/>
    <w:rsid w:val="00314C39"/>
    <w:rsid w:val="00326CEE"/>
    <w:rsid w:val="003403AB"/>
    <w:rsid w:val="00364F0B"/>
    <w:rsid w:val="00372C29"/>
    <w:rsid w:val="00373E5D"/>
    <w:rsid w:val="0038082B"/>
    <w:rsid w:val="00387009"/>
    <w:rsid w:val="003930DB"/>
    <w:rsid w:val="0039345D"/>
    <w:rsid w:val="0039388F"/>
    <w:rsid w:val="003A3CE6"/>
    <w:rsid w:val="003B3CAC"/>
    <w:rsid w:val="003C567D"/>
    <w:rsid w:val="003C66E3"/>
    <w:rsid w:val="003D34F5"/>
    <w:rsid w:val="003E1891"/>
    <w:rsid w:val="003E488E"/>
    <w:rsid w:val="003F275D"/>
    <w:rsid w:val="003F4A35"/>
    <w:rsid w:val="00413C75"/>
    <w:rsid w:val="00416381"/>
    <w:rsid w:val="00425153"/>
    <w:rsid w:val="004272BB"/>
    <w:rsid w:val="00427E18"/>
    <w:rsid w:val="00432835"/>
    <w:rsid w:val="00444057"/>
    <w:rsid w:val="00453CEB"/>
    <w:rsid w:val="0046688D"/>
    <w:rsid w:val="004E1607"/>
    <w:rsid w:val="00500E7D"/>
    <w:rsid w:val="0051268E"/>
    <w:rsid w:val="005141E2"/>
    <w:rsid w:val="005146F9"/>
    <w:rsid w:val="00514822"/>
    <w:rsid w:val="005166DE"/>
    <w:rsid w:val="005175AA"/>
    <w:rsid w:val="00540719"/>
    <w:rsid w:val="0055791C"/>
    <w:rsid w:val="00575872"/>
    <w:rsid w:val="00577088"/>
    <w:rsid w:val="005842EB"/>
    <w:rsid w:val="005873C9"/>
    <w:rsid w:val="0059604D"/>
    <w:rsid w:val="005A25A4"/>
    <w:rsid w:val="005B0331"/>
    <w:rsid w:val="005B24B8"/>
    <w:rsid w:val="005B30AA"/>
    <w:rsid w:val="005B49F2"/>
    <w:rsid w:val="005B7386"/>
    <w:rsid w:val="005E21E5"/>
    <w:rsid w:val="005E27A4"/>
    <w:rsid w:val="005E7A4A"/>
    <w:rsid w:val="00601E5B"/>
    <w:rsid w:val="00625AAA"/>
    <w:rsid w:val="006324D0"/>
    <w:rsid w:val="00646198"/>
    <w:rsid w:val="00655A25"/>
    <w:rsid w:val="00674E37"/>
    <w:rsid w:val="00686477"/>
    <w:rsid w:val="006870B8"/>
    <w:rsid w:val="00691154"/>
    <w:rsid w:val="0069683E"/>
    <w:rsid w:val="006A33CA"/>
    <w:rsid w:val="006B0C9C"/>
    <w:rsid w:val="006B134B"/>
    <w:rsid w:val="006B2F38"/>
    <w:rsid w:val="006E58EE"/>
    <w:rsid w:val="006E5F46"/>
    <w:rsid w:val="007062BD"/>
    <w:rsid w:val="007156A1"/>
    <w:rsid w:val="0072085D"/>
    <w:rsid w:val="007214AE"/>
    <w:rsid w:val="00732148"/>
    <w:rsid w:val="00733D90"/>
    <w:rsid w:val="0073679E"/>
    <w:rsid w:val="007414F5"/>
    <w:rsid w:val="00742B2A"/>
    <w:rsid w:val="00745D1D"/>
    <w:rsid w:val="00753B85"/>
    <w:rsid w:val="0075425D"/>
    <w:rsid w:val="007563AE"/>
    <w:rsid w:val="00782D61"/>
    <w:rsid w:val="00795080"/>
    <w:rsid w:val="007C1542"/>
    <w:rsid w:val="007C527F"/>
    <w:rsid w:val="007E10C7"/>
    <w:rsid w:val="007E6786"/>
    <w:rsid w:val="00802213"/>
    <w:rsid w:val="00831D49"/>
    <w:rsid w:val="00831D7C"/>
    <w:rsid w:val="00837532"/>
    <w:rsid w:val="008531BB"/>
    <w:rsid w:val="00891251"/>
    <w:rsid w:val="00896FF6"/>
    <w:rsid w:val="008A47EA"/>
    <w:rsid w:val="008B4C72"/>
    <w:rsid w:val="008D4AA4"/>
    <w:rsid w:val="008E0AAA"/>
    <w:rsid w:val="008E5435"/>
    <w:rsid w:val="00916F16"/>
    <w:rsid w:val="00922E89"/>
    <w:rsid w:val="00936F50"/>
    <w:rsid w:val="009726D1"/>
    <w:rsid w:val="00984004"/>
    <w:rsid w:val="00984458"/>
    <w:rsid w:val="00990FE5"/>
    <w:rsid w:val="00992919"/>
    <w:rsid w:val="009A0DEA"/>
    <w:rsid w:val="009A264A"/>
    <w:rsid w:val="009A4281"/>
    <w:rsid w:val="009B06C4"/>
    <w:rsid w:val="009B481C"/>
    <w:rsid w:val="009D4041"/>
    <w:rsid w:val="009D5C25"/>
    <w:rsid w:val="009E3F9E"/>
    <w:rsid w:val="00A03254"/>
    <w:rsid w:val="00A423AF"/>
    <w:rsid w:val="00A44219"/>
    <w:rsid w:val="00A77185"/>
    <w:rsid w:val="00A94D44"/>
    <w:rsid w:val="00AA03D5"/>
    <w:rsid w:val="00AA197E"/>
    <w:rsid w:val="00AB7901"/>
    <w:rsid w:val="00AC4741"/>
    <w:rsid w:val="00AC7C6B"/>
    <w:rsid w:val="00AD1E04"/>
    <w:rsid w:val="00AD6DFE"/>
    <w:rsid w:val="00AD7661"/>
    <w:rsid w:val="00AE0AA4"/>
    <w:rsid w:val="00AE1436"/>
    <w:rsid w:val="00AF1DA1"/>
    <w:rsid w:val="00B01805"/>
    <w:rsid w:val="00B01AB3"/>
    <w:rsid w:val="00B163D8"/>
    <w:rsid w:val="00B37F51"/>
    <w:rsid w:val="00B45D4F"/>
    <w:rsid w:val="00B6163C"/>
    <w:rsid w:val="00B93306"/>
    <w:rsid w:val="00B9375B"/>
    <w:rsid w:val="00B957A6"/>
    <w:rsid w:val="00BA3C30"/>
    <w:rsid w:val="00BB7E45"/>
    <w:rsid w:val="00BD0E5A"/>
    <w:rsid w:val="00BE2309"/>
    <w:rsid w:val="00BE5DAB"/>
    <w:rsid w:val="00C00CE5"/>
    <w:rsid w:val="00C26BC7"/>
    <w:rsid w:val="00C33A24"/>
    <w:rsid w:val="00C351F8"/>
    <w:rsid w:val="00C435B2"/>
    <w:rsid w:val="00C54482"/>
    <w:rsid w:val="00C549B8"/>
    <w:rsid w:val="00C617EB"/>
    <w:rsid w:val="00C80994"/>
    <w:rsid w:val="00C81254"/>
    <w:rsid w:val="00C83EE5"/>
    <w:rsid w:val="00C8625B"/>
    <w:rsid w:val="00CB0BEA"/>
    <w:rsid w:val="00CB647C"/>
    <w:rsid w:val="00CC1490"/>
    <w:rsid w:val="00CC30E1"/>
    <w:rsid w:val="00CE0064"/>
    <w:rsid w:val="00CE0749"/>
    <w:rsid w:val="00D05255"/>
    <w:rsid w:val="00D252E7"/>
    <w:rsid w:val="00D31601"/>
    <w:rsid w:val="00D3431B"/>
    <w:rsid w:val="00D5632E"/>
    <w:rsid w:val="00D830F3"/>
    <w:rsid w:val="00D8421F"/>
    <w:rsid w:val="00D85AEE"/>
    <w:rsid w:val="00DB526A"/>
    <w:rsid w:val="00DD3D35"/>
    <w:rsid w:val="00DE7FF8"/>
    <w:rsid w:val="00DF198C"/>
    <w:rsid w:val="00E13C49"/>
    <w:rsid w:val="00E15247"/>
    <w:rsid w:val="00E32056"/>
    <w:rsid w:val="00E35EE5"/>
    <w:rsid w:val="00E44923"/>
    <w:rsid w:val="00E50352"/>
    <w:rsid w:val="00E578ED"/>
    <w:rsid w:val="00E6160E"/>
    <w:rsid w:val="00E7189A"/>
    <w:rsid w:val="00E8449E"/>
    <w:rsid w:val="00E90F58"/>
    <w:rsid w:val="00EC1BB3"/>
    <w:rsid w:val="00EE0349"/>
    <w:rsid w:val="00F11EDB"/>
    <w:rsid w:val="00F22EDF"/>
    <w:rsid w:val="00F5185C"/>
    <w:rsid w:val="00F53B47"/>
    <w:rsid w:val="00FA3CE5"/>
    <w:rsid w:val="00FB2675"/>
    <w:rsid w:val="00FB54FE"/>
    <w:rsid w:val="00FC4BF7"/>
    <w:rsid w:val="00FC74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F38EB-2D5B-43C8-AF9C-EEDC5227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5863"/>
    <w:rPr>
      <w:rFonts w:ascii="Times New Roman" w:eastAsia="Times New Roman" w:hAnsi="Times New Roman"/>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75863"/>
    <w:pPr>
      <w:tabs>
        <w:tab w:val="center" w:pos="4536"/>
        <w:tab w:val="right" w:pos="9072"/>
      </w:tabs>
    </w:pPr>
  </w:style>
  <w:style w:type="character" w:customStyle="1" w:styleId="FuzeileZchn">
    <w:name w:val="Fußzeile Zchn"/>
    <w:link w:val="Fuzeile"/>
    <w:uiPriority w:val="99"/>
    <w:rsid w:val="00075863"/>
    <w:rPr>
      <w:rFonts w:ascii="Times New Roman" w:eastAsia="Times New Roman" w:hAnsi="Times New Roman" w:cs="Times New Roman"/>
      <w:sz w:val="24"/>
      <w:szCs w:val="24"/>
      <w:lang w:val="en-GB" w:eastAsia="en-GB"/>
    </w:rPr>
  </w:style>
  <w:style w:type="character" w:styleId="Zeilennummer">
    <w:name w:val="line number"/>
    <w:basedOn w:val="Absatz-Standardschriftart"/>
    <w:uiPriority w:val="99"/>
    <w:semiHidden/>
    <w:unhideWhenUsed/>
    <w:rsid w:val="00075863"/>
  </w:style>
  <w:style w:type="paragraph" w:styleId="Sprechblasentext">
    <w:name w:val="Balloon Text"/>
    <w:basedOn w:val="Standard"/>
    <w:link w:val="SprechblasentextZchn"/>
    <w:uiPriority w:val="99"/>
    <w:semiHidden/>
    <w:unhideWhenUsed/>
    <w:rsid w:val="00A77185"/>
    <w:rPr>
      <w:rFonts w:ascii="Segoe UI" w:hAnsi="Segoe UI" w:cs="Segoe UI"/>
      <w:sz w:val="18"/>
      <w:szCs w:val="18"/>
    </w:rPr>
  </w:style>
  <w:style w:type="character" w:customStyle="1" w:styleId="SprechblasentextZchn">
    <w:name w:val="Sprechblasentext Zchn"/>
    <w:link w:val="Sprechblasentext"/>
    <w:uiPriority w:val="99"/>
    <w:semiHidden/>
    <w:rsid w:val="00A77185"/>
    <w:rPr>
      <w:rFonts w:ascii="Segoe UI" w:eastAsia="Times New Roman" w:hAnsi="Segoe UI" w:cs="Segoe UI"/>
      <w:sz w:val="18"/>
      <w:szCs w:val="18"/>
      <w:lang w:val="en-GB" w:eastAsia="en-GB"/>
    </w:rPr>
  </w:style>
  <w:style w:type="paragraph" w:styleId="Aufzhlungszeichen">
    <w:name w:val="List Bullet"/>
    <w:basedOn w:val="Standard"/>
    <w:uiPriority w:val="99"/>
    <w:unhideWhenUsed/>
    <w:rsid w:val="0023147D"/>
    <w:pPr>
      <w:numPr>
        <w:numId w:val="1"/>
      </w:numPr>
      <w:contextualSpacing/>
    </w:pPr>
  </w:style>
  <w:style w:type="paragraph" w:styleId="Kommentartext">
    <w:name w:val="annotation text"/>
    <w:basedOn w:val="Standard"/>
    <w:link w:val="KommentartextZchn"/>
    <w:uiPriority w:val="99"/>
    <w:unhideWhenUsed/>
    <w:rsid w:val="003B3CAC"/>
    <w:rPr>
      <w:sz w:val="20"/>
    </w:rPr>
  </w:style>
  <w:style w:type="character" w:customStyle="1" w:styleId="KommentartextZchn">
    <w:name w:val="Kommentartext Zchn"/>
    <w:link w:val="Kommentartext"/>
    <w:uiPriority w:val="99"/>
    <w:rsid w:val="003B3CAC"/>
    <w:rPr>
      <w:rFonts w:ascii="Times New Roman" w:eastAsia="Times New Roman" w:hAnsi="Times New Roman" w:cs="Times New Roman"/>
      <w:sz w:val="20"/>
      <w:szCs w:val="24"/>
      <w:lang w:val="en-GB" w:eastAsia="en-GB"/>
    </w:rPr>
  </w:style>
  <w:style w:type="character" w:styleId="Kommentarzeichen">
    <w:name w:val="annotation reference"/>
    <w:uiPriority w:val="99"/>
    <w:semiHidden/>
    <w:unhideWhenUsed/>
    <w:rsid w:val="003B3CAC"/>
    <w:rPr>
      <w:sz w:val="16"/>
      <w:szCs w:val="16"/>
    </w:rPr>
  </w:style>
  <w:style w:type="paragraph" w:styleId="Kopfzeile">
    <w:name w:val="header"/>
    <w:basedOn w:val="Standard"/>
    <w:link w:val="KopfzeileZchn"/>
    <w:uiPriority w:val="99"/>
    <w:unhideWhenUsed/>
    <w:rsid w:val="00BB7E45"/>
    <w:pPr>
      <w:tabs>
        <w:tab w:val="center" w:pos="4819"/>
        <w:tab w:val="right" w:pos="9638"/>
      </w:tabs>
    </w:pPr>
  </w:style>
  <w:style w:type="character" w:customStyle="1" w:styleId="KopfzeileZchn">
    <w:name w:val="Kopfzeile Zchn"/>
    <w:link w:val="Kopfzeile"/>
    <w:uiPriority w:val="99"/>
    <w:rsid w:val="00BB7E45"/>
    <w:rPr>
      <w:rFonts w:ascii="Times New Roman" w:eastAsia="Times New Roman" w:hAnsi="Times New Roman" w:cs="Times New Roman"/>
      <w:sz w:val="24"/>
      <w:szCs w:val="24"/>
      <w:lang w:val="en-GB" w:eastAsia="en-GB"/>
    </w:rPr>
  </w:style>
  <w:style w:type="paragraph" w:styleId="Kommentarthema">
    <w:name w:val="annotation subject"/>
    <w:basedOn w:val="Kommentartext"/>
    <w:next w:val="Kommentartext"/>
    <w:link w:val="KommentarthemaZchn"/>
    <w:uiPriority w:val="99"/>
    <w:semiHidden/>
    <w:unhideWhenUsed/>
    <w:rsid w:val="00BA3C30"/>
    <w:rPr>
      <w:b/>
      <w:bCs/>
      <w:szCs w:val="20"/>
    </w:rPr>
  </w:style>
  <w:style w:type="character" w:customStyle="1" w:styleId="KommentarthemaZchn">
    <w:name w:val="Kommentarthema Zchn"/>
    <w:link w:val="Kommentarthema"/>
    <w:uiPriority w:val="99"/>
    <w:semiHidden/>
    <w:rsid w:val="00BA3C30"/>
    <w:rPr>
      <w:rFonts w:ascii="Times New Roman" w:eastAsia="Times New Roman" w:hAnsi="Times New Roman" w:cs="Times New Roman"/>
      <w:b/>
      <w:bCs/>
      <w:sz w:val="20"/>
      <w:szCs w:val="20"/>
      <w:lang w:val="en-GB" w:eastAsia="en-GB"/>
    </w:rPr>
  </w:style>
  <w:style w:type="paragraph" w:customStyle="1" w:styleId="HeaderFooter">
    <w:name w:val="Header &amp; Footer"/>
    <w:rsid w:val="00004562"/>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eastAsia="en-US"/>
    </w:rPr>
  </w:style>
  <w:style w:type="paragraph" w:customStyle="1" w:styleId="Body">
    <w:name w:val="Body"/>
    <w:link w:val="BodyChar"/>
    <w:rsid w:val="00004562"/>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customStyle="1" w:styleId="acopre">
    <w:name w:val="acopre"/>
    <w:rsid w:val="00004562"/>
  </w:style>
  <w:style w:type="table" w:styleId="Tabellenraster">
    <w:name w:val="Table Grid"/>
    <w:basedOn w:val="NormaleTabelle"/>
    <w:uiPriority w:val="39"/>
    <w:unhideWhenUsed/>
    <w:rsid w:val="005E7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Standard"/>
    <w:link w:val="EndNoteBibliographyChar"/>
    <w:rsid w:val="004E1607"/>
    <w:pPr>
      <w:spacing w:after="200"/>
    </w:pPr>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4E1607"/>
    <w:rPr>
      <w:rFonts w:cs="Calibri"/>
      <w:noProof/>
      <w:sz w:val="22"/>
      <w:szCs w:val="22"/>
      <w:lang w:val="en-US" w:eastAsia="en-US"/>
    </w:rPr>
  </w:style>
  <w:style w:type="paragraph" w:styleId="Textkrper">
    <w:name w:val="Body Text"/>
    <w:basedOn w:val="Standard"/>
    <w:link w:val="TextkrperZchn"/>
    <w:uiPriority w:val="1"/>
    <w:qFormat/>
    <w:rsid w:val="004E1607"/>
    <w:pPr>
      <w:widowControl w:val="0"/>
      <w:autoSpaceDE w:val="0"/>
      <w:autoSpaceDN w:val="0"/>
    </w:pPr>
    <w:rPr>
      <w:rFonts w:ascii="Palatino Linotype" w:eastAsia="Palatino Linotype" w:hAnsi="Palatino Linotype" w:cs="Palatino Linotype"/>
      <w:sz w:val="20"/>
      <w:szCs w:val="20"/>
      <w:lang w:val="en-US" w:eastAsia="en-US"/>
    </w:rPr>
  </w:style>
  <w:style w:type="character" w:customStyle="1" w:styleId="TextkrperZchn">
    <w:name w:val="Textkörper Zchn"/>
    <w:link w:val="Textkrper"/>
    <w:uiPriority w:val="1"/>
    <w:rsid w:val="004E1607"/>
    <w:rPr>
      <w:rFonts w:ascii="Palatino Linotype" w:eastAsia="Palatino Linotype" w:hAnsi="Palatino Linotype" w:cs="Palatino Linotype"/>
      <w:lang w:val="en-US" w:eastAsia="en-US"/>
    </w:rPr>
  </w:style>
  <w:style w:type="character" w:customStyle="1" w:styleId="BodyChar">
    <w:name w:val="Body Char"/>
    <w:link w:val="Body"/>
    <w:rsid w:val="00160143"/>
    <w:rPr>
      <w:rFonts w:ascii="Times New Roman" w:eastAsia="Arial Unicode MS" w:hAnsi="Times New Roman" w:cs="Arial Unicode MS"/>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0460">
      <w:bodyDiv w:val="1"/>
      <w:marLeft w:val="0"/>
      <w:marRight w:val="0"/>
      <w:marTop w:val="0"/>
      <w:marBottom w:val="0"/>
      <w:divBdr>
        <w:top w:val="none" w:sz="0" w:space="0" w:color="auto"/>
        <w:left w:val="none" w:sz="0" w:space="0" w:color="auto"/>
        <w:bottom w:val="none" w:sz="0" w:space="0" w:color="auto"/>
        <w:right w:val="none" w:sz="0" w:space="0" w:color="auto"/>
      </w:divBdr>
    </w:div>
    <w:div w:id="363941249">
      <w:bodyDiv w:val="1"/>
      <w:marLeft w:val="0"/>
      <w:marRight w:val="0"/>
      <w:marTop w:val="0"/>
      <w:marBottom w:val="0"/>
      <w:divBdr>
        <w:top w:val="none" w:sz="0" w:space="0" w:color="auto"/>
        <w:left w:val="none" w:sz="0" w:space="0" w:color="auto"/>
        <w:bottom w:val="none" w:sz="0" w:space="0" w:color="auto"/>
        <w:right w:val="none" w:sz="0" w:space="0" w:color="auto"/>
      </w:divBdr>
    </w:div>
    <w:div w:id="534777754">
      <w:bodyDiv w:val="1"/>
      <w:marLeft w:val="0"/>
      <w:marRight w:val="0"/>
      <w:marTop w:val="0"/>
      <w:marBottom w:val="0"/>
      <w:divBdr>
        <w:top w:val="none" w:sz="0" w:space="0" w:color="auto"/>
        <w:left w:val="none" w:sz="0" w:space="0" w:color="auto"/>
        <w:bottom w:val="none" w:sz="0" w:space="0" w:color="auto"/>
        <w:right w:val="none" w:sz="0" w:space="0" w:color="auto"/>
      </w:divBdr>
    </w:div>
    <w:div w:id="873733557">
      <w:bodyDiv w:val="1"/>
      <w:marLeft w:val="0"/>
      <w:marRight w:val="0"/>
      <w:marTop w:val="0"/>
      <w:marBottom w:val="0"/>
      <w:divBdr>
        <w:top w:val="none" w:sz="0" w:space="0" w:color="auto"/>
        <w:left w:val="none" w:sz="0" w:space="0" w:color="auto"/>
        <w:bottom w:val="none" w:sz="0" w:space="0" w:color="auto"/>
        <w:right w:val="none" w:sz="0" w:space="0" w:color="auto"/>
      </w:divBdr>
    </w:div>
    <w:div w:id="989600947">
      <w:bodyDiv w:val="1"/>
      <w:marLeft w:val="0"/>
      <w:marRight w:val="0"/>
      <w:marTop w:val="0"/>
      <w:marBottom w:val="0"/>
      <w:divBdr>
        <w:top w:val="none" w:sz="0" w:space="0" w:color="auto"/>
        <w:left w:val="none" w:sz="0" w:space="0" w:color="auto"/>
        <w:bottom w:val="none" w:sz="0" w:space="0" w:color="auto"/>
        <w:right w:val="none" w:sz="0" w:space="0" w:color="auto"/>
      </w:divBdr>
    </w:div>
    <w:div w:id="1088380216">
      <w:bodyDiv w:val="1"/>
      <w:marLeft w:val="0"/>
      <w:marRight w:val="0"/>
      <w:marTop w:val="0"/>
      <w:marBottom w:val="0"/>
      <w:divBdr>
        <w:top w:val="none" w:sz="0" w:space="0" w:color="auto"/>
        <w:left w:val="none" w:sz="0" w:space="0" w:color="auto"/>
        <w:bottom w:val="none" w:sz="0" w:space="0" w:color="auto"/>
        <w:right w:val="none" w:sz="0" w:space="0" w:color="auto"/>
      </w:divBdr>
    </w:div>
    <w:div w:id="1106920126">
      <w:bodyDiv w:val="1"/>
      <w:marLeft w:val="0"/>
      <w:marRight w:val="0"/>
      <w:marTop w:val="0"/>
      <w:marBottom w:val="0"/>
      <w:divBdr>
        <w:top w:val="none" w:sz="0" w:space="0" w:color="auto"/>
        <w:left w:val="none" w:sz="0" w:space="0" w:color="auto"/>
        <w:bottom w:val="none" w:sz="0" w:space="0" w:color="auto"/>
        <w:right w:val="none" w:sz="0" w:space="0" w:color="auto"/>
      </w:divBdr>
    </w:div>
    <w:div w:id="1147169485">
      <w:bodyDiv w:val="1"/>
      <w:marLeft w:val="0"/>
      <w:marRight w:val="0"/>
      <w:marTop w:val="0"/>
      <w:marBottom w:val="0"/>
      <w:divBdr>
        <w:top w:val="none" w:sz="0" w:space="0" w:color="auto"/>
        <w:left w:val="none" w:sz="0" w:space="0" w:color="auto"/>
        <w:bottom w:val="none" w:sz="0" w:space="0" w:color="auto"/>
        <w:right w:val="none" w:sz="0" w:space="0" w:color="auto"/>
      </w:divBdr>
    </w:div>
    <w:div w:id="1541161226">
      <w:bodyDiv w:val="1"/>
      <w:marLeft w:val="0"/>
      <w:marRight w:val="0"/>
      <w:marTop w:val="0"/>
      <w:marBottom w:val="0"/>
      <w:divBdr>
        <w:top w:val="none" w:sz="0" w:space="0" w:color="auto"/>
        <w:left w:val="none" w:sz="0" w:space="0" w:color="auto"/>
        <w:bottom w:val="none" w:sz="0" w:space="0" w:color="auto"/>
        <w:right w:val="none" w:sz="0" w:space="0" w:color="auto"/>
      </w:divBdr>
    </w:div>
    <w:div w:id="20292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FC939-A158-414C-84F1-FA56FABB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DTU AQUA</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Lüskow</dc:creator>
  <cp:keywords/>
  <cp:lastModifiedBy>Schmidt, Barbara</cp:lastModifiedBy>
  <cp:revision>2</cp:revision>
  <dcterms:created xsi:type="dcterms:W3CDTF">2022-02-15T08:53:00Z</dcterms:created>
  <dcterms:modified xsi:type="dcterms:W3CDTF">2022-02-15T08:53:00Z</dcterms:modified>
</cp:coreProperties>
</file>