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9C98" w14:textId="73980085" w:rsidR="00857A4D" w:rsidRPr="00C97780" w:rsidRDefault="00C97780" w:rsidP="00BB5607">
      <w:pPr>
        <w:pStyle w:val="Heading1"/>
        <w:spacing w:before="0" w:line="276" w:lineRule="auto"/>
        <w:ind w:left="-284" w:right="-241"/>
        <w:rPr>
          <w:rFonts w:ascii="Times New Roman" w:eastAsiaTheme="minorEastAsia" w:hAnsi="Times New Roman" w:cs="Times New Roman"/>
          <w:b w:val="0"/>
          <w:bCs w:val="0"/>
          <w:sz w:val="36"/>
          <w:szCs w:val="36"/>
          <w:lang w:val="en-GB" w:eastAsia="fr-FR"/>
        </w:rPr>
      </w:pPr>
      <w:r w:rsidRPr="00C97780">
        <w:rPr>
          <w:rFonts w:ascii="Arial" w:hAnsi="Arial" w:cs="Arial"/>
          <w:color w:val="212529"/>
          <w:spacing w:val="7"/>
          <w:sz w:val="36"/>
          <w:szCs w:val="36"/>
          <w:shd w:val="clear" w:color="auto" w:fill="FFFFFF"/>
        </w:rPr>
        <w:t>Temporal variation in ecological and evolutionary cont</w:t>
      </w:r>
      <w:bookmarkStart w:id="0" w:name="_GoBack"/>
      <w:bookmarkEnd w:id="0"/>
      <w:r w:rsidRPr="00C97780">
        <w:rPr>
          <w:rFonts w:ascii="Arial" w:hAnsi="Arial" w:cs="Arial"/>
          <w:color w:val="212529"/>
          <w:spacing w:val="7"/>
          <w:sz w:val="36"/>
          <w:szCs w:val="36"/>
          <w:shd w:val="clear" w:color="auto" w:fill="FFFFFF"/>
        </w:rPr>
        <w:t>ributions to phytoplankton functional shifts</w:t>
      </w:r>
    </w:p>
    <w:p w14:paraId="0812976B" w14:textId="534DA05A" w:rsidR="00985111" w:rsidRPr="00F57CF7" w:rsidRDefault="00BB5607" w:rsidP="00BB5607">
      <w:pPr>
        <w:ind w:left="-284" w:right="-241" w:firstLine="0"/>
        <w:rPr>
          <w:lang w:val="en-GB"/>
        </w:rPr>
      </w:pPr>
      <w:proofErr w:type="spellStart"/>
      <w:r w:rsidRPr="00FB216A">
        <w:rPr>
          <w:rFonts w:ascii="Times New Roman" w:hAnsi="Times New Roman" w:cs="Times New Roman"/>
          <w:iCs/>
          <w:szCs w:val="24"/>
          <w:lang w:val="en-GB"/>
        </w:rPr>
        <w:t>Giannina</w:t>
      </w:r>
      <w:proofErr w:type="spellEnd"/>
      <w:r w:rsidRPr="00FB216A">
        <w:rPr>
          <w:rFonts w:ascii="Times New Roman" w:hAnsi="Times New Roman" w:cs="Times New Roman"/>
          <w:iCs/>
          <w:szCs w:val="24"/>
          <w:lang w:val="en-GB"/>
        </w:rPr>
        <w:t xml:space="preserve"> S. I. </w:t>
      </w:r>
      <w:proofErr w:type="spellStart"/>
      <w:r w:rsidRPr="00FB216A">
        <w:rPr>
          <w:rFonts w:ascii="Times New Roman" w:hAnsi="Times New Roman" w:cs="Times New Roman"/>
          <w:iCs/>
          <w:szCs w:val="24"/>
          <w:lang w:val="en-GB"/>
        </w:rPr>
        <w:t>Hattich</w:t>
      </w:r>
      <w:proofErr w:type="spellEnd"/>
      <w:r w:rsidRPr="00FB216A">
        <w:rPr>
          <w:rFonts w:ascii="Times New Roman" w:hAnsi="Times New Roman" w:cs="Times New Roman"/>
          <w:iCs/>
          <w:szCs w:val="24"/>
          <w:lang w:val="en-GB"/>
        </w:rPr>
        <w:t xml:space="preserve">, Luisa </w:t>
      </w:r>
      <w:proofErr w:type="spellStart"/>
      <w:r w:rsidRPr="00FB216A">
        <w:rPr>
          <w:rFonts w:ascii="Times New Roman" w:hAnsi="Times New Roman" w:cs="Times New Roman"/>
          <w:iCs/>
          <w:szCs w:val="24"/>
          <w:lang w:val="en-GB"/>
        </w:rPr>
        <w:t>Listmann</w:t>
      </w:r>
      <w:proofErr w:type="spellEnd"/>
      <w:r w:rsidRPr="00FB216A">
        <w:rPr>
          <w:rFonts w:ascii="Times New Roman" w:hAnsi="Times New Roman" w:cs="Times New Roman"/>
          <w:iCs/>
          <w:szCs w:val="24"/>
          <w:lang w:val="en-GB"/>
        </w:rPr>
        <w:t xml:space="preserve">, </w:t>
      </w:r>
      <w:r w:rsidRPr="002730FE">
        <w:rPr>
          <w:rFonts w:ascii="Times New Roman" w:hAnsi="Times New Roman" w:cs="Times New Roman"/>
          <w:iCs/>
          <w:szCs w:val="24"/>
          <w:lang w:val="en-GB"/>
        </w:rPr>
        <w:t xml:space="preserve">Jonathan </w:t>
      </w:r>
      <w:proofErr w:type="spellStart"/>
      <w:r w:rsidRPr="002730FE">
        <w:rPr>
          <w:rFonts w:ascii="Times New Roman" w:hAnsi="Times New Roman" w:cs="Times New Roman"/>
          <w:iCs/>
          <w:szCs w:val="24"/>
          <w:lang w:val="en-GB"/>
        </w:rPr>
        <w:t>Havenhand</w:t>
      </w:r>
      <w:proofErr w:type="spellEnd"/>
      <w:r w:rsidRPr="002730FE">
        <w:rPr>
          <w:rFonts w:ascii="Times New Roman" w:hAnsi="Times New Roman" w:cs="Times New Roman"/>
          <w:iCs/>
          <w:szCs w:val="24"/>
          <w:lang w:val="en-GB"/>
        </w:rPr>
        <w:t xml:space="preserve">, Thorsten B. H. </w:t>
      </w:r>
      <w:proofErr w:type="spellStart"/>
      <w:r w:rsidRPr="002730FE">
        <w:rPr>
          <w:rFonts w:ascii="Times New Roman" w:hAnsi="Times New Roman" w:cs="Times New Roman"/>
          <w:iCs/>
          <w:szCs w:val="24"/>
          <w:lang w:val="en-GB"/>
        </w:rPr>
        <w:t>Reusch</w:t>
      </w:r>
      <w:proofErr w:type="spellEnd"/>
      <w:r w:rsidRPr="002730FE">
        <w:rPr>
          <w:rFonts w:ascii="Times New Roman" w:hAnsi="Times New Roman" w:cs="Times New Roman"/>
          <w:iCs/>
          <w:szCs w:val="24"/>
          <w:lang w:val="en-GB"/>
        </w:rPr>
        <w:t xml:space="preserve">, </w:t>
      </w:r>
      <w:proofErr w:type="spellStart"/>
      <w:r w:rsidRPr="002730FE">
        <w:rPr>
          <w:rFonts w:ascii="Times New Roman" w:hAnsi="Times New Roman" w:cs="Times New Roman"/>
          <w:iCs/>
          <w:szCs w:val="24"/>
          <w:lang w:val="en-GB"/>
        </w:rPr>
        <w:t>Birte</w:t>
      </w:r>
      <w:proofErr w:type="spellEnd"/>
      <w:r w:rsidRPr="002730F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proofErr w:type="spellStart"/>
      <w:r w:rsidRPr="002730FE">
        <w:rPr>
          <w:rFonts w:ascii="Times New Roman" w:hAnsi="Times New Roman" w:cs="Times New Roman"/>
          <w:iCs/>
          <w:szCs w:val="24"/>
          <w:lang w:val="en-GB"/>
        </w:rPr>
        <w:t>Matthiessen</w:t>
      </w:r>
      <w:proofErr w:type="spellEnd"/>
    </w:p>
    <w:p w14:paraId="70A2ED38" w14:textId="09267AD2" w:rsidR="00985111" w:rsidRPr="005569E5" w:rsidRDefault="00985111" w:rsidP="00BB5607">
      <w:pPr>
        <w:spacing w:line="276" w:lineRule="auto"/>
        <w:ind w:left="-284" w:right="-241" w:firstLine="0"/>
        <w:rPr>
          <w:sz w:val="20"/>
          <w:szCs w:val="20"/>
          <w:lang w:val="en-GB"/>
        </w:rPr>
      </w:pPr>
      <w:r>
        <w:rPr>
          <w:rStyle w:val="Heading2Char"/>
          <w:lang w:val="en-GB"/>
        </w:rPr>
        <w:t>Table S1</w:t>
      </w:r>
      <w:r w:rsidRPr="00F57CF7">
        <w:rPr>
          <w:rStyle w:val="Heading2Char"/>
          <w:lang w:val="en-GB"/>
        </w:rPr>
        <w:t>:</w:t>
      </w:r>
      <w:r>
        <w:rPr>
          <w:rStyle w:val="Heading2Char"/>
          <w:lang w:val="en-GB"/>
        </w:rPr>
        <w:t xml:space="preserve"> </w:t>
      </w:r>
      <w:r>
        <w:rPr>
          <w:lang w:val="en-GB"/>
        </w:rPr>
        <w:t>T</w:t>
      </w:r>
      <w:r w:rsidRPr="00F57CF7">
        <w:rPr>
          <w:sz w:val="20"/>
          <w:szCs w:val="20"/>
          <w:lang w:val="en-GB"/>
        </w:rPr>
        <w:t xml:space="preserve">he number of </w:t>
      </w:r>
      <w:r w:rsidRPr="00F57CF7">
        <w:rPr>
          <w:i/>
          <w:sz w:val="20"/>
          <w:szCs w:val="20"/>
          <w:lang w:val="en-GB"/>
        </w:rPr>
        <w:t xml:space="preserve">E. </w:t>
      </w:r>
      <w:proofErr w:type="spellStart"/>
      <w:r w:rsidRPr="00F57CF7">
        <w:rPr>
          <w:i/>
          <w:sz w:val="20"/>
          <w:szCs w:val="20"/>
          <w:lang w:val="en-GB"/>
        </w:rPr>
        <w:t>huxleyi</w:t>
      </w:r>
      <w:proofErr w:type="spellEnd"/>
      <w:r w:rsidR="00806144">
        <w:rPr>
          <w:i/>
          <w:sz w:val="20"/>
          <w:szCs w:val="20"/>
          <w:lang w:val="en-GB"/>
        </w:rPr>
        <w:t xml:space="preserve"> and </w:t>
      </w:r>
      <w:proofErr w:type="spellStart"/>
      <w:proofErr w:type="gramStart"/>
      <w:r w:rsidR="00806144">
        <w:rPr>
          <w:i/>
          <w:sz w:val="20"/>
          <w:szCs w:val="20"/>
          <w:lang w:val="en-GB"/>
        </w:rPr>
        <w:t>C.affinis</w:t>
      </w:r>
      <w:proofErr w:type="spellEnd"/>
      <w:r w:rsidR="00806144">
        <w:rPr>
          <w:i/>
          <w:sz w:val="20"/>
          <w:szCs w:val="20"/>
          <w:lang w:val="en-GB"/>
        </w:rPr>
        <w:t xml:space="preserve"> </w:t>
      </w:r>
      <w:r w:rsidRPr="00F57CF7">
        <w:rPr>
          <w:i/>
          <w:sz w:val="20"/>
          <w:szCs w:val="20"/>
          <w:lang w:val="en-GB"/>
        </w:rPr>
        <w:t xml:space="preserve"> </w:t>
      </w:r>
      <w:r w:rsidRPr="00F57CF7">
        <w:rPr>
          <w:sz w:val="20"/>
          <w:szCs w:val="20"/>
          <w:lang w:val="en-GB"/>
        </w:rPr>
        <w:t>Individuals</w:t>
      </w:r>
      <w:proofErr w:type="gramEnd"/>
      <w:r w:rsidRPr="00F57CF7">
        <w:rPr>
          <w:sz w:val="20"/>
          <w:szCs w:val="20"/>
          <w:lang w:val="en-GB"/>
        </w:rPr>
        <w:t xml:space="preserve"> (N) that have been genotyped at the different point in the selection phase for from communities sorted under ambient and high CO</w:t>
      </w:r>
      <w:r w:rsidRPr="00F57CF7">
        <w:rPr>
          <w:sz w:val="20"/>
          <w:szCs w:val="20"/>
          <w:vertAlign w:val="subscript"/>
          <w:lang w:val="en-GB"/>
        </w:rPr>
        <w:t>2</w:t>
      </w:r>
      <w:r w:rsidRPr="00F57CF7">
        <w:rPr>
          <w:sz w:val="20"/>
          <w:szCs w:val="20"/>
          <w:lang w:val="en-GB"/>
        </w:rPr>
        <w:t xml:space="preserve"> condition, respectively.</w:t>
      </w:r>
      <w:r w:rsidRPr="00F57CF7">
        <w:rPr>
          <w:lang w:val="en-GB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1589"/>
        <w:gridCol w:w="1552"/>
        <w:gridCol w:w="1279"/>
        <w:gridCol w:w="1279"/>
      </w:tblGrid>
      <w:tr w:rsidR="00806144" w:rsidRPr="00F57CF7" w14:paraId="18AEF6F4" w14:textId="140D66CA" w:rsidTr="004D4739">
        <w:tc>
          <w:tcPr>
            <w:tcW w:w="1580" w:type="dxa"/>
            <w:vMerge w:val="restart"/>
            <w:vAlign w:val="center"/>
          </w:tcPr>
          <w:p w14:paraId="35736964" w14:textId="77777777" w:rsidR="00806144" w:rsidRPr="00F57CF7" w:rsidRDefault="00806144" w:rsidP="00BB5607">
            <w:pPr>
              <w:spacing w:line="240" w:lineRule="auto"/>
              <w:ind w:left="-284" w:right="-241" w:firstLine="0"/>
              <w:jc w:val="center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Time [</w:t>
            </w:r>
            <w:r>
              <w:rPr>
                <w:sz w:val="20"/>
                <w:szCs w:val="20"/>
                <w:lang w:val="en-GB"/>
              </w:rPr>
              <w:t>d</w:t>
            </w:r>
            <w:r w:rsidRPr="00F57CF7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3141" w:type="dxa"/>
            <w:gridSpan w:val="2"/>
          </w:tcPr>
          <w:p w14:paraId="279EF879" w14:textId="77777777" w:rsidR="00806144" w:rsidRPr="00F57CF7" w:rsidRDefault="00806144" w:rsidP="00BB5607">
            <w:pPr>
              <w:spacing w:line="240" w:lineRule="auto"/>
              <w:ind w:left="-284" w:right="-241"/>
              <w:jc w:val="center"/>
              <w:rPr>
                <w:i/>
                <w:sz w:val="20"/>
                <w:szCs w:val="20"/>
                <w:lang w:val="en-GB"/>
              </w:rPr>
            </w:pPr>
            <w:r w:rsidRPr="00F57CF7">
              <w:rPr>
                <w:i/>
                <w:sz w:val="20"/>
                <w:szCs w:val="20"/>
                <w:lang w:val="en-GB"/>
              </w:rPr>
              <w:t>N E. huxleyi</w:t>
            </w:r>
          </w:p>
        </w:tc>
        <w:tc>
          <w:tcPr>
            <w:tcW w:w="2558" w:type="dxa"/>
            <w:gridSpan w:val="2"/>
          </w:tcPr>
          <w:p w14:paraId="17EB71E8" w14:textId="49FEA82A" w:rsidR="00806144" w:rsidRPr="00F57CF7" w:rsidRDefault="00806144" w:rsidP="00BB5607">
            <w:pPr>
              <w:spacing w:line="240" w:lineRule="auto"/>
              <w:ind w:left="-284" w:right="-241"/>
              <w:rPr>
                <w:i/>
                <w:sz w:val="20"/>
                <w:szCs w:val="20"/>
                <w:lang w:val="en-GB"/>
              </w:rPr>
            </w:pPr>
            <w:r w:rsidRPr="00806144">
              <w:rPr>
                <w:iCs/>
                <w:sz w:val="20"/>
                <w:szCs w:val="20"/>
                <w:lang w:val="en-GB"/>
              </w:rPr>
              <w:t>N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C.affinis</w:t>
            </w:r>
            <w:proofErr w:type="spellEnd"/>
          </w:p>
        </w:tc>
      </w:tr>
      <w:tr w:rsidR="00806144" w:rsidRPr="00F57CF7" w14:paraId="3FD6A72F" w14:textId="71DC06D1" w:rsidTr="00806144">
        <w:tc>
          <w:tcPr>
            <w:tcW w:w="1580" w:type="dxa"/>
            <w:vMerge/>
          </w:tcPr>
          <w:p w14:paraId="0B449C93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62377423" w14:textId="77777777" w:rsidR="00806144" w:rsidRPr="00F57CF7" w:rsidRDefault="00806144" w:rsidP="00805A62">
            <w:pPr>
              <w:spacing w:line="240" w:lineRule="auto"/>
              <w:ind w:left="-284" w:right="-241" w:firstLine="0"/>
              <w:jc w:val="center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Ambient CO</w:t>
            </w:r>
            <w:r w:rsidRPr="00F57CF7">
              <w:rPr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552" w:type="dxa"/>
          </w:tcPr>
          <w:p w14:paraId="046F6086" w14:textId="77777777" w:rsidR="00806144" w:rsidRPr="00F57CF7" w:rsidRDefault="00806144" w:rsidP="00805A62">
            <w:pPr>
              <w:spacing w:line="240" w:lineRule="auto"/>
              <w:ind w:left="-284" w:right="-241" w:firstLine="0"/>
              <w:jc w:val="center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High CO</w:t>
            </w:r>
            <w:r w:rsidRPr="00F57CF7">
              <w:rPr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279" w:type="dxa"/>
          </w:tcPr>
          <w:p w14:paraId="20FE708C" w14:textId="362A0EBD" w:rsidR="00806144" w:rsidRPr="00F57CF7" w:rsidRDefault="00806144" w:rsidP="00805A62">
            <w:pPr>
              <w:spacing w:line="240" w:lineRule="auto"/>
              <w:ind w:left="-284" w:right="-241" w:firstLine="0"/>
              <w:jc w:val="center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Ambient CO</w:t>
            </w:r>
            <w:r w:rsidRPr="00F57CF7">
              <w:rPr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279" w:type="dxa"/>
          </w:tcPr>
          <w:p w14:paraId="5C305EA2" w14:textId="06843B9C" w:rsidR="00806144" w:rsidRPr="00F57CF7" w:rsidRDefault="00806144" w:rsidP="00805A62">
            <w:pPr>
              <w:spacing w:line="240" w:lineRule="auto"/>
              <w:ind w:left="-284" w:right="-241" w:firstLine="0"/>
              <w:jc w:val="center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High CO</w:t>
            </w:r>
            <w:r w:rsidRPr="00F57CF7">
              <w:rPr>
                <w:sz w:val="20"/>
                <w:szCs w:val="20"/>
                <w:vertAlign w:val="subscript"/>
                <w:lang w:val="en-GB"/>
              </w:rPr>
              <w:t>2</w:t>
            </w:r>
          </w:p>
        </w:tc>
      </w:tr>
      <w:tr w:rsidR="00806144" w:rsidRPr="00F57CF7" w14:paraId="1F10BF8F" w14:textId="36B7C3F6" w:rsidTr="00806144">
        <w:tc>
          <w:tcPr>
            <w:tcW w:w="1580" w:type="dxa"/>
          </w:tcPr>
          <w:p w14:paraId="28D879E3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589" w:type="dxa"/>
          </w:tcPr>
          <w:p w14:paraId="13C8BBB4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83</w:t>
            </w:r>
          </w:p>
        </w:tc>
        <w:tc>
          <w:tcPr>
            <w:tcW w:w="1552" w:type="dxa"/>
          </w:tcPr>
          <w:p w14:paraId="16D5B1C0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82</w:t>
            </w:r>
          </w:p>
        </w:tc>
        <w:tc>
          <w:tcPr>
            <w:tcW w:w="1279" w:type="dxa"/>
          </w:tcPr>
          <w:p w14:paraId="42E58417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  <w:tc>
          <w:tcPr>
            <w:tcW w:w="1279" w:type="dxa"/>
          </w:tcPr>
          <w:p w14:paraId="7A094A62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</w:tr>
      <w:tr w:rsidR="00806144" w:rsidRPr="00F57CF7" w14:paraId="431C9A35" w14:textId="70331F69" w:rsidTr="00806144">
        <w:tc>
          <w:tcPr>
            <w:tcW w:w="1580" w:type="dxa"/>
          </w:tcPr>
          <w:p w14:paraId="60919C40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589" w:type="dxa"/>
          </w:tcPr>
          <w:p w14:paraId="4D243225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1552" w:type="dxa"/>
          </w:tcPr>
          <w:p w14:paraId="00A488B1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1279" w:type="dxa"/>
          </w:tcPr>
          <w:p w14:paraId="7448E7E4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  <w:tc>
          <w:tcPr>
            <w:tcW w:w="1279" w:type="dxa"/>
          </w:tcPr>
          <w:p w14:paraId="2BF513A2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</w:tr>
      <w:tr w:rsidR="00806144" w:rsidRPr="00F57CF7" w14:paraId="7ECBC429" w14:textId="19B46487" w:rsidTr="00806144">
        <w:tc>
          <w:tcPr>
            <w:tcW w:w="1580" w:type="dxa"/>
          </w:tcPr>
          <w:p w14:paraId="3B54CE07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1589" w:type="dxa"/>
          </w:tcPr>
          <w:p w14:paraId="3F70C1A1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71</w:t>
            </w:r>
          </w:p>
        </w:tc>
        <w:tc>
          <w:tcPr>
            <w:tcW w:w="1552" w:type="dxa"/>
          </w:tcPr>
          <w:p w14:paraId="63C10438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76</w:t>
            </w:r>
          </w:p>
        </w:tc>
        <w:tc>
          <w:tcPr>
            <w:tcW w:w="1279" w:type="dxa"/>
          </w:tcPr>
          <w:p w14:paraId="38814D4F" w14:textId="73AD72F6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82</w:t>
            </w:r>
          </w:p>
        </w:tc>
        <w:tc>
          <w:tcPr>
            <w:tcW w:w="1279" w:type="dxa"/>
          </w:tcPr>
          <w:p w14:paraId="537FA75D" w14:textId="5007CD90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88</w:t>
            </w:r>
          </w:p>
        </w:tc>
      </w:tr>
      <w:tr w:rsidR="00806144" w:rsidRPr="00F57CF7" w14:paraId="72086C68" w14:textId="57378D65" w:rsidTr="00806144">
        <w:tc>
          <w:tcPr>
            <w:tcW w:w="1580" w:type="dxa"/>
          </w:tcPr>
          <w:p w14:paraId="6A3167B5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80</w:t>
            </w:r>
          </w:p>
        </w:tc>
        <w:tc>
          <w:tcPr>
            <w:tcW w:w="1589" w:type="dxa"/>
          </w:tcPr>
          <w:p w14:paraId="04646CB0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68</w:t>
            </w:r>
          </w:p>
        </w:tc>
        <w:tc>
          <w:tcPr>
            <w:tcW w:w="1552" w:type="dxa"/>
          </w:tcPr>
          <w:p w14:paraId="1BAA5EED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1279" w:type="dxa"/>
          </w:tcPr>
          <w:p w14:paraId="0938456B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  <w:tc>
          <w:tcPr>
            <w:tcW w:w="1279" w:type="dxa"/>
          </w:tcPr>
          <w:p w14:paraId="4ECBD8A9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</w:tr>
      <w:tr w:rsidR="00806144" w:rsidRPr="00F57CF7" w14:paraId="7B156BC4" w14:textId="2862F23F" w:rsidTr="00806144">
        <w:tc>
          <w:tcPr>
            <w:tcW w:w="1580" w:type="dxa"/>
          </w:tcPr>
          <w:p w14:paraId="4833C878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168</w:t>
            </w:r>
          </w:p>
        </w:tc>
        <w:tc>
          <w:tcPr>
            <w:tcW w:w="1589" w:type="dxa"/>
          </w:tcPr>
          <w:p w14:paraId="059E72A6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552" w:type="dxa"/>
          </w:tcPr>
          <w:p w14:paraId="2AA0EF9F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36</w:t>
            </w:r>
          </w:p>
        </w:tc>
        <w:tc>
          <w:tcPr>
            <w:tcW w:w="1279" w:type="dxa"/>
          </w:tcPr>
          <w:p w14:paraId="76F414F4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  <w:tc>
          <w:tcPr>
            <w:tcW w:w="1279" w:type="dxa"/>
          </w:tcPr>
          <w:p w14:paraId="0CD4CC14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</w:p>
        </w:tc>
      </w:tr>
      <w:tr w:rsidR="00806144" w:rsidRPr="00F57CF7" w14:paraId="613941B6" w14:textId="29127D01" w:rsidTr="00806144">
        <w:tc>
          <w:tcPr>
            <w:tcW w:w="1580" w:type="dxa"/>
          </w:tcPr>
          <w:p w14:paraId="7FD44991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288</w:t>
            </w:r>
          </w:p>
        </w:tc>
        <w:tc>
          <w:tcPr>
            <w:tcW w:w="1589" w:type="dxa"/>
          </w:tcPr>
          <w:p w14:paraId="0E173A30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1552" w:type="dxa"/>
          </w:tcPr>
          <w:p w14:paraId="2C1FF651" w14:textId="77777777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 w:rsidRPr="00F57CF7"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1279" w:type="dxa"/>
          </w:tcPr>
          <w:p w14:paraId="45524FE0" w14:textId="1FF6E29B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1279" w:type="dxa"/>
          </w:tcPr>
          <w:p w14:paraId="01CF2D47" w14:textId="4CEE63F4" w:rsidR="00806144" w:rsidRPr="00F57CF7" w:rsidRDefault="00806144" w:rsidP="00BB5607">
            <w:pPr>
              <w:spacing w:line="240" w:lineRule="auto"/>
              <w:ind w:left="-284" w:right="-24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62</w:t>
            </w:r>
          </w:p>
        </w:tc>
      </w:tr>
    </w:tbl>
    <w:p w14:paraId="04FD1D8A" w14:textId="3058B26F" w:rsidR="00233EB8" w:rsidRPr="00F57CF7" w:rsidRDefault="00594971" w:rsidP="00BB5607">
      <w:pPr>
        <w:spacing w:line="276" w:lineRule="auto"/>
        <w:ind w:left="-284" w:right="-241" w:firstLine="0"/>
        <w:rPr>
          <w:lang w:val="en-GB"/>
        </w:rPr>
      </w:pPr>
      <w:r w:rsidRPr="00B1362B">
        <w:rPr>
          <w:rStyle w:val="Heading2Char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12A2931" wp14:editId="0E2F5E7E">
            <wp:simplePos x="0" y="0"/>
            <wp:positionH relativeFrom="column">
              <wp:posOffset>-58420</wp:posOffset>
            </wp:positionH>
            <wp:positionV relativeFrom="paragraph">
              <wp:posOffset>28575</wp:posOffset>
            </wp:positionV>
            <wp:extent cx="5507990" cy="6730365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8" b="33924"/>
                    <a:stretch/>
                  </pic:blipFill>
                  <pic:spPr bwMode="auto">
                    <a:xfrm>
                      <a:off x="0" y="0"/>
                      <a:ext cx="5507990" cy="673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FBFB3" w14:textId="44CDD0B6" w:rsidR="00AA204A" w:rsidRDefault="00AA204A" w:rsidP="00BB5607">
      <w:pPr>
        <w:ind w:left="-284" w:right="-241" w:firstLine="0"/>
        <w:rPr>
          <w:lang w:val="en-GB"/>
        </w:rPr>
      </w:pPr>
      <w:bookmarkStart w:id="1" w:name="_Toc63075705"/>
      <w:r w:rsidRPr="006E0419">
        <w:rPr>
          <w:rStyle w:val="Heading2Char"/>
          <w:lang w:val="en-GB"/>
        </w:rPr>
        <w:t xml:space="preserve">Figure </w:t>
      </w:r>
      <w:r w:rsidR="00861396">
        <w:rPr>
          <w:rStyle w:val="Heading2Char"/>
          <w:lang w:val="en-GB"/>
        </w:rPr>
        <w:t>S</w:t>
      </w:r>
      <w:r w:rsidR="00884515">
        <w:rPr>
          <w:rStyle w:val="Heading2Char"/>
          <w:lang w:val="en-GB"/>
        </w:rPr>
        <w:t>1</w:t>
      </w:r>
      <w:r w:rsidRPr="006E0419">
        <w:rPr>
          <w:rStyle w:val="Heading2Char"/>
          <w:lang w:val="en-GB"/>
        </w:rPr>
        <w:t>:</w:t>
      </w:r>
      <w:bookmarkEnd w:id="1"/>
      <w:r w:rsidR="00B1362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84515">
        <w:rPr>
          <w:sz w:val="20"/>
          <w:szCs w:val="20"/>
          <w:lang w:val="en-GB"/>
        </w:rPr>
        <w:t xml:space="preserve">A) Correlation of total cell numbers (Cells/ml) to the abundance of </w:t>
      </w:r>
      <w:proofErr w:type="spellStart"/>
      <w:r w:rsidRPr="00884515">
        <w:rPr>
          <w:i/>
          <w:iCs/>
          <w:sz w:val="20"/>
          <w:szCs w:val="20"/>
          <w:lang w:val="en-GB"/>
        </w:rPr>
        <w:t>Emiliania</w:t>
      </w:r>
      <w:proofErr w:type="spellEnd"/>
      <w:r w:rsidRPr="00884515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884515">
        <w:rPr>
          <w:i/>
          <w:iCs/>
          <w:sz w:val="20"/>
          <w:szCs w:val="20"/>
          <w:lang w:val="en-GB"/>
        </w:rPr>
        <w:t>huxleyi</w:t>
      </w:r>
      <w:proofErr w:type="spellEnd"/>
      <w:r w:rsidRPr="00884515">
        <w:rPr>
          <w:sz w:val="20"/>
          <w:szCs w:val="20"/>
          <w:lang w:val="en-GB"/>
        </w:rPr>
        <w:t xml:space="preserve"> and </w:t>
      </w:r>
      <w:proofErr w:type="spellStart"/>
      <w:r w:rsidRPr="00884515">
        <w:rPr>
          <w:i/>
          <w:iCs/>
          <w:sz w:val="20"/>
          <w:szCs w:val="20"/>
          <w:lang w:val="en-GB"/>
        </w:rPr>
        <w:t>Chaetoceros</w:t>
      </w:r>
      <w:proofErr w:type="spellEnd"/>
      <w:r w:rsidRPr="00884515">
        <w:rPr>
          <w:i/>
          <w:iCs/>
          <w:sz w:val="20"/>
          <w:szCs w:val="20"/>
          <w:lang w:val="en-GB"/>
        </w:rPr>
        <w:t xml:space="preserve"> affinis</w:t>
      </w:r>
      <w:r w:rsidRPr="00884515">
        <w:rPr>
          <w:sz w:val="20"/>
          <w:szCs w:val="20"/>
          <w:lang w:val="en-GB"/>
        </w:rPr>
        <w:t xml:space="preserve"> (cells/mL; top-left and top-right, respectively). B) Correlation of mean size (µmol³/mL) to the abundance of </w:t>
      </w:r>
      <w:r w:rsidRPr="00884515">
        <w:rPr>
          <w:i/>
          <w:iCs/>
          <w:sz w:val="20"/>
          <w:szCs w:val="20"/>
          <w:lang w:val="en-GB"/>
        </w:rPr>
        <w:t>E. huxleyi</w:t>
      </w:r>
      <w:r w:rsidRPr="00884515">
        <w:rPr>
          <w:sz w:val="20"/>
          <w:szCs w:val="20"/>
          <w:lang w:val="en-GB"/>
        </w:rPr>
        <w:t xml:space="preserve"> and </w:t>
      </w:r>
      <w:r w:rsidRPr="00884515">
        <w:rPr>
          <w:i/>
          <w:iCs/>
          <w:sz w:val="20"/>
          <w:szCs w:val="20"/>
          <w:lang w:val="en-GB"/>
        </w:rPr>
        <w:t>C. affinis</w:t>
      </w:r>
      <w:r w:rsidRPr="00884515">
        <w:rPr>
          <w:sz w:val="20"/>
          <w:szCs w:val="20"/>
          <w:lang w:val="en-GB"/>
        </w:rPr>
        <w:t xml:space="preserve"> (cells/mL; middle-left and middle-right, respectively). Values of all assay communities at 80 days are used for correlations.</w:t>
      </w:r>
      <w:r w:rsidRPr="00FF1D29">
        <w:rPr>
          <w:lang w:val="en-GB"/>
        </w:rPr>
        <w:t xml:space="preserve"> </w:t>
      </w:r>
    </w:p>
    <w:p w14:paraId="03B7505B" w14:textId="77777777" w:rsidR="00233EB8" w:rsidRPr="00F57CF7" w:rsidRDefault="00233EB8" w:rsidP="00BB5607">
      <w:pPr>
        <w:spacing w:line="276" w:lineRule="auto"/>
        <w:ind w:left="-284" w:right="-241"/>
        <w:rPr>
          <w:lang w:val="en-GB"/>
        </w:rPr>
      </w:pPr>
    </w:p>
    <w:p w14:paraId="2A927765" w14:textId="77777777" w:rsidR="00233EB8" w:rsidRPr="00F57CF7" w:rsidRDefault="00233EB8" w:rsidP="00BB5607">
      <w:pPr>
        <w:spacing w:line="276" w:lineRule="auto"/>
        <w:ind w:left="-284" w:right="-241" w:firstLine="0"/>
        <w:rPr>
          <w:sz w:val="20"/>
          <w:szCs w:val="20"/>
          <w:lang w:val="en-GB"/>
        </w:rPr>
      </w:pPr>
    </w:p>
    <w:p w14:paraId="4FFB2A58" w14:textId="77777777" w:rsidR="00233EB8" w:rsidRPr="00F57CF7" w:rsidRDefault="00233EB8" w:rsidP="00BB5607">
      <w:pPr>
        <w:spacing w:line="276" w:lineRule="auto"/>
        <w:ind w:left="-284" w:right="-241" w:firstLine="0"/>
        <w:jc w:val="left"/>
        <w:rPr>
          <w:lang w:val="en-GB"/>
        </w:rPr>
      </w:pPr>
      <w:r w:rsidRPr="00F57CF7">
        <w:rPr>
          <w:noProof/>
          <w:lang w:val="en-US"/>
        </w:rPr>
        <w:lastRenderedPageBreak/>
        <w:drawing>
          <wp:inline distT="0" distB="0" distL="0" distR="0" wp14:anchorId="6021C1E6" wp14:editId="0A186DA6">
            <wp:extent cx="5232564" cy="2455757"/>
            <wp:effectExtent l="0" t="0" r="6350" b="1905"/>
            <wp:docPr id="4" name="Grafik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hart, histo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564" cy="245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44D6" w14:textId="17E2C085" w:rsidR="00233EB8" w:rsidRDefault="00233EB8" w:rsidP="00BB5607">
      <w:pPr>
        <w:spacing w:line="276" w:lineRule="auto"/>
        <w:ind w:left="-284" w:right="-241" w:firstLine="0"/>
        <w:rPr>
          <w:sz w:val="20"/>
          <w:szCs w:val="20"/>
          <w:lang w:val="en-GB"/>
        </w:rPr>
      </w:pPr>
      <w:r>
        <w:rPr>
          <w:rStyle w:val="Heading2Char"/>
          <w:lang w:val="en-GB"/>
        </w:rPr>
        <w:t>Figure S</w:t>
      </w:r>
      <w:r w:rsidR="00884515">
        <w:rPr>
          <w:rStyle w:val="Heading2Char"/>
          <w:lang w:val="en-GB"/>
        </w:rPr>
        <w:t>2</w:t>
      </w:r>
      <w:r w:rsidRPr="00F57CF7">
        <w:rPr>
          <w:rStyle w:val="Heading2Char"/>
          <w:lang w:val="en-GB"/>
        </w:rPr>
        <w:t>:</w:t>
      </w:r>
      <w:r w:rsidRPr="00F57CF7">
        <w:rPr>
          <w:lang w:val="en-GB"/>
        </w:rPr>
        <w:t xml:space="preserve"> </w:t>
      </w:r>
      <w:r>
        <w:rPr>
          <w:sz w:val="20"/>
          <w:szCs w:val="20"/>
          <w:lang w:val="en-GB"/>
        </w:rPr>
        <w:t>A</w:t>
      </w:r>
      <w:r w:rsidRPr="00F57CF7">
        <w:rPr>
          <w:sz w:val="20"/>
          <w:szCs w:val="20"/>
          <w:lang w:val="en-GB"/>
        </w:rPr>
        <w:t xml:space="preserve">bundance of </w:t>
      </w:r>
      <w:r w:rsidRPr="00F57CF7">
        <w:rPr>
          <w:i/>
          <w:sz w:val="20"/>
          <w:szCs w:val="20"/>
          <w:lang w:val="en-GB"/>
        </w:rPr>
        <w:t>C. affinis</w:t>
      </w:r>
      <w:r w:rsidRPr="00F57CF7">
        <w:rPr>
          <w:sz w:val="20"/>
          <w:szCs w:val="20"/>
          <w:lang w:val="en-GB"/>
        </w:rPr>
        <w:t xml:space="preserve"> and </w:t>
      </w:r>
      <w:r w:rsidRPr="00F57CF7">
        <w:rPr>
          <w:i/>
          <w:sz w:val="20"/>
          <w:szCs w:val="20"/>
          <w:lang w:val="en-GB"/>
        </w:rPr>
        <w:t>E. huxleyi</w:t>
      </w:r>
      <w:r w:rsidRPr="00F57CF7">
        <w:rPr>
          <w:sz w:val="20"/>
          <w:szCs w:val="20"/>
          <w:lang w:val="en-GB"/>
        </w:rPr>
        <w:t xml:space="preserve"> in the communities held under ambient and high CO</w:t>
      </w:r>
      <w:r w:rsidRPr="00F57CF7">
        <w:rPr>
          <w:sz w:val="20"/>
          <w:szCs w:val="20"/>
          <w:vertAlign w:val="subscript"/>
          <w:lang w:val="en-GB"/>
        </w:rPr>
        <w:t>2</w:t>
      </w:r>
      <w:r w:rsidRPr="00F57CF7">
        <w:rPr>
          <w:sz w:val="20"/>
          <w:szCs w:val="20"/>
          <w:lang w:val="en-GB"/>
        </w:rPr>
        <w:t xml:space="preserve"> over </w:t>
      </w:r>
      <w:r>
        <w:rPr>
          <w:sz w:val="20"/>
          <w:szCs w:val="20"/>
          <w:lang w:val="en-GB"/>
        </w:rPr>
        <w:t xml:space="preserve">288 days corresponding to approximately 180 generations </w:t>
      </w:r>
      <w:r w:rsidRPr="00F57CF7">
        <w:rPr>
          <w:sz w:val="20"/>
          <w:szCs w:val="20"/>
          <w:lang w:val="en-GB"/>
        </w:rPr>
        <w:t>(mean and 95</w:t>
      </w:r>
      <w:r>
        <w:rPr>
          <w:sz w:val="20"/>
          <w:szCs w:val="20"/>
          <w:lang w:val="en-GB"/>
        </w:rPr>
        <w:t xml:space="preserve"> </w:t>
      </w:r>
      <w:r w:rsidRPr="00F57CF7">
        <w:rPr>
          <w:sz w:val="20"/>
          <w:szCs w:val="20"/>
          <w:lang w:val="en-GB"/>
        </w:rPr>
        <w:t>%</w:t>
      </w:r>
      <w:r>
        <w:rPr>
          <w:sz w:val="20"/>
          <w:szCs w:val="20"/>
          <w:lang w:val="en-GB"/>
        </w:rPr>
        <w:t xml:space="preserve"> </w:t>
      </w:r>
      <w:r w:rsidRPr="00F57CF7">
        <w:rPr>
          <w:sz w:val="20"/>
          <w:szCs w:val="20"/>
          <w:lang w:val="en-GB"/>
        </w:rPr>
        <w:t xml:space="preserve">CI). To be able to see fluctuations in both species, with quite diverging abundance, the log to the basis of 10 is shown. </w:t>
      </w:r>
    </w:p>
    <w:p w14:paraId="42258772" w14:textId="66332BA8" w:rsidR="00861396" w:rsidRDefault="00861396" w:rsidP="00BB5607">
      <w:pPr>
        <w:ind w:left="-284" w:right="-241" w:firstLine="0"/>
        <w:rPr>
          <w:lang w:val="en-GB"/>
        </w:rPr>
      </w:pPr>
    </w:p>
    <w:p w14:paraId="541EA844" w14:textId="00B3B773" w:rsidR="00233EB8" w:rsidRDefault="00233EB8" w:rsidP="00BB5607">
      <w:pPr>
        <w:ind w:left="-284" w:right="-241" w:firstLine="0"/>
        <w:rPr>
          <w:lang w:val="en-GB"/>
        </w:rPr>
      </w:pPr>
    </w:p>
    <w:p w14:paraId="09915E91" w14:textId="77777777" w:rsidR="00233EB8" w:rsidRDefault="00233EB8" w:rsidP="00BB5607">
      <w:pPr>
        <w:ind w:left="-284" w:right="-241" w:firstLine="0"/>
        <w:rPr>
          <w:lang w:val="en-GB"/>
        </w:rPr>
      </w:pPr>
    </w:p>
    <w:p w14:paraId="34B5665F" w14:textId="77777777" w:rsidR="00861396" w:rsidRPr="00F57CF7" w:rsidRDefault="00861396" w:rsidP="00BB5607">
      <w:pPr>
        <w:spacing w:line="276" w:lineRule="auto"/>
        <w:ind w:left="-284" w:right="-241" w:firstLine="0"/>
        <w:rPr>
          <w:lang w:val="en-GB"/>
        </w:rPr>
      </w:pPr>
      <w:r w:rsidRPr="00F57CF7">
        <w:rPr>
          <w:noProof/>
          <w:lang w:val="en-US"/>
        </w:rPr>
        <w:drawing>
          <wp:inline distT="0" distB="0" distL="0" distR="0" wp14:anchorId="61B40515" wp14:editId="61E3D419">
            <wp:extent cx="5329656" cy="2516625"/>
            <wp:effectExtent l="0" t="0" r="444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656" cy="251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522C7" w14:textId="392CDDF8" w:rsidR="00861396" w:rsidRDefault="00861396" w:rsidP="00BB5607">
      <w:pPr>
        <w:spacing w:line="276" w:lineRule="auto"/>
        <w:ind w:left="-284" w:right="-241" w:firstLine="0"/>
        <w:rPr>
          <w:sz w:val="20"/>
          <w:szCs w:val="20"/>
          <w:lang w:val="en-GB"/>
        </w:rPr>
      </w:pPr>
      <w:r w:rsidRPr="0055517B">
        <w:rPr>
          <w:rStyle w:val="Heading2Char"/>
          <w:lang w:val="en-GB"/>
        </w:rPr>
        <w:t>Figur</w:t>
      </w:r>
      <w:r w:rsidR="00681B18">
        <w:rPr>
          <w:rStyle w:val="Heading2Char"/>
          <w:lang w:val="en-GB"/>
        </w:rPr>
        <w:t>e</w:t>
      </w:r>
      <w:r w:rsidRPr="0055517B">
        <w:rPr>
          <w:rStyle w:val="Heading2Char"/>
          <w:lang w:val="en-GB"/>
        </w:rPr>
        <w:t xml:space="preserve"> S</w:t>
      </w:r>
      <w:r w:rsidR="00884515">
        <w:rPr>
          <w:rStyle w:val="Heading2Char"/>
          <w:lang w:val="en-GB"/>
        </w:rPr>
        <w:t>3</w:t>
      </w:r>
      <w:r w:rsidRPr="0055517B">
        <w:rPr>
          <w:rStyle w:val="Heading2Char"/>
          <w:lang w:val="en-GB"/>
        </w:rPr>
        <w:t xml:space="preserve">: </w:t>
      </w:r>
      <w:r w:rsidRPr="0055517B">
        <w:rPr>
          <w:sz w:val="20"/>
          <w:szCs w:val="20"/>
          <w:lang w:val="en-GB"/>
        </w:rPr>
        <w:t xml:space="preserve">The size of </w:t>
      </w:r>
      <w:r w:rsidRPr="0055517B">
        <w:rPr>
          <w:i/>
          <w:sz w:val="20"/>
          <w:szCs w:val="20"/>
          <w:lang w:val="en-GB"/>
        </w:rPr>
        <w:t>C. affinis</w:t>
      </w:r>
      <w:r w:rsidRPr="0055517B">
        <w:rPr>
          <w:sz w:val="20"/>
          <w:szCs w:val="20"/>
          <w:lang w:val="en-GB"/>
        </w:rPr>
        <w:t xml:space="preserve"> and </w:t>
      </w:r>
      <w:r w:rsidRPr="0055517B">
        <w:rPr>
          <w:i/>
          <w:sz w:val="20"/>
          <w:szCs w:val="20"/>
          <w:lang w:val="en-GB"/>
        </w:rPr>
        <w:t>E. huxleyi</w:t>
      </w:r>
      <w:r w:rsidRPr="0055517B">
        <w:rPr>
          <w:sz w:val="20"/>
          <w:szCs w:val="20"/>
          <w:lang w:val="en-GB"/>
        </w:rPr>
        <w:t xml:space="preserve"> in the communities held under ambient and high CO</w:t>
      </w:r>
      <w:r w:rsidRPr="0055517B">
        <w:rPr>
          <w:sz w:val="20"/>
          <w:szCs w:val="20"/>
          <w:vertAlign w:val="subscript"/>
          <w:lang w:val="en-GB"/>
        </w:rPr>
        <w:t xml:space="preserve">2 </w:t>
      </w:r>
      <w:r w:rsidRPr="0055517B">
        <w:rPr>
          <w:sz w:val="20"/>
          <w:szCs w:val="20"/>
          <w:lang w:val="en-GB"/>
        </w:rPr>
        <w:t>over time (mean and 95 % CI). To be able to see fluctuations in both species, with quite diverging size, the log to the basis of 10 is shown</w:t>
      </w:r>
      <w:r w:rsidRPr="00F57CF7">
        <w:rPr>
          <w:sz w:val="20"/>
          <w:szCs w:val="20"/>
          <w:lang w:val="en-GB"/>
        </w:rPr>
        <w:t>.</w:t>
      </w:r>
    </w:p>
    <w:p w14:paraId="5C5094AB" w14:textId="1A644AA0" w:rsidR="00A67B91" w:rsidRDefault="00A67B91" w:rsidP="00BB5607">
      <w:pPr>
        <w:spacing w:line="276" w:lineRule="auto"/>
        <w:ind w:left="-284" w:right="-241" w:firstLine="0"/>
        <w:rPr>
          <w:sz w:val="20"/>
          <w:szCs w:val="20"/>
          <w:lang w:val="en-GB"/>
        </w:rPr>
      </w:pPr>
    </w:p>
    <w:p w14:paraId="654DB88B" w14:textId="6207C188" w:rsidR="00A67B91" w:rsidRPr="00F57CF7" w:rsidRDefault="00A67B91" w:rsidP="00BB5607">
      <w:pPr>
        <w:spacing w:line="276" w:lineRule="auto"/>
        <w:ind w:left="-284" w:right="-241" w:firstLine="0"/>
        <w:rPr>
          <w:lang w:val="en-GB"/>
        </w:rPr>
      </w:pPr>
      <w:r w:rsidRPr="00F57CF7">
        <w:rPr>
          <w:noProof/>
          <w:lang w:val="en-US"/>
        </w:rPr>
        <w:lastRenderedPageBreak/>
        <w:drawing>
          <wp:inline distT="0" distB="0" distL="0" distR="0" wp14:anchorId="2B75CF60" wp14:editId="5FD3C77C">
            <wp:extent cx="4327556" cy="6194449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813" cy="627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93AB" w14:textId="4B8168EA" w:rsidR="00A67B91" w:rsidRPr="00F57CF7" w:rsidRDefault="00A67B91" w:rsidP="00BB5607">
      <w:pPr>
        <w:spacing w:line="276" w:lineRule="auto"/>
        <w:ind w:left="-284" w:right="-241" w:firstLine="0"/>
        <w:rPr>
          <w:lang w:val="en-GB"/>
        </w:rPr>
      </w:pPr>
      <w:r>
        <w:rPr>
          <w:rStyle w:val="Heading2Char"/>
          <w:lang w:val="en-GB"/>
        </w:rPr>
        <w:t>Figur</w:t>
      </w:r>
      <w:r w:rsidR="00681B18">
        <w:rPr>
          <w:rStyle w:val="Heading2Char"/>
          <w:lang w:val="en-GB"/>
        </w:rPr>
        <w:t>e</w:t>
      </w:r>
      <w:r>
        <w:rPr>
          <w:rStyle w:val="Heading2Char"/>
          <w:lang w:val="en-GB"/>
        </w:rPr>
        <w:t xml:space="preserve"> S</w:t>
      </w:r>
      <w:r w:rsidR="00884515">
        <w:rPr>
          <w:rStyle w:val="Heading2Char"/>
          <w:lang w:val="en-GB"/>
        </w:rPr>
        <w:t>4</w:t>
      </w:r>
      <w:r w:rsidRPr="00F57CF7">
        <w:rPr>
          <w:rStyle w:val="Heading2Char"/>
          <w:lang w:val="en-GB"/>
        </w:rPr>
        <w:t>:</w:t>
      </w:r>
      <w:r w:rsidRPr="00F57CF7">
        <w:rPr>
          <w:lang w:val="en-GB"/>
        </w:rPr>
        <w:t xml:space="preserve"> </w:t>
      </w:r>
      <w:r>
        <w:rPr>
          <w:sz w:val="20"/>
          <w:szCs w:val="20"/>
          <w:lang w:val="en-GB"/>
        </w:rPr>
        <w:t>The</w:t>
      </w:r>
      <w:r w:rsidRPr="00F57CF7">
        <w:rPr>
          <w:sz w:val="20"/>
          <w:szCs w:val="20"/>
          <w:lang w:val="en-GB"/>
        </w:rPr>
        <w:t xml:space="preserve"> total abundance of the Eco-Evo Assay communities assessed using communities sorted for </w:t>
      </w:r>
      <w:r>
        <w:rPr>
          <w:sz w:val="20"/>
          <w:szCs w:val="20"/>
          <w:lang w:val="en-GB"/>
        </w:rPr>
        <w:t>80</w:t>
      </w:r>
      <w:r w:rsidRPr="00F57CF7">
        <w:rPr>
          <w:sz w:val="20"/>
          <w:szCs w:val="20"/>
          <w:lang w:val="en-GB"/>
        </w:rPr>
        <w:t xml:space="preserve"> (A), </w:t>
      </w:r>
      <w:r>
        <w:rPr>
          <w:sz w:val="20"/>
          <w:szCs w:val="20"/>
          <w:lang w:val="en-GB"/>
        </w:rPr>
        <w:t>168</w:t>
      </w:r>
      <w:r w:rsidRPr="00F57CF7">
        <w:rPr>
          <w:sz w:val="20"/>
          <w:szCs w:val="20"/>
          <w:lang w:val="en-GB"/>
        </w:rPr>
        <w:t xml:space="preserve"> (B) and </w:t>
      </w:r>
      <w:r>
        <w:rPr>
          <w:sz w:val="20"/>
          <w:szCs w:val="20"/>
          <w:lang w:val="en-GB"/>
        </w:rPr>
        <w:t>288</w:t>
      </w:r>
      <w:r w:rsidRPr="00F57CF7">
        <w:rPr>
          <w:sz w:val="20"/>
          <w:szCs w:val="20"/>
          <w:lang w:val="en-GB"/>
        </w:rPr>
        <w:t xml:space="preserve"> (C) generations (mea</w:t>
      </w:r>
      <w:r>
        <w:rPr>
          <w:sz w:val="20"/>
          <w:szCs w:val="20"/>
          <w:lang w:val="en-GB"/>
        </w:rPr>
        <w:t>n und standard deviation). Asterisk</w:t>
      </w:r>
      <w:r w:rsidRPr="00F57CF7">
        <w:rPr>
          <w:sz w:val="20"/>
          <w:szCs w:val="20"/>
          <w:lang w:val="en-GB"/>
        </w:rPr>
        <w:t>s indicate significant change between</w:t>
      </w:r>
      <w:r>
        <w:rPr>
          <w:sz w:val="20"/>
          <w:szCs w:val="20"/>
          <w:lang w:val="en-GB"/>
        </w:rPr>
        <w:t xml:space="preserve"> </w:t>
      </w:r>
      <w:proofErr w:type="spellStart"/>
      <w:r w:rsidRPr="00F57CF7">
        <w:rPr>
          <w:sz w:val="20"/>
          <w:szCs w:val="20"/>
          <w:lang w:val="en-GB"/>
        </w:rPr>
        <w:t>Effect</w:t>
      </w:r>
      <w:r w:rsidRPr="00F57CF7">
        <w:rPr>
          <w:sz w:val="20"/>
          <w:szCs w:val="20"/>
          <w:vertAlign w:val="subscript"/>
          <w:lang w:val="en-GB"/>
        </w:rPr>
        <w:t>novel</w:t>
      </w:r>
      <w:proofErr w:type="spellEnd"/>
      <w:r w:rsidRPr="00F57CF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and </w:t>
      </w:r>
      <w:r w:rsidRPr="00F57CF7">
        <w:rPr>
          <w:sz w:val="20"/>
          <w:szCs w:val="20"/>
          <w:lang w:val="en-GB"/>
        </w:rPr>
        <w:t xml:space="preserve">the Eco, </w:t>
      </w:r>
      <w:proofErr w:type="spellStart"/>
      <w:r w:rsidRPr="00F57CF7">
        <w:rPr>
          <w:sz w:val="20"/>
          <w:szCs w:val="20"/>
          <w:lang w:val="en-GB"/>
        </w:rPr>
        <w:t>Evo</w:t>
      </w:r>
      <w:proofErr w:type="spellEnd"/>
      <w:r w:rsidRPr="00F57CF7">
        <w:rPr>
          <w:sz w:val="20"/>
          <w:szCs w:val="20"/>
          <w:lang w:val="en-GB"/>
        </w:rPr>
        <w:t xml:space="preserve"> and </w:t>
      </w:r>
      <w:proofErr w:type="spellStart"/>
      <w:r w:rsidRPr="00F57CF7">
        <w:rPr>
          <w:sz w:val="20"/>
          <w:szCs w:val="20"/>
          <w:lang w:val="en-GB"/>
        </w:rPr>
        <w:t>EcoEvo</w:t>
      </w:r>
      <w:proofErr w:type="spellEnd"/>
      <w:r w:rsidRPr="00F57CF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communities</w:t>
      </w:r>
      <w:r w:rsidRPr="00F57CF7">
        <w:rPr>
          <w:sz w:val="20"/>
          <w:szCs w:val="20"/>
          <w:lang w:val="en-GB"/>
        </w:rPr>
        <w:t xml:space="preserve"> to the </w:t>
      </w:r>
      <w:proofErr w:type="spellStart"/>
      <w:r w:rsidRPr="00F57CF7">
        <w:rPr>
          <w:sz w:val="20"/>
          <w:szCs w:val="20"/>
          <w:lang w:val="en-GB"/>
        </w:rPr>
        <w:t>Control</w:t>
      </w:r>
      <w:r w:rsidRPr="00F57CF7">
        <w:rPr>
          <w:sz w:val="20"/>
          <w:szCs w:val="20"/>
          <w:vertAlign w:val="subscript"/>
          <w:lang w:val="en-GB"/>
        </w:rPr>
        <w:t>ambien</w:t>
      </w:r>
      <w:r>
        <w:rPr>
          <w:sz w:val="20"/>
          <w:szCs w:val="20"/>
          <w:vertAlign w:val="subscript"/>
          <w:lang w:val="en-GB"/>
        </w:rPr>
        <w:t>t</w:t>
      </w:r>
      <w:proofErr w:type="spellEnd"/>
      <w:r w:rsidRPr="00F57CF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(</w:t>
      </w:r>
      <w:proofErr w:type="spellStart"/>
      <w:r w:rsidRPr="00F57CF7">
        <w:rPr>
          <w:sz w:val="20"/>
          <w:szCs w:val="20"/>
          <w:lang w:val="en-GB"/>
        </w:rPr>
        <w:t>Anova</w:t>
      </w:r>
      <w:proofErr w:type="spellEnd"/>
      <w:r w:rsidRPr="00F57CF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with</w:t>
      </w:r>
      <w:r w:rsidRPr="00F57CF7">
        <w:rPr>
          <w:sz w:val="20"/>
          <w:szCs w:val="20"/>
          <w:lang w:val="en-GB"/>
        </w:rPr>
        <w:t xml:space="preserve"> </w:t>
      </w:r>
      <w:proofErr w:type="spellStart"/>
      <w:r w:rsidRPr="00F57CF7">
        <w:rPr>
          <w:sz w:val="20"/>
          <w:szCs w:val="20"/>
          <w:lang w:val="en-GB"/>
        </w:rPr>
        <w:t>Control</w:t>
      </w:r>
      <w:r w:rsidRPr="00F57CF7">
        <w:rPr>
          <w:sz w:val="20"/>
          <w:szCs w:val="20"/>
          <w:vertAlign w:val="subscript"/>
          <w:lang w:val="en-GB"/>
        </w:rPr>
        <w:t>ambient</w:t>
      </w:r>
      <w:proofErr w:type="spellEnd"/>
      <w:r w:rsidRPr="00F57CF7">
        <w:rPr>
          <w:sz w:val="20"/>
          <w:szCs w:val="20"/>
          <w:lang w:val="en-GB"/>
        </w:rPr>
        <w:t xml:space="preserve"> as intercept</w:t>
      </w:r>
      <w:r>
        <w:rPr>
          <w:sz w:val="20"/>
          <w:szCs w:val="20"/>
          <w:lang w:val="en-GB"/>
        </w:rPr>
        <w:t>)</w:t>
      </w:r>
      <w:r w:rsidRPr="00F57CF7">
        <w:rPr>
          <w:sz w:val="20"/>
          <w:szCs w:val="20"/>
          <w:lang w:val="en-GB"/>
        </w:rPr>
        <w:t xml:space="preserve">. n=5 until </w:t>
      </w:r>
      <w:r>
        <w:rPr>
          <w:sz w:val="20"/>
          <w:szCs w:val="20"/>
          <w:lang w:val="en-GB"/>
        </w:rPr>
        <w:t>168 days</w:t>
      </w:r>
      <w:r w:rsidRPr="00F57CF7">
        <w:rPr>
          <w:sz w:val="20"/>
          <w:szCs w:val="20"/>
          <w:lang w:val="en-GB"/>
        </w:rPr>
        <w:t xml:space="preserve"> then n=4.</w:t>
      </w:r>
    </w:p>
    <w:p w14:paraId="2B070BE5" w14:textId="77777777" w:rsidR="00A67B91" w:rsidRPr="00F57CF7" w:rsidRDefault="00A67B91" w:rsidP="00BB5607">
      <w:pPr>
        <w:spacing w:line="276" w:lineRule="auto"/>
        <w:ind w:left="-284" w:right="-241" w:firstLine="0"/>
        <w:rPr>
          <w:sz w:val="20"/>
          <w:szCs w:val="20"/>
          <w:lang w:val="en-GB"/>
        </w:rPr>
      </w:pPr>
      <w:r w:rsidRPr="00F57CF7"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0536FFF9" wp14:editId="2A06A224">
            <wp:extent cx="5502256" cy="7842207"/>
            <wp:effectExtent l="0" t="0" r="3810" b="698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 EcoEvo_Assay_SIZE_N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05" cy="785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24EF" w14:textId="4298E74D" w:rsidR="00A67B91" w:rsidRPr="00AA204A" w:rsidRDefault="001C5D6B" w:rsidP="00BB5607">
      <w:pPr>
        <w:spacing w:line="276" w:lineRule="auto"/>
        <w:ind w:left="-284" w:right="-241" w:firstLine="0"/>
        <w:rPr>
          <w:lang w:val="en-US"/>
        </w:rPr>
      </w:pPr>
      <w:r>
        <w:rPr>
          <w:rStyle w:val="Heading2Char"/>
          <w:lang w:val="en-GB"/>
        </w:rPr>
        <w:t>Figure</w:t>
      </w:r>
      <w:r w:rsidR="00A67B91">
        <w:rPr>
          <w:rStyle w:val="Heading2Char"/>
          <w:lang w:val="en-GB"/>
        </w:rPr>
        <w:t xml:space="preserve"> S</w:t>
      </w:r>
      <w:r w:rsidR="00884515">
        <w:rPr>
          <w:rStyle w:val="Heading2Char"/>
          <w:lang w:val="en-GB"/>
        </w:rPr>
        <w:t>5</w:t>
      </w:r>
      <w:r w:rsidR="00A67B91" w:rsidRPr="00F57CF7">
        <w:rPr>
          <w:rStyle w:val="Heading2Char"/>
          <w:lang w:val="en-GB"/>
        </w:rPr>
        <w:t>:</w:t>
      </w:r>
      <w:r w:rsidR="00A67B91" w:rsidRPr="00F57CF7">
        <w:rPr>
          <w:lang w:val="en-GB"/>
        </w:rPr>
        <w:t xml:space="preserve"> </w:t>
      </w:r>
      <w:r w:rsidR="00A67B91">
        <w:rPr>
          <w:sz w:val="20"/>
          <w:szCs w:val="20"/>
          <w:lang w:val="en-GB"/>
        </w:rPr>
        <w:t>The</w:t>
      </w:r>
      <w:r w:rsidR="00A67B91" w:rsidRPr="00F57CF7">
        <w:rPr>
          <w:sz w:val="20"/>
          <w:szCs w:val="20"/>
          <w:lang w:val="en-GB"/>
        </w:rPr>
        <w:t xml:space="preserve"> mean</w:t>
      </w:r>
      <w:r w:rsidR="00A67B91">
        <w:rPr>
          <w:sz w:val="20"/>
          <w:szCs w:val="20"/>
          <w:lang w:val="en-GB"/>
        </w:rPr>
        <w:t xml:space="preserve"> cell</w:t>
      </w:r>
      <w:r w:rsidR="00A67B91" w:rsidRPr="00F57CF7">
        <w:rPr>
          <w:sz w:val="20"/>
          <w:szCs w:val="20"/>
          <w:lang w:val="en-GB"/>
        </w:rPr>
        <w:t xml:space="preserve"> size of the Eco-Evo Assay communities assessed using communities sorted for </w:t>
      </w:r>
      <w:r w:rsidR="00A67B91">
        <w:rPr>
          <w:sz w:val="20"/>
          <w:szCs w:val="20"/>
          <w:lang w:val="en-GB"/>
        </w:rPr>
        <w:t>80</w:t>
      </w:r>
      <w:r w:rsidR="00A67B91" w:rsidRPr="00F57CF7">
        <w:rPr>
          <w:sz w:val="20"/>
          <w:szCs w:val="20"/>
          <w:lang w:val="en-GB"/>
        </w:rPr>
        <w:t xml:space="preserve"> (A), </w:t>
      </w:r>
      <w:r w:rsidR="00A67B91">
        <w:rPr>
          <w:sz w:val="20"/>
          <w:szCs w:val="20"/>
          <w:lang w:val="en-GB"/>
        </w:rPr>
        <w:t>168</w:t>
      </w:r>
      <w:r w:rsidR="00A67B91" w:rsidRPr="00F57CF7">
        <w:rPr>
          <w:sz w:val="20"/>
          <w:szCs w:val="20"/>
          <w:lang w:val="en-GB"/>
        </w:rPr>
        <w:t xml:space="preserve"> (B) and </w:t>
      </w:r>
      <w:r w:rsidR="00A67B91">
        <w:rPr>
          <w:sz w:val="20"/>
          <w:szCs w:val="20"/>
          <w:lang w:val="en-GB"/>
        </w:rPr>
        <w:t>288</w:t>
      </w:r>
      <w:r w:rsidR="00A67B91" w:rsidRPr="00F57CF7">
        <w:rPr>
          <w:sz w:val="20"/>
          <w:szCs w:val="20"/>
          <w:lang w:val="en-GB"/>
        </w:rPr>
        <w:t xml:space="preserve"> (C) </w:t>
      </w:r>
      <w:r w:rsidR="00A67B91">
        <w:rPr>
          <w:sz w:val="20"/>
          <w:szCs w:val="20"/>
          <w:lang w:val="en-GB"/>
        </w:rPr>
        <w:t>days</w:t>
      </w:r>
      <w:r w:rsidR="00A67B91" w:rsidRPr="00F57CF7">
        <w:rPr>
          <w:sz w:val="20"/>
          <w:szCs w:val="20"/>
          <w:lang w:val="en-GB"/>
        </w:rPr>
        <w:t xml:space="preserve"> (mean und standard deviation). </w:t>
      </w:r>
      <w:r w:rsidR="00A67B91">
        <w:rPr>
          <w:sz w:val="20"/>
          <w:szCs w:val="20"/>
          <w:lang w:val="en-GB"/>
        </w:rPr>
        <w:t>Asterisk</w:t>
      </w:r>
      <w:r w:rsidR="00A67B91" w:rsidRPr="00F57CF7">
        <w:rPr>
          <w:sz w:val="20"/>
          <w:szCs w:val="20"/>
          <w:lang w:val="en-GB"/>
        </w:rPr>
        <w:t xml:space="preserve"> shows significant change between</w:t>
      </w:r>
      <w:r w:rsidR="00A67B91">
        <w:rPr>
          <w:sz w:val="20"/>
          <w:szCs w:val="20"/>
          <w:lang w:val="en-GB"/>
        </w:rPr>
        <w:t xml:space="preserve"> </w:t>
      </w:r>
      <w:proofErr w:type="spellStart"/>
      <w:r w:rsidR="00A67B91" w:rsidRPr="00F57CF7">
        <w:rPr>
          <w:sz w:val="20"/>
          <w:szCs w:val="20"/>
          <w:lang w:val="en-GB"/>
        </w:rPr>
        <w:t>Effect</w:t>
      </w:r>
      <w:r w:rsidR="00A67B91" w:rsidRPr="00F57CF7">
        <w:rPr>
          <w:sz w:val="20"/>
          <w:szCs w:val="20"/>
          <w:vertAlign w:val="subscript"/>
          <w:lang w:val="en-GB"/>
        </w:rPr>
        <w:t>novel</w:t>
      </w:r>
      <w:proofErr w:type="spellEnd"/>
      <w:r w:rsidR="00A67B91" w:rsidRPr="00F57CF7">
        <w:rPr>
          <w:sz w:val="20"/>
          <w:szCs w:val="20"/>
          <w:lang w:val="en-GB"/>
        </w:rPr>
        <w:t xml:space="preserve"> </w:t>
      </w:r>
      <w:r w:rsidR="00A67B91">
        <w:rPr>
          <w:sz w:val="20"/>
          <w:szCs w:val="20"/>
          <w:lang w:val="en-GB"/>
        </w:rPr>
        <w:t xml:space="preserve">and </w:t>
      </w:r>
      <w:r w:rsidR="00A67B91" w:rsidRPr="00F57CF7">
        <w:rPr>
          <w:sz w:val="20"/>
          <w:szCs w:val="20"/>
          <w:lang w:val="en-GB"/>
        </w:rPr>
        <w:t xml:space="preserve">the Eco, </w:t>
      </w:r>
      <w:proofErr w:type="spellStart"/>
      <w:r w:rsidR="00A67B91" w:rsidRPr="00F57CF7">
        <w:rPr>
          <w:sz w:val="20"/>
          <w:szCs w:val="20"/>
          <w:lang w:val="en-GB"/>
        </w:rPr>
        <w:t>Evo</w:t>
      </w:r>
      <w:proofErr w:type="spellEnd"/>
      <w:r w:rsidR="00A67B91" w:rsidRPr="00F57CF7">
        <w:rPr>
          <w:sz w:val="20"/>
          <w:szCs w:val="20"/>
          <w:lang w:val="en-GB"/>
        </w:rPr>
        <w:t xml:space="preserve"> and </w:t>
      </w:r>
      <w:proofErr w:type="spellStart"/>
      <w:r w:rsidR="00A67B91" w:rsidRPr="00F57CF7">
        <w:rPr>
          <w:sz w:val="20"/>
          <w:szCs w:val="20"/>
          <w:lang w:val="en-GB"/>
        </w:rPr>
        <w:t>EcoEvo</w:t>
      </w:r>
      <w:proofErr w:type="spellEnd"/>
      <w:r w:rsidR="00A67B91" w:rsidRPr="00F57CF7">
        <w:rPr>
          <w:sz w:val="20"/>
          <w:szCs w:val="20"/>
          <w:lang w:val="en-GB"/>
        </w:rPr>
        <w:t xml:space="preserve"> </w:t>
      </w:r>
      <w:r w:rsidR="00A67B91">
        <w:rPr>
          <w:sz w:val="20"/>
          <w:szCs w:val="20"/>
          <w:lang w:val="en-GB"/>
        </w:rPr>
        <w:t>communities</w:t>
      </w:r>
      <w:r w:rsidR="00A67B91" w:rsidRPr="00F57CF7">
        <w:rPr>
          <w:sz w:val="20"/>
          <w:szCs w:val="20"/>
          <w:lang w:val="en-GB"/>
        </w:rPr>
        <w:t xml:space="preserve"> to the </w:t>
      </w:r>
      <w:proofErr w:type="spellStart"/>
      <w:r w:rsidR="00A67B91" w:rsidRPr="00F57CF7">
        <w:rPr>
          <w:sz w:val="20"/>
          <w:szCs w:val="20"/>
          <w:lang w:val="en-GB"/>
        </w:rPr>
        <w:t>Control</w:t>
      </w:r>
      <w:r w:rsidR="00A67B91" w:rsidRPr="00F57CF7">
        <w:rPr>
          <w:sz w:val="20"/>
          <w:szCs w:val="20"/>
          <w:vertAlign w:val="subscript"/>
          <w:lang w:val="en-GB"/>
        </w:rPr>
        <w:t>ambien</w:t>
      </w:r>
      <w:r w:rsidR="00A67B91">
        <w:rPr>
          <w:sz w:val="20"/>
          <w:szCs w:val="20"/>
          <w:vertAlign w:val="subscript"/>
          <w:lang w:val="en-GB"/>
        </w:rPr>
        <w:t>t</w:t>
      </w:r>
      <w:proofErr w:type="spellEnd"/>
      <w:r w:rsidR="00A67B91" w:rsidRPr="00F57CF7">
        <w:rPr>
          <w:sz w:val="20"/>
          <w:szCs w:val="20"/>
          <w:lang w:val="en-GB"/>
        </w:rPr>
        <w:t xml:space="preserve"> </w:t>
      </w:r>
      <w:r w:rsidR="00A67B91">
        <w:rPr>
          <w:sz w:val="20"/>
          <w:szCs w:val="20"/>
          <w:lang w:val="en-GB"/>
        </w:rPr>
        <w:t>(</w:t>
      </w:r>
      <w:proofErr w:type="spellStart"/>
      <w:r w:rsidR="00A67B91" w:rsidRPr="00F57CF7">
        <w:rPr>
          <w:sz w:val="20"/>
          <w:szCs w:val="20"/>
          <w:lang w:val="en-GB"/>
        </w:rPr>
        <w:t>Anova</w:t>
      </w:r>
      <w:proofErr w:type="spellEnd"/>
      <w:r w:rsidR="00A67B91" w:rsidRPr="00F57CF7">
        <w:rPr>
          <w:sz w:val="20"/>
          <w:szCs w:val="20"/>
          <w:lang w:val="en-GB"/>
        </w:rPr>
        <w:t xml:space="preserve"> </w:t>
      </w:r>
      <w:r w:rsidR="00A67B91">
        <w:rPr>
          <w:sz w:val="20"/>
          <w:szCs w:val="20"/>
          <w:lang w:val="en-GB"/>
        </w:rPr>
        <w:t>with</w:t>
      </w:r>
      <w:r w:rsidR="00A67B91" w:rsidRPr="00F57CF7">
        <w:rPr>
          <w:sz w:val="20"/>
          <w:szCs w:val="20"/>
          <w:lang w:val="en-GB"/>
        </w:rPr>
        <w:t xml:space="preserve"> </w:t>
      </w:r>
      <w:proofErr w:type="spellStart"/>
      <w:r w:rsidR="00A67B91" w:rsidRPr="00F57CF7">
        <w:rPr>
          <w:sz w:val="20"/>
          <w:szCs w:val="20"/>
          <w:lang w:val="en-GB"/>
        </w:rPr>
        <w:t>Control</w:t>
      </w:r>
      <w:r w:rsidR="00A67B91" w:rsidRPr="00F57CF7">
        <w:rPr>
          <w:sz w:val="20"/>
          <w:szCs w:val="20"/>
          <w:vertAlign w:val="subscript"/>
          <w:lang w:val="en-GB"/>
        </w:rPr>
        <w:t>ambient</w:t>
      </w:r>
      <w:proofErr w:type="spellEnd"/>
      <w:r w:rsidR="00A67B91" w:rsidRPr="00F57CF7">
        <w:rPr>
          <w:sz w:val="20"/>
          <w:szCs w:val="20"/>
          <w:lang w:val="en-GB"/>
        </w:rPr>
        <w:t xml:space="preserve"> as intercept</w:t>
      </w:r>
      <w:r w:rsidR="00A67B91">
        <w:rPr>
          <w:sz w:val="20"/>
          <w:szCs w:val="20"/>
          <w:lang w:val="en-GB"/>
        </w:rPr>
        <w:t>)</w:t>
      </w:r>
      <w:r w:rsidR="00A67B91" w:rsidRPr="00F57CF7">
        <w:rPr>
          <w:sz w:val="20"/>
          <w:szCs w:val="20"/>
          <w:lang w:val="en-GB"/>
        </w:rPr>
        <w:t xml:space="preserve">. n=5 until </w:t>
      </w:r>
      <w:r w:rsidR="00A67B91">
        <w:rPr>
          <w:sz w:val="20"/>
          <w:szCs w:val="20"/>
          <w:lang w:val="en-GB"/>
        </w:rPr>
        <w:t>168 days</w:t>
      </w:r>
      <w:r w:rsidR="00A67B91" w:rsidRPr="00F57CF7">
        <w:rPr>
          <w:sz w:val="20"/>
          <w:szCs w:val="20"/>
          <w:lang w:val="en-GB"/>
        </w:rPr>
        <w:t xml:space="preserve"> then n=4.</w:t>
      </w:r>
    </w:p>
    <w:p w14:paraId="27FF7A54" w14:textId="77777777" w:rsidR="00A67B91" w:rsidRDefault="00A67B91" w:rsidP="00BB5607">
      <w:pPr>
        <w:pStyle w:val="NoSpacing"/>
        <w:ind w:left="-284" w:right="-241" w:firstLine="0"/>
        <w:rPr>
          <w:lang w:val="en-GB"/>
        </w:rPr>
      </w:pPr>
    </w:p>
    <w:p w14:paraId="0F04B0F9" w14:textId="77777777" w:rsidR="00A67B91" w:rsidRPr="002D5376" w:rsidRDefault="00A67B91" w:rsidP="00BB5607">
      <w:pPr>
        <w:keepNext/>
        <w:spacing w:after="180"/>
        <w:ind w:left="-284" w:right="-241"/>
        <w:rPr>
          <w:color w:val="000000" w:themeColor="text1"/>
          <w:lang w:val="en-GB"/>
        </w:rPr>
      </w:pPr>
      <w:r w:rsidRPr="002D5376">
        <w:rPr>
          <w:noProof/>
          <w:color w:val="000000" w:themeColor="text1"/>
          <w:lang w:val="en-US"/>
        </w:rPr>
        <w:drawing>
          <wp:inline distT="0" distB="0" distL="0" distR="0" wp14:anchorId="50F47056" wp14:editId="4C866A62">
            <wp:extent cx="5148943" cy="2574471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ährstoffverlauf_BC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074" cy="259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35EB0" w14:textId="68FACC3F" w:rsidR="00A67B91" w:rsidRPr="00884515" w:rsidRDefault="00A67B91" w:rsidP="00884515">
      <w:pPr>
        <w:pStyle w:val="Heading2"/>
        <w:ind w:left="-284" w:right="-241" w:firstLine="0"/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</w:pPr>
      <w:bookmarkStart w:id="2" w:name="_Toc66443618"/>
      <w:r w:rsidRPr="00884515">
        <w:rPr>
          <w:i w:val="0"/>
          <w:iCs/>
          <w:lang w:val="en-IE"/>
        </w:rPr>
        <w:t>Figure S</w:t>
      </w:r>
      <w:r w:rsidR="00884515" w:rsidRPr="00884515">
        <w:rPr>
          <w:i w:val="0"/>
          <w:iCs/>
          <w:lang w:val="en-IE"/>
        </w:rPr>
        <w:t>6</w:t>
      </w:r>
      <w:r w:rsidRPr="00884515">
        <w:rPr>
          <w:rFonts w:eastAsiaTheme="minorEastAsia"/>
          <w:i w:val="0"/>
          <w:iCs/>
          <w:lang w:val="en-IE"/>
        </w:rPr>
        <w:t>:</w:t>
      </w:r>
      <w:bookmarkEnd w:id="2"/>
      <w:r w:rsidRPr="00884515">
        <w:rPr>
          <w:rFonts w:eastAsiaTheme="minorEastAsia"/>
          <w:i w:val="0"/>
          <w:iCs/>
          <w:lang w:val="en-IE"/>
        </w:rPr>
        <w:t xml:space="preserve"> </w:t>
      </w:r>
      <w:proofErr w:type="spellStart"/>
      <w:r w:rsidR="007E0B57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>Examplified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 xml:space="preserve"> nutrient uptake (nitrate N, phosphate P and silicate Si) by a community of </w:t>
      </w:r>
      <w:proofErr w:type="spellStart"/>
      <w:r w:rsidRPr="00884515">
        <w:rPr>
          <w:rFonts w:asciiTheme="minorHAnsi" w:eastAsiaTheme="minorEastAsia" w:hAnsiTheme="minorHAnsi" w:cstheme="minorBidi"/>
          <w:b w:val="0"/>
          <w:bCs w:val="0"/>
          <w:iCs/>
          <w:sz w:val="20"/>
          <w:szCs w:val="20"/>
          <w:lang w:val="en-GB"/>
        </w:rPr>
        <w:t>Chaetoceros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Cs/>
          <w:sz w:val="20"/>
          <w:szCs w:val="20"/>
          <w:lang w:val="en-GB"/>
        </w:rPr>
        <w:t xml:space="preserve"> </w:t>
      </w:r>
      <w:proofErr w:type="spellStart"/>
      <w:r w:rsidRPr="00884515">
        <w:rPr>
          <w:rFonts w:asciiTheme="minorHAnsi" w:eastAsiaTheme="minorEastAsia" w:hAnsiTheme="minorHAnsi" w:cstheme="minorBidi"/>
          <w:b w:val="0"/>
          <w:bCs w:val="0"/>
          <w:iCs/>
          <w:sz w:val="20"/>
          <w:szCs w:val="20"/>
          <w:lang w:val="en-GB"/>
        </w:rPr>
        <w:t>affinis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 xml:space="preserve"> and </w:t>
      </w:r>
      <w:proofErr w:type="spellStart"/>
      <w:r w:rsidRPr="00884515">
        <w:rPr>
          <w:rFonts w:asciiTheme="minorHAnsi" w:eastAsiaTheme="minorEastAsia" w:hAnsiTheme="minorHAnsi" w:cstheme="minorBidi"/>
          <w:b w:val="0"/>
          <w:bCs w:val="0"/>
          <w:iCs/>
          <w:sz w:val="20"/>
          <w:szCs w:val="20"/>
          <w:lang w:val="en-GB"/>
        </w:rPr>
        <w:t>Emiliania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Cs/>
          <w:sz w:val="20"/>
          <w:szCs w:val="20"/>
          <w:lang w:val="en-GB"/>
        </w:rPr>
        <w:t xml:space="preserve"> huxleyi</w:t>
      </w:r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 xml:space="preserve"> (Mix) and single-species cultures of </w:t>
      </w:r>
      <w:r w:rsidRPr="00884515">
        <w:rPr>
          <w:rFonts w:asciiTheme="minorHAnsi" w:eastAsiaTheme="minorEastAsia" w:hAnsiTheme="minorHAnsi" w:cstheme="minorBidi"/>
          <w:b w:val="0"/>
          <w:bCs w:val="0"/>
          <w:iCs/>
          <w:sz w:val="20"/>
          <w:szCs w:val="20"/>
          <w:lang w:val="en-GB"/>
        </w:rPr>
        <w:t>C. affinis</w:t>
      </w:r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 xml:space="preserve"> including all 9 genotypes (Mono). In batch cycle 11 running simultaneously to the Eco-Evo assay, nutrient samples of each 3 replicates were taken at day 4, 5, 6 and 7, sterile filtered, stored in the freezer until analysis with a SAN++ System from </w:t>
      </w:r>
      <w:proofErr w:type="spellStart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>Skalar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 xml:space="preserve">. At the start of each batch nutrients were added to the final concentrations of 19.59 ± 0.65 </w:t>
      </w:r>
      <w:proofErr w:type="spellStart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>μmol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 xml:space="preserve">/L nitrate, 0.97 ± 0.09 </w:t>
      </w:r>
      <w:proofErr w:type="spellStart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>μmol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 xml:space="preserve">/L phosphate and 3.81 ± 0.55 </w:t>
      </w:r>
      <w:proofErr w:type="spellStart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>μmol</w:t>
      </w:r>
      <w:proofErr w:type="spellEnd"/>
      <w:r w:rsidRPr="00884515">
        <w:rPr>
          <w:rFonts w:asciiTheme="minorHAnsi" w:eastAsiaTheme="minorEastAsia" w:hAnsiTheme="minorHAnsi" w:cstheme="minorBidi"/>
          <w:b w:val="0"/>
          <w:bCs w:val="0"/>
          <w:i w:val="0"/>
          <w:sz w:val="20"/>
          <w:szCs w:val="20"/>
          <w:lang w:val="en-GB"/>
        </w:rPr>
        <w:t>/L silicate.</w:t>
      </w:r>
    </w:p>
    <w:p w14:paraId="4192B84E" w14:textId="77777777" w:rsidR="00861396" w:rsidRPr="00B1362B" w:rsidRDefault="00861396" w:rsidP="00BB5607">
      <w:pPr>
        <w:ind w:left="-284" w:right="-241"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0A8C2771" w14:textId="77777777" w:rsidR="005569E5" w:rsidRPr="0055517B" w:rsidRDefault="005569E5" w:rsidP="00BB5607">
      <w:pPr>
        <w:spacing w:line="276" w:lineRule="auto"/>
        <w:ind w:left="-284" w:right="-241" w:firstLine="0"/>
        <w:rPr>
          <w:noProof/>
          <w:lang w:val="en-GB" w:eastAsia="de-DE"/>
        </w:rPr>
      </w:pPr>
    </w:p>
    <w:sectPr w:rsidR="005569E5" w:rsidRPr="0055517B" w:rsidSect="00BB5607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993" w:right="1417" w:bottom="1417" w:left="1417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F713C" w14:textId="77777777" w:rsidR="0044634A" w:rsidRDefault="0044634A" w:rsidP="00393D07">
      <w:pPr>
        <w:spacing w:after="0" w:line="240" w:lineRule="auto"/>
      </w:pPr>
      <w:r>
        <w:separator/>
      </w:r>
    </w:p>
  </w:endnote>
  <w:endnote w:type="continuationSeparator" w:id="0">
    <w:p w14:paraId="52BB42A6" w14:textId="77777777" w:rsidR="0044634A" w:rsidRDefault="0044634A" w:rsidP="003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47B9" w14:textId="77777777" w:rsidR="006B5CFF" w:rsidRPr="00B86EB1" w:rsidRDefault="006B5CFF" w:rsidP="00B86EB1">
    <w:pPr>
      <w:pStyle w:val="Footer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C3EB" w14:textId="77777777" w:rsidR="006B5CFF" w:rsidRPr="00B86EB1" w:rsidRDefault="006B5CFF" w:rsidP="00B86EB1">
    <w:pPr>
      <w:pStyle w:val="Footer"/>
      <w:ind w:firstLine="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E45D" w14:textId="77777777" w:rsidR="0044634A" w:rsidRDefault="0044634A" w:rsidP="00393D07">
      <w:pPr>
        <w:spacing w:after="0" w:line="240" w:lineRule="auto"/>
      </w:pPr>
      <w:r>
        <w:separator/>
      </w:r>
    </w:p>
  </w:footnote>
  <w:footnote w:type="continuationSeparator" w:id="0">
    <w:p w14:paraId="6CDC9269" w14:textId="77777777" w:rsidR="0044634A" w:rsidRDefault="0044634A" w:rsidP="003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DAC1E" w14:textId="77777777" w:rsidR="006B5CFF" w:rsidRDefault="006B5CFF" w:rsidP="00881B13">
    <w:pPr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7B89" w14:textId="77777777" w:rsidR="006B5CFF" w:rsidRDefault="006B5CFF" w:rsidP="006D2F30">
    <w:pPr>
      <w:ind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72"/>
    <w:rsid w:val="000351CF"/>
    <w:rsid w:val="0004026A"/>
    <w:rsid w:val="000459E9"/>
    <w:rsid w:val="00052DC9"/>
    <w:rsid w:val="00063F45"/>
    <w:rsid w:val="000700D9"/>
    <w:rsid w:val="00094FC6"/>
    <w:rsid w:val="000B15A7"/>
    <w:rsid w:val="000B5B2A"/>
    <w:rsid w:val="000B5FDF"/>
    <w:rsid w:val="000D339C"/>
    <w:rsid w:val="00144F9F"/>
    <w:rsid w:val="0016220C"/>
    <w:rsid w:val="00167231"/>
    <w:rsid w:val="001A1DCB"/>
    <w:rsid w:val="001A63D5"/>
    <w:rsid w:val="001C5D6B"/>
    <w:rsid w:val="001D5566"/>
    <w:rsid w:val="002056F2"/>
    <w:rsid w:val="00216DBF"/>
    <w:rsid w:val="00233EB8"/>
    <w:rsid w:val="00234A23"/>
    <w:rsid w:val="00236495"/>
    <w:rsid w:val="00275045"/>
    <w:rsid w:val="002A4C39"/>
    <w:rsid w:val="002C7305"/>
    <w:rsid w:val="002F1036"/>
    <w:rsid w:val="00303EF7"/>
    <w:rsid w:val="003231C0"/>
    <w:rsid w:val="00323828"/>
    <w:rsid w:val="00332242"/>
    <w:rsid w:val="0033771D"/>
    <w:rsid w:val="003431D4"/>
    <w:rsid w:val="0035751E"/>
    <w:rsid w:val="00372818"/>
    <w:rsid w:val="00380B84"/>
    <w:rsid w:val="00393D07"/>
    <w:rsid w:val="003A0F1B"/>
    <w:rsid w:val="003F1CEB"/>
    <w:rsid w:val="004172E5"/>
    <w:rsid w:val="00445748"/>
    <w:rsid w:val="0044634A"/>
    <w:rsid w:val="00464158"/>
    <w:rsid w:val="00473D2E"/>
    <w:rsid w:val="004B094D"/>
    <w:rsid w:val="004E5190"/>
    <w:rsid w:val="00551348"/>
    <w:rsid w:val="00551500"/>
    <w:rsid w:val="0055517B"/>
    <w:rsid w:val="005569E5"/>
    <w:rsid w:val="00566D56"/>
    <w:rsid w:val="00570951"/>
    <w:rsid w:val="0057406E"/>
    <w:rsid w:val="005761C0"/>
    <w:rsid w:val="00594971"/>
    <w:rsid w:val="005A4492"/>
    <w:rsid w:val="005C4213"/>
    <w:rsid w:val="00610003"/>
    <w:rsid w:val="00610510"/>
    <w:rsid w:val="00642103"/>
    <w:rsid w:val="00652592"/>
    <w:rsid w:val="006667AC"/>
    <w:rsid w:val="00670CC0"/>
    <w:rsid w:val="0067589B"/>
    <w:rsid w:val="00681B18"/>
    <w:rsid w:val="00685DC4"/>
    <w:rsid w:val="006A769D"/>
    <w:rsid w:val="006B07CC"/>
    <w:rsid w:val="006B3611"/>
    <w:rsid w:val="006B5CFF"/>
    <w:rsid w:val="006C433D"/>
    <w:rsid w:val="006D2F30"/>
    <w:rsid w:val="006D338B"/>
    <w:rsid w:val="006E0419"/>
    <w:rsid w:val="006F431B"/>
    <w:rsid w:val="006F7A57"/>
    <w:rsid w:val="00711C78"/>
    <w:rsid w:val="00717C6E"/>
    <w:rsid w:val="007416B7"/>
    <w:rsid w:val="00766A22"/>
    <w:rsid w:val="00796C9B"/>
    <w:rsid w:val="007A5999"/>
    <w:rsid w:val="007C618E"/>
    <w:rsid w:val="007E0B57"/>
    <w:rsid w:val="007F421E"/>
    <w:rsid w:val="007F4FBE"/>
    <w:rsid w:val="00805A62"/>
    <w:rsid w:val="00806144"/>
    <w:rsid w:val="0081181D"/>
    <w:rsid w:val="008148F2"/>
    <w:rsid w:val="00857A4D"/>
    <w:rsid w:val="00861396"/>
    <w:rsid w:val="008634A7"/>
    <w:rsid w:val="00881B13"/>
    <w:rsid w:val="00884515"/>
    <w:rsid w:val="008A5B68"/>
    <w:rsid w:val="008C2CEA"/>
    <w:rsid w:val="008C66BD"/>
    <w:rsid w:val="008F0C52"/>
    <w:rsid w:val="00900BAF"/>
    <w:rsid w:val="0091692E"/>
    <w:rsid w:val="00927A3B"/>
    <w:rsid w:val="0094142E"/>
    <w:rsid w:val="009578FA"/>
    <w:rsid w:val="009739F8"/>
    <w:rsid w:val="00974831"/>
    <w:rsid w:val="00985111"/>
    <w:rsid w:val="009A29D9"/>
    <w:rsid w:val="009D3DFC"/>
    <w:rsid w:val="00A02CFF"/>
    <w:rsid w:val="00A04DAE"/>
    <w:rsid w:val="00A05ABD"/>
    <w:rsid w:val="00A06487"/>
    <w:rsid w:val="00A20931"/>
    <w:rsid w:val="00A20A6D"/>
    <w:rsid w:val="00A22BCB"/>
    <w:rsid w:val="00A67B91"/>
    <w:rsid w:val="00A80F17"/>
    <w:rsid w:val="00AA036F"/>
    <w:rsid w:val="00AA204A"/>
    <w:rsid w:val="00AA6058"/>
    <w:rsid w:val="00AE673E"/>
    <w:rsid w:val="00AE7614"/>
    <w:rsid w:val="00B008BE"/>
    <w:rsid w:val="00B1362B"/>
    <w:rsid w:val="00B33133"/>
    <w:rsid w:val="00B367B7"/>
    <w:rsid w:val="00B8638E"/>
    <w:rsid w:val="00B86EB1"/>
    <w:rsid w:val="00B97DD2"/>
    <w:rsid w:val="00BA3295"/>
    <w:rsid w:val="00BB5607"/>
    <w:rsid w:val="00BD42C8"/>
    <w:rsid w:val="00C06363"/>
    <w:rsid w:val="00C12890"/>
    <w:rsid w:val="00C416F9"/>
    <w:rsid w:val="00C44EF4"/>
    <w:rsid w:val="00C45B1C"/>
    <w:rsid w:val="00C46FA2"/>
    <w:rsid w:val="00C93DA1"/>
    <w:rsid w:val="00C97780"/>
    <w:rsid w:val="00CA11E3"/>
    <w:rsid w:val="00CB1290"/>
    <w:rsid w:val="00CD29AF"/>
    <w:rsid w:val="00CD5F07"/>
    <w:rsid w:val="00CE0151"/>
    <w:rsid w:val="00CE7037"/>
    <w:rsid w:val="00CF15A3"/>
    <w:rsid w:val="00CF61D4"/>
    <w:rsid w:val="00D53E54"/>
    <w:rsid w:val="00D61AC2"/>
    <w:rsid w:val="00D821C6"/>
    <w:rsid w:val="00DC354E"/>
    <w:rsid w:val="00DC462A"/>
    <w:rsid w:val="00DC6EE3"/>
    <w:rsid w:val="00DE6741"/>
    <w:rsid w:val="00E02B25"/>
    <w:rsid w:val="00E21A14"/>
    <w:rsid w:val="00E23B84"/>
    <w:rsid w:val="00E301CC"/>
    <w:rsid w:val="00E31A2B"/>
    <w:rsid w:val="00E6587B"/>
    <w:rsid w:val="00E7345C"/>
    <w:rsid w:val="00E73E12"/>
    <w:rsid w:val="00E841FA"/>
    <w:rsid w:val="00E94310"/>
    <w:rsid w:val="00E969B7"/>
    <w:rsid w:val="00EA13A5"/>
    <w:rsid w:val="00EA5212"/>
    <w:rsid w:val="00EE026D"/>
    <w:rsid w:val="00EF61DE"/>
    <w:rsid w:val="00F000C3"/>
    <w:rsid w:val="00F12569"/>
    <w:rsid w:val="00F16672"/>
    <w:rsid w:val="00F2051B"/>
    <w:rsid w:val="00F26C52"/>
    <w:rsid w:val="00F344A3"/>
    <w:rsid w:val="00F4555F"/>
    <w:rsid w:val="00F474D1"/>
    <w:rsid w:val="00F57CF7"/>
    <w:rsid w:val="00FB216A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B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72"/>
    <w:pPr>
      <w:spacing w:line="300" w:lineRule="auto"/>
      <w:ind w:firstLine="709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5F"/>
    <w:pPr>
      <w:spacing w:before="480" w:after="0"/>
      <w:ind w:firstLine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1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6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6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6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6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6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6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6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6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455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1DE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67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6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6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6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6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6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6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66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67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66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16672"/>
    <w:rPr>
      <w:b/>
      <w:bCs/>
    </w:rPr>
  </w:style>
  <w:style w:type="character" w:styleId="Emphasis">
    <w:name w:val="Emphasis"/>
    <w:uiPriority w:val="20"/>
    <w:qFormat/>
    <w:rsid w:val="00F166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166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66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67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66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67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672"/>
    <w:rPr>
      <w:b/>
      <w:bCs/>
      <w:i/>
      <w:iCs/>
    </w:rPr>
  </w:style>
  <w:style w:type="character" w:styleId="SubtleEmphasis">
    <w:name w:val="Subtle Emphasis"/>
    <w:uiPriority w:val="19"/>
    <w:qFormat/>
    <w:rsid w:val="00F16672"/>
    <w:rPr>
      <w:i/>
      <w:iCs/>
    </w:rPr>
  </w:style>
  <w:style w:type="character" w:styleId="IntenseEmphasis">
    <w:name w:val="Intense Emphasis"/>
    <w:uiPriority w:val="21"/>
    <w:qFormat/>
    <w:rsid w:val="00F16672"/>
    <w:rPr>
      <w:b/>
      <w:bCs/>
    </w:rPr>
  </w:style>
  <w:style w:type="character" w:styleId="SubtleReference">
    <w:name w:val="Subtle Reference"/>
    <w:uiPriority w:val="31"/>
    <w:qFormat/>
    <w:rsid w:val="00F16672"/>
    <w:rPr>
      <w:smallCaps/>
    </w:rPr>
  </w:style>
  <w:style w:type="character" w:styleId="IntenseReference">
    <w:name w:val="Intense Reference"/>
    <w:uiPriority w:val="32"/>
    <w:qFormat/>
    <w:rsid w:val="00F16672"/>
    <w:rPr>
      <w:smallCaps/>
      <w:spacing w:val="5"/>
      <w:u w:val="single"/>
    </w:rPr>
  </w:style>
  <w:style w:type="character" w:styleId="BookTitle">
    <w:name w:val="Book Title"/>
    <w:uiPriority w:val="33"/>
    <w:qFormat/>
    <w:rsid w:val="00F1667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67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0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C063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A4D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003"/>
    <w:pPr>
      <w:spacing w:line="240" w:lineRule="auto"/>
      <w:ind w:firstLine="0"/>
      <w:jc w:val="left"/>
    </w:pPr>
    <w:rPr>
      <w:rFonts w:eastAsia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003"/>
    <w:rPr>
      <w:rFonts w:eastAsiaTheme="minorHAns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07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10"/>
    <w:pPr>
      <w:ind w:firstLine="709"/>
      <w:jc w:val="both"/>
    </w:pPr>
    <w:rPr>
      <w:rFonts w:eastAsiaTheme="minorEastAsia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10"/>
    <w:rPr>
      <w:rFonts w:eastAsiaTheme="minorHAnsi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72"/>
    <w:pPr>
      <w:spacing w:line="300" w:lineRule="auto"/>
      <w:ind w:firstLine="709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5F"/>
    <w:pPr>
      <w:spacing w:before="480" w:after="0"/>
      <w:ind w:firstLine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1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6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6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6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6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6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6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6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6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455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1DE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67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6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6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6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6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6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6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66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67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66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16672"/>
    <w:rPr>
      <w:b/>
      <w:bCs/>
    </w:rPr>
  </w:style>
  <w:style w:type="character" w:styleId="Emphasis">
    <w:name w:val="Emphasis"/>
    <w:uiPriority w:val="20"/>
    <w:qFormat/>
    <w:rsid w:val="00F166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166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66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67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66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67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672"/>
    <w:rPr>
      <w:b/>
      <w:bCs/>
      <w:i/>
      <w:iCs/>
    </w:rPr>
  </w:style>
  <w:style w:type="character" w:styleId="SubtleEmphasis">
    <w:name w:val="Subtle Emphasis"/>
    <w:uiPriority w:val="19"/>
    <w:qFormat/>
    <w:rsid w:val="00F16672"/>
    <w:rPr>
      <w:i/>
      <w:iCs/>
    </w:rPr>
  </w:style>
  <w:style w:type="character" w:styleId="IntenseEmphasis">
    <w:name w:val="Intense Emphasis"/>
    <w:uiPriority w:val="21"/>
    <w:qFormat/>
    <w:rsid w:val="00F16672"/>
    <w:rPr>
      <w:b/>
      <w:bCs/>
    </w:rPr>
  </w:style>
  <w:style w:type="character" w:styleId="SubtleReference">
    <w:name w:val="Subtle Reference"/>
    <w:uiPriority w:val="31"/>
    <w:qFormat/>
    <w:rsid w:val="00F16672"/>
    <w:rPr>
      <w:smallCaps/>
    </w:rPr>
  </w:style>
  <w:style w:type="character" w:styleId="IntenseReference">
    <w:name w:val="Intense Reference"/>
    <w:uiPriority w:val="32"/>
    <w:qFormat/>
    <w:rsid w:val="00F16672"/>
    <w:rPr>
      <w:smallCaps/>
      <w:spacing w:val="5"/>
      <w:u w:val="single"/>
    </w:rPr>
  </w:style>
  <w:style w:type="character" w:styleId="BookTitle">
    <w:name w:val="Book Title"/>
    <w:uiPriority w:val="33"/>
    <w:qFormat/>
    <w:rsid w:val="00F1667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67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0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C063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A4D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003"/>
    <w:pPr>
      <w:spacing w:line="240" w:lineRule="auto"/>
      <w:ind w:firstLine="0"/>
      <w:jc w:val="left"/>
    </w:pPr>
    <w:rPr>
      <w:rFonts w:eastAsia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003"/>
    <w:rPr>
      <w:rFonts w:eastAsiaTheme="minorHAns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07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10"/>
    <w:pPr>
      <w:ind w:firstLine="709"/>
      <w:jc w:val="both"/>
    </w:pPr>
    <w:rPr>
      <w:rFonts w:eastAsiaTheme="minorEastAsia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10"/>
    <w:rPr>
      <w:rFonts w:eastAsia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351D-B0F4-4831-AC24-E13718BA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Hattich, Giannina</dc:creator>
  <cp:lastModifiedBy>K, Krishnamoorthy</cp:lastModifiedBy>
  <cp:revision>3</cp:revision>
  <dcterms:created xsi:type="dcterms:W3CDTF">2022-08-15T12:54:00Z</dcterms:created>
  <dcterms:modified xsi:type="dcterms:W3CDTF">2022-11-21T16:42:00Z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http://www.zotero.org/styles/marine-pollution-bulletin</vt:lpwstr>
  </property>
  <property fmtid="{D5CDD505-2E9C-101B-9397-08002B2CF9AE}" pid="17" name="Mendeley Recent Style Name 7_1">
    <vt:lpwstr>Marine Pollution Bulletin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db737a21-fd25-39cc-b09e-de40a4176ec5</vt:lpwstr>
  </property>
  <property fmtid="{D5CDD505-2E9C-101B-9397-08002B2CF9AE}" pid="24" name="Mendeley Citation Style_1">
    <vt:lpwstr>http://www.zotero.org/styles/marine-pollution-bulletin</vt:lpwstr>
  </property>
</Properties>
</file>