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E13F" w14:textId="77777777" w:rsidR="009B591A" w:rsidRDefault="009B591A" w:rsidP="009B591A">
      <w:pPr>
        <w:spacing w:line="240" w:lineRule="auto"/>
        <w:jc w:val="both"/>
        <w:rPr>
          <w:rFonts w:ascii="Cambria" w:hAnsi="Cambria"/>
          <w:bCs/>
        </w:rPr>
      </w:pPr>
      <w:r>
        <w:rPr>
          <w:rFonts w:ascii="Cambria" w:hAnsi="Cambria" w:cs="Times New Roman"/>
          <w:b/>
          <w:bCs/>
        </w:rPr>
        <w:t xml:space="preserve">Extended Data </w:t>
      </w:r>
      <w:r>
        <w:rPr>
          <w:rFonts w:ascii="Cambria" w:hAnsi="Cambria"/>
          <w:b/>
        </w:rPr>
        <w:t xml:space="preserve">Table 1 </w:t>
      </w:r>
      <w:r>
        <w:rPr>
          <w:rFonts w:ascii="Cambria" w:hAnsi="Cambria"/>
          <w:b/>
          <w:bCs/>
        </w:rPr>
        <w:t>|</w:t>
      </w:r>
      <w:r>
        <w:rPr>
          <w:rFonts w:ascii="Cambria" w:hAnsi="Cambria"/>
          <w:bCs/>
        </w:rPr>
        <w:t xml:space="preserve"> b-values for OBS catalogue for different magnitude cut-off values, as derived by maximum likelihood estimation (MLE</w:t>
      </w:r>
      <w:r>
        <w:rPr>
          <w:rFonts w:ascii="Cambria" w:hAnsi="Cambria"/>
          <w:bCs/>
          <w:vertAlign w:val="superscript"/>
        </w:rPr>
        <w:t>50</w:t>
      </w:r>
      <w:r>
        <w:rPr>
          <w:rFonts w:ascii="Cambria" w:hAnsi="Cambria"/>
          <w:bCs/>
        </w:rPr>
        <w:t>) and the repeated median approach (RM</w:t>
      </w:r>
      <w:r>
        <w:rPr>
          <w:rFonts w:ascii="Cambria" w:hAnsi="Cambria"/>
          <w:bCs/>
          <w:vertAlign w:val="superscript"/>
        </w:rPr>
        <w:t>51</w:t>
      </w:r>
      <w:r>
        <w:rPr>
          <w:rFonts w:ascii="Cambria" w:hAnsi="Cambria"/>
          <w:bCs/>
        </w:rPr>
        <w:t xml:space="preserve">), with their standard errors. </w:t>
      </w:r>
    </w:p>
    <w:tbl>
      <w:tblPr>
        <w:tblStyle w:val="TableGrid"/>
        <w:tblW w:w="9945" w:type="dxa"/>
        <w:tblInd w:w="-147" w:type="dxa"/>
        <w:tblLayout w:type="fixed"/>
        <w:tblLook w:val="04A0" w:firstRow="1" w:lastRow="0" w:firstColumn="1" w:lastColumn="0" w:noHBand="0" w:noVBand="1"/>
      </w:tblPr>
      <w:tblGrid>
        <w:gridCol w:w="708"/>
        <w:gridCol w:w="1133"/>
        <w:gridCol w:w="1211"/>
        <w:gridCol w:w="1223"/>
        <w:gridCol w:w="1134"/>
        <w:gridCol w:w="1134"/>
        <w:gridCol w:w="1134"/>
        <w:gridCol w:w="1134"/>
        <w:gridCol w:w="1134"/>
      </w:tblGrid>
      <w:tr w:rsidR="009B591A" w14:paraId="4BB1CF13" w14:textId="77777777" w:rsidTr="009B591A">
        <w:tc>
          <w:tcPr>
            <w:tcW w:w="709" w:type="dxa"/>
            <w:tcBorders>
              <w:top w:val="single" w:sz="4" w:space="0" w:color="auto"/>
              <w:left w:val="single" w:sz="4" w:space="0" w:color="auto"/>
              <w:bottom w:val="single" w:sz="4" w:space="0" w:color="auto"/>
              <w:right w:val="single" w:sz="4" w:space="0" w:color="auto"/>
            </w:tcBorders>
          </w:tcPr>
          <w:p w14:paraId="05C0E111" w14:textId="77777777" w:rsidR="009B591A" w:rsidRDefault="009B591A">
            <w:pPr>
              <w:rPr>
                <w:rFonts w:ascii="Cambria" w:hAnsi="Cambria"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386FEF9" w14:textId="77777777" w:rsidR="009B591A" w:rsidRDefault="009B591A">
            <w:pPr>
              <w:rPr>
                <w:rFonts w:ascii="Cambria" w:hAnsi="Cambria" w:cs="Times New Roman"/>
                <w:sz w:val="20"/>
                <w:szCs w:val="20"/>
              </w:rPr>
            </w:pPr>
            <w:r>
              <w:rPr>
                <w:rFonts w:ascii="Cambria" w:hAnsi="Cambria" w:cs="Times New Roman"/>
                <w:sz w:val="20"/>
                <w:szCs w:val="20"/>
              </w:rPr>
              <w:t>Mc=2.0</w:t>
            </w:r>
          </w:p>
        </w:tc>
        <w:tc>
          <w:tcPr>
            <w:tcW w:w="1211" w:type="dxa"/>
            <w:tcBorders>
              <w:top w:val="single" w:sz="4" w:space="0" w:color="auto"/>
              <w:left w:val="single" w:sz="4" w:space="0" w:color="auto"/>
              <w:bottom w:val="single" w:sz="4" w:space="0" w:color="auto"/>
              <w:right w:val="single" w:sz="4" w:space="0" w:color="auto"/>
            </w:tcBorders>
            <w:hideMark/>
          </w:tcPr>
          <w:p w14:paraId="7CF08054" w14:textId="77777777" w:rsidR="009B591A" w:rsidRDefault="009B591A">
            <w:pPr>
              <w:rPr>
                <w:rFonts w:ascii="Cambria" w:hAnsi="Cambria" w:cs="Times New Roman"/>
                <w:sz w:val="20"/>
                <w:szCs w:val="20"/>
              </w:rPr>
            </w:pPr>
            <w:r>
              <w:rPr>
                <w:rFonts w:ascii="Cambria" w:hAnsi="Cambria" w:cs="Times New Roman"/>
                <w:sz w:val="20"/>
                <w:szCs w:val="20"/>
              </w:rPr>
              <w:t>Mc=2.1</w:t>
            </w:r>
          </w:p>
        </w:tc>
        <w:tc>
          <w:tcPr>
            <w:tcW w:w="1223" w:type="dxa"/>
            <w:tcBorders>
              <w:top w:val="single" w:sz="4" w:space="0" w:color="auto"/>
              <w:left w:val="single" w:sz="4" w:space="0" w:color="auto"/>
              <w:bottom w:val="single" w:sz="4" w:space="0" w:color="auto"/>
              <w:right w:val="single" w:sz="4" w:space="0" w:color="auto"/>
            </w:tcBorders>
            <w:hideMark/>
          </w:tcPr>
          <w:p w14:paraId="3178099B" w14:textId="77777777" w:rsidR="009B591A" w:rsidRDefault="009B591A">
            <w:pPr>
              <w:rPr>
                <w:rFonts w:ascii="Cambria" w:hAnsi="Cambria" w:cs="Times New Roman"/>
                <w:sz w:val="20"/>
                <w:szCs w:val="20"/>
              </w:rPr>
            </w:pPr>
            <w:r>
              <w:rPr>
                <w:rFonts w:ascii="Cambria" w:hAnsi="Cambria" w:cs="Times New Roman"/>
                <w:sz w:val="20"/>
                <w:szCs w:val="20"/>
              </w:rPr>
              <w:t>Mc=2.2</w:t>
            </w:r>
          </w:p>
        </w:tc>
        <w:tc>
          <w:tcPr>
            <w:tcW w:w="1134" w:type="dxa"/>
            <w:tcBorders>
              <w:top w:val="single" w:sz="4" w:space="0" w:color="auto"/>
              <w:left w:val="single" w:sz="4" w:space="0" w:color="auto"/>
              <w:bottom w:val="single" w:sz="4" w:space="0" w:color="auto"/>
              <w:right w:val="single" w:sz="4" w:space="0" w:color="auto"/>
            </w:tcBorders>
            <w:hideMark/>
          </w:tcPr>
          <w:p w14:paraId="65155925" w14:textId="77777777" w:rsidR="009B591A" w:rsidRDefault="009B591A">
            <w:pPr>
              <w:rPr>
                <w:rFonts w:ascii="Cambria" w:hAnsi="Cambria" w:cs="Times New Roman"/>
                <w:sz w:val="20"/>
                <w:szCs w:val="20"/>
              </w:rPr>
            </w:pPr>
            <w:r>
              <w:rPr>
                <w:rFonts w:ascii="Cambria" w:hAnsi="Cambria" w:cs="Times New Roman"/>
                <w:sz w:val="20"/>
                <w:szCs w:val="20"/>
              </w:rPr>
              <w:t>Mc=2.3</w:t>
            </w:r>
          </w:p>
        </w:tc>
        <w:tc>
          <w:tcPr>
            <w:tcW w:w="1134" w:type="dxa"/>
            <w:tcBorders>
              <w:top w:val="single" w:sz="4" w:space="0" w:color="auto"/>
              <w:left w:val="single" w:sz="4" w:space="0" w:color="auto"/>
              <w:bottom w:val="single" w:sz="4" w:space="0" w:color="auto"/>
              <w:right w:val="single" w:sz="4" w:space="0" w:color="auto"/>
            </w:tcBorders>
            <w:hideMark/>
          </w:tcPr>
          <w:p w14:paraId="7F09D879" w14:textId="77777777" w:rsidR="009B591A" w:rsidRDefault="009B591A">
            <w:pPr>
              <w:rPr>
                <w:rFonts w:ascii="Cambria" w:hAnsi="Cambria" w:cs="Times New Roman"/>
                <w:sz w:val="20"/>
                <w:szCs w:val="20"/>
              </w:rPr>
            </w:pPr>
            <w:r>
              <w:rPr>
                <w:rFonts w:ascii="Cambria" w:hAnsi="Cambria" w:cs="Times New Roman"/>
                <w:sz w:val="20"/>
                <w:szCs w:val="20"/>
              </w:rPr>
              <w:t>Mc=2.4</w:t>
            </w:r>
          </w:p>
        </w:tc>
        <w:tc>
          <w:tcPr>
            <w:tcW w:w="1134" w:type="dxa"/>
            <w:tcBorders>
              <w:top w:val="single" w:sz="4" w:space="0" w:color="auto"/>
              <w:left w:val="single" w:sz="4" w:space="0" w:color="auto"/>
              <w:bottom w:val="single" w:sz="4" w:space="0" w:color="auto"/>
              <w:right w:val="single" w:sz="4" w:space="0" w:color="auto"/>
            </w:tcBorders>
            <w:hideMark/>
          </w:tcPr>
          <w:p w14:paraId="37C299B6" w14:textId="77777777" w:rsidR="009B591A" w:rsidRDefault="009B591A">
            <w:pPr>
              <w:rPr>
                <w:rFonts w:ascii="Cambria" w:hAnsi="Cambria" w:cs="Times New Roman"/>
                <w:sz w:val="20"/>
                <w:szCs w:val="20"/>
              </w:rPr>
            </w:pPr>
            <w:r>
              <w:rPr>
                <w:rFonts w:ascii="Cambria" w:hAnsi="Cambria" w:cs="Times New Roman"/>
                <w:sz w:val="20"/>
                <w:szCs w:val="20"/>
              </w:rPr>
              <w:t>Mc=2.5</w:t>
            </w:r>
          </w:p>
        </w:tc>
        <w:tc>
          <w:tcPr>
            <w:tcW w:w="1134" w:type="dxa"/>
            <w:tcBorders>
              <w:top w:val="single" w:sz="4" w:space="0" w:color="auto"/>
              <w:left w:val="single" w:sz="4" w:space="0" w:color="auto"/>
              <w:bottom w:val="single" w:sz="4" w:space="0" w:color="auto"/>
              <w:right w:val="single" w:sz="4" w:space="0" w:color="auto"/>
            </w:tcBorders>
            <w:hideMark/>
          </w:tcPr>
          <w:p w14:paraId="3F8FA96B" w14:textId="77777777" w:rsidR="009B591A" w:rsidRDefault="009B591A">
            <w:pPr>
              <w:rPr>
                <w:rFonts w:ascii="Cambria" w:hAnsi="Cambria" w:cs="Times New Roman"/>
                <w:sz w:val="20"/>
                <w:szCs w:val="20"/>
              </w:rPr>
            </w:pPr>
            <w:r>
              <w:rPr>
                <w:rFonts w:ascii="Cambria" w:hAnsi="Cambria" w:cs="Times New Roman"/>
                <w:sz w:val="20"/>
                <w:szCs w:val="20"/>
              </w:rPr>
              <w:t>Mc=2.6</w:t>
            </w:r>
          </w:p>
        </w:tc>
        <w:tc>
          <w:tcPr>
            <w:tcW w:w="1134" w:type="dxa"/>
            <w:tcBorders>
              <w:top w:val="single" w:sz="4" w:space="0" w:color="auto"/>
              <w:left w:val="single" w:sz="4" w:space="0" w:color="auto"/>
              <w:bottom w:val="single" w:sz="4" w:space="0" w:color="auto"/>
              <w:right w:val="single" w:sz="4" w:space="0" w:color="auto"/>
            </w:tcBorders>
            <w:hideMark/>
          </w:tcPr>
          <w:p w14:paraId="05634099" w14:textId="77777777" w:rsidR="009B591A" w:rsidRDefault="009B591A">
            <w:pPr>
              <w:rPr>
                <w:rFonts w:ascii="Cambria" w:hAnsi="Cambria" w:cs="Times New Roman"/>
                <w:sz w:val="20"/>
                <w:szCs w:val="20"/>
              </w:rPr>
            </w:pPr>
            <w:r>
              <w:rPr>
                <w:rFonts w:ascii="Cambria" w:hAnsi="Cambria" w:cs="Times New Roman"/>
                <w:sz w:val="20"/>
                <w:szCs w:val="20"/>
              </w:rPr>
              <w:t>Mc=2.7</w:t>
            </w:r>
          </w:p>
        </w:tc>
      </w:tr>
      <w:tr w:rsidR="009B591A" w14:paraId="2122D298" w14:textId="77777777" w:rsidTr="009B591A">
        <w:tc>
          <w:tcPr>
            <w:tcW w:w="709" w:type="dxa"/>
            <w:tcBorders>
              <w:top w:val="single" w:sz="4" w:space="0" w:color="auto"/>
              <w:left w:val="single" w:sz="4" w:space="0" w:color="auto"/>
              <w:bottom w:val="single" w:sz="4" w:space="0" w:color="auto"/>
              <w:right w:val="single" w:sz="4" w:space="0" w:color="auto"/>
            </w:tcBorders>
            <w:hideMark/>
          </w:tcPr>
          <w:p w14:paraId="7F61ED28" w14:textId="77777777" w:rsidR="009B591A" w:rsidRDefault="009B591A">
            <w:pPr>
              <w:rPr>
                <w:rFonts w:ascii="Cambria" w:hAnsi="Cambria" w:cs="Times New Roman"/>
                <w:sz w:val="20"/>
                <w:szCs w:val="20"/>
              </w:rPr>
            </w:pPr>
            <w:r>
              <w:rPr>
                <w:rFonts w:ascii="Cambria" w:hAnsi="Cambria" w:cs="Times New Roman"/>
                <w:sz w:val="20"/>
                <w:szCs w:val="20"/>
              </w:rPr>
              <w:t>MLE</w:t>
            </w:r>
          </w:p>
        </w:tc>
        <w:tc>
          <w:tcPr>
            <w:tcW w:w="1134" w:type="dxa"/>
            <w:tcBorders>
              <w:top w:val="single" w:sz="4" w:space="0" w:color="auto"/>
              <w:left w:val="single" w:sz="4" w:space="0" w:color="auto"/>
              <w:bottom w:val="single" w:sz="4" w:space="0" w:color="auto"/>
              <w:right w:val="single" w:sz="4" w:space="0" w:color="auto"/>
            </w:tcBorders>
            <w:hideMark/>
          </w:tcPr>
          <w:p w14:paraId="6AD40EE4" w14:textId="77777777" w:rsidR="009B591A" w:rsidRDefault="009B591A">
            <w:pPr>
              <w:rPr>
                <w:rFonts w:ascii="Cambria" w:hAnsi="Cambria" w:cs="Times New Roman"/>
                <w:sz w:val="20"/>
                <w:szCs w:val="20"/>
              </w:rPr>
            </w:pPr>
            <w:r>
              <w:rPr>
                <w:rFonts w:ascii="Cambria" w:hAnsi="Cambria" w:cs="Times New Roman"/>
                <w:b/>
                <w:bCs/>
                <w:sz w:val="20"/>
                <w:szCs w:val="20"/>
              </w:rPr>
              <w:t>0.65</w:t>
            </w:r>
            <w:r>
              <w:rPr>
                <w:rFonts w:ascii="Cambria" w:hAnsi="Cambria" w:cs="Times New Roman"/>
                <w:sz w:val="20"/>
                <w:szCs w:val="20"/>
              </w:rPr>
              <w:t>±0.03</w:t>
            </w:r>
          </w:p>
        </w:tc>
        <w:tc>
          <w:tcPr>
            <w:tcW w:w="1211" w:type="dxa"/>
            <w:tcBorders>
              <w:top w:val="single" w:sz="4" w:space="0" w:color="auto"/>
              <w:left w:val="single" w:sz="4" w:space="0" w:color="auto"/>
              <w:bottom w:val="single" w:sz="4" w:space="0" w:color="auto"/>
              <w:right w:val="single" w:sz="4" w:space="0" w:color="auto"/>
            </w:tcBorders>
            <w:hideMark/>
          </w:tcPr>
          <w:p w14:paraId="644C284D" w14:textId="77777777" w:rsidR="009B591A" w:rsidRDefault="009B591A">
            <w:pPr>
              <w:rPr>
                <w:rFonts w:ascii="Cambria" w:hAnsi="Cambria" w:cs="Times New Roman"/>
                <w:sz w:val="20"/>
                <w:szCs w:val="20"/>
              </w:rPr>
            </w:pPr>
            <w:r>
              <w:rPr>
                <w:rFonts w:ascii="Cambria" w:hAnsi="Cambria" w:cs="Times New Roman"/>
                <w:b/>
                <w:bCs/>
                <w:sz w:val="20"/>
                <w:szCs w:val="20"/>
              </w:rPr>
              <w:t>0.70</w:t>
            </w:r>
            <w:r>
              <w:rPr>
                <w:rFonts w:ascii="Cambria" w:hAnsi="Cambria" w:cs="Times New Roman"/>
                <w:sz w:val="20"/>
                <w:szCs w:val="20"/>
              </w:rPr>
              <w:t>±0.03</w:t>
            </w:r>
          </w:p>
        </w:tc>
        <w:tc>
          <w:tcPr>
            <w:tcW w:w="1223" w:type="dxa"/>
            <w:tcBorders>
              <w:top w:val="single" w:sz="4" w:space="0" w:color="auto"/>
              <w:left w:val="single" w:sz="4" w:space="0" w:color="auto"/>
              <w:bottom w:val="single" w:sz="4" w:space="0" w:color="auto"/>
              <w:right w:val="single" w:sz="4" w:space="0" w:color="auto"/>
            </w:tcBorders>
            <w:hideMark/>
          </w:tcPr>
          <w:p w14:paraId="58B30C54" w14:textId="77777777" w:rsidR="009B591A" w:rsidRDefault="009B591A">
            <w:pPr>
              <w:rPr>
                <w:rFonts w:ascii="Cambria" w:hAnsi="Cambria" w:cs="Times New Roman"/>
                <w:sz w:val="20"/>
                <w:szCs w:val="20"/>
              </w:rPr>
            </w:pPr>
            <w:r>
              <w:rPr>
                <w:rFonts w:ascii="Cambria" w:hAnsi="Cambria" w:cs="Times New Roman"/>
                <w:b/>
                <w:bCs/>
                <w:sz w:val="20"/>
                <w:szCs w:val="20"/>
              </w:rPr>
              <w:t>0.72</w:t>
            </w:r>
            <w:r>
              <w:rPr>
                <w:rFonts w:ascii="Cambria" w:hAnsi="Cambria" w:cs="Times New Roman"/>
                <w:sz w:val="20"/>
                <w:szCs w:val="20"/>
              </w:rPr>
              <w:t>±0.04</w:t>
            </w:r>
          </w:p>
        </w:tc>
        <w:tc>
          <w:tcPr>
            <w:tcW w:w="1134" w:type="dxa"/>
            <w:tcBorders>
              <w:top w:val="single" w:sz="4" w:space="0" w:color="auto"/>
              <w:left w:val="single" w:sz="4" w:space="0" w:color="auto"/>
              <w:bottom w:val="single" w:sz="4" w:space="0" w:color="auto"/>
              <w:right w:val="single" w:sz="4" w:space="0" w:color="auto"/>
            </w:tcBorders>
            <w:hideMark/>
          </w:tcPr>
          <w:p w14:paraId="67ECE41B" w14:textId="77777777" w:rsidR="009B591A" w:rsidRDefault="009B591A">
            <w:pPr>
              <w:rPr>
                <w:rFonts w:ascii="Cambria" w:hAnsi="Cambria" w:cs="Times New Roman"/>
                <w:sz w:val="20"/>
                <w:szCs w:val="20"/>
              </w:rPr>
            </w:pPr>
            <w:r>
              <w:rPr>
                <w:rFonts w:ascii="Cambria" w:hAnsi="Cambria" w:cs="Times New Roman"/>
                <w:b/>
                <w:bCs/>
                <w:sz w:val="20"/>
                <w:szCs w:val="20"/>
              </w:rPr>
              <w:t>0.76</w:t>
            </w:r>
            <w:r>
              <w:rPr>
                <w:rFonts w:ascii="Cambria" w:hAnsi="Cambria" w:cs="Times New Roman"/>
                <w:sz w:val="20"/>
                <w:szCs w:val="20"/>
              </w:rPr>
              <w:t>±0.04</w:t>
            </w:r>
          </w:p>
        </w:tc>
        <w:tc>
          <w:tcPr>
            <w:tcW w:w="1134" w:type="dxa"/>
            <w:tcBorders>
              <w:top w:val="single" w:sz="4" w:space="0" w:color="auto"/>
              <w:left w:val="single" w:sz="4" w:space="0" w:color="auto"/>
              <w:bottom w:val="single" w:sz="4" w:space="0" w:color="auto"/>
              <w:right w:val="single" w:sz="4" w:space="0" w:color="auto"/>
            </w:tcBorders>
            <w:hideMark/>
          </w:tcPr>
          <w:p w14:paraId="05F7C7BD" w14:textId="77777777" w:rsidR="009B591A" w:rsidRDefault="009B591A">
            <w:pPr>
              <w:rPr>
                <w:rFonts w:ascii="Cambria" w:hAnsi="Cambria" w:cs="Times New Roman"/>
                <w:sz w:val="20"/>
                <w:szCs w:val="20"/>
              </w:rPr>
            </w:pPr>
            <w:r>
              <w:rPr>
                <w:rFonts w:ascii="Cambria" w:hAnsi="Cambria" w:cs="Times New Roman"/>
                <w:b/>
                <w:bCs/>
                <w:sz w:val="20"/>
                <w:szCs w:val="20"/>
              </w:rPr>
              <w:t>0.78</w:t>
            </w:r>
            <w:r>
              <w:rPr>
                <w:rFonts w:ascii="Cambria" w:hAnsi="Cambria" w:cs="Times New Roman"/>
                <w:sz w:val="20"/>
                <w:szCs w:val="20"/>
              </w:rPr>
              <w:t>±0.04</w:t>
            </w:r>
          </w:p>
        </w:tc>
        <w:tc>
          <w:tcPr>
            <w:tcW w:w="1134" w:type="dxa"/>
            <w:tcBorders>
              <w:top w:val="single" w:sz="4" w:space="0" w:color="auto"/>
              <w:left w:val="single" w:sz="4" w:space="0" w:color="auto"/>
              <w:bottom w:val="single" w:sz="4" w:space="0" w:color="auto"/>
              <w:right w:val="single" w:sz="4" w:space="0" w:color="auto"/>
            </w:tcBorders>
            <w:hideMark/>
          </w:tcPr>
          <w:p w14:paraId="0DB64EAB" w14:textId="77777777" w:rsidR="009B591A" w:rsidRDefault="009B591A">
            <w:pPr>
              <w:rPr>
                <w:rFonts w:ascii="Cambria" w:hAnsi="Cambria" w:cs="Times New Roman"/>
                <w:sz w:val="20"/>
                <w:szCs w:val="20"/>
              </w:rPr>
            </w:pPr>
            <w:r>
              <w:rPr>
                <w:rFonts w:ascii="Cambria" w:hAnsi="Cambria" w:cs="Times New Roman"/>
                <w:b/>
                <w:bCs/>
                <w:sz w:val="20"/>
                <w:szCs w:val="20"/>
              </w:rPr>
              <w:t>0.80</w:t>
            </w:r>
            <w:r>
              <w:rPr>
                <w:rFonts w:ascii="Cambria" w:hAnsi="Cambria" w:cs="Times New Roman"/>
                <w:sz w:val="20"/>
                <w:szCs w:val="20"/>
              </w:rPr>
              <w:t>±0.05</w:t>
            </w:r>
          </w:p>
        </w:tc>
        <w:tc>
          <w:tcPr>
            <w:tcW w:w="1134" w:type="dxa"/>
            <w:tcBorders>
              <w:top w:val="single" w:sz="4" w:space="0" w:color="auto"/>
              <w:left w:val="single" w:sz="4" w:space="0" w:color="auto"/>
              <w:bottom w:val="single" w:sz="4" w:space="0" w:color="auto"/>
              <w:right w:val="single" w:sz="4" w:space="0" w:color="auto"/>
            </w:tcBorders>
            <w:hideMark/>
          </w:tcPr>
          <w:p w14:paraId="25F4A1A8" w14:textId="77777777" w:rsidR="009B591A" w:rsidRDefault="009B591A">
            <w:pPr>
              <w:rPr>
                <w:rFonts w:ascii="Cambria" w:hAnsi="Cambria" w:cs="Times New Roman"/>
                <w:sz w:val="20"/>
                <w:szCs w:val="20"/>
              </w:rPr>
            </w:pPr>
            <w:r>
              <w:rPr>
                <w:rFonts w:ascii="Cambria" w:hAnsi="Cambria" w:cs="Times New Roman"/>
                <w:b/>
                <w:bCs/>
                <w:sz w:val="20"/>
                <w:szCs w:val="20"/>
              </w:rPr>
              <w:t>0.83</w:t>
            </w:r>
            <w:r>
              <w:rPr>
                <w:rFonts w:ascii="Cambria" w:hAnsi="Cambria" w:cs="Times New Roman"/>
                <w:sz w:val="20"/>
                <w:szCs w:val="20"/>
              </w:rPr>
              <w:t>±0.05</w:t>
            </w:r>
          </w:p>
        </w:tc>
        <w:tc>
          <w:tcPr>
            <w:tcW w:w="1134" w:type="dxa"/>
            <w:tcBorders>
              <w:top w:val="single" w:sz="4" w:space="0" w:color="auto"/>
              <w:left w:val="single" w:sz="4" w:space="0" w:color="auto"/>
              <w:bottom w:val="single" w:sz="4" w:space="0" w:color="auto"/>
              <w:right w:val="single" w:sz="4" w:space="0" w:color="auto"/>
            </w:tcBorders>
            <w:hideMark/>
          </w:tcPr>
          <w:p w14:paraId="34EA71F7" w14:textId="77777777" w:rsidR="009B591A" w:rsidRDefault="009B591A">
            <w:pPr>
              <w:rPr>
                <w:rFonts w:ascii="Cambria" w:hAnsi="Cambria" w:cs="Times New Roman"/>
                <w:sz w:val="20"/>
                <w:szCs w:val="20"/>
              </w:rPr>
            </w:pPr>
            <w:r>
              <w:rPr>
                <w:rFonts w:ascii="Cambria" w:hAnsi="Cambria" w:cs="Times New Roman"/>
                <w:b/>
                <w:bCs/>
                <w:sz w:val="20"/>
                <w:szCs w:val="20"/>
              </w:rPr>
              <w:t>0.86</w:t>
            </w:r>
            <w:r>
              <w:rPr>
                <w:rFonts w:ascii="Cambria" w:hAnsi="Cambria" w:cs="Times New Roman"/>
                <w:sz w:val="20"/>
                <w:szCs w:val="20"/>
              </w:rPr>
              <w:t>±0.06</w:t>
            </w:r>
          </w:p>
        </w:tc>
      </w:tr>
      <w:tr w:rsidR="009B591A" w14:paraId="3D1ED4C1" w14:textId="77777777" w:rsidTr="009B591A">
        <w:tc>
          <w:tcPr>
            <w:tcW w:w="709" w:type="dxa"/>
            <w:tcBorders>
              <w:top w:val="single" w:sz="4" w:space="0" w:color="auto"/>
              <w:left w:val="single" w:sz="4" w:space="0" w:color="auto"/>
              <w:bottom w:val="single" w:sz="4" w:space="0" w:color="auto"/>
              <w:right w:val="single" w:sz="4" w:space="0" w:color="auto"/>
            </w:tcBorders>
            <w:hideMark/>
          </w:tcPr>
          <w:p w14:paraId="4FF5DE18" w14:textId="77777777" w:rsidR="009B591A" w:rsidRDefault="009B591A">
            <w:pPr>
              <w:rPr>
                <w:rFonts w:ascii="Cambria" w:hAnsi="Cambria" w:cs="Times New Roman"/>
                <w:sz w:val="20"/>
                <w:szCs w:val="20"/>
              </w:rPr>
            </w:pPr>
            <w:r>
              <w:rPr>
                <w:rFonts w:ascii="Cambria" w:hAnsi="Cambria" w:cs="Times New Roman"/>
                <w:sz w:val="20"/>
                <w:szCs w:val="20"/>
              </w:rPr>
              <w:t>RM</w:t>
            </w:r>
          </w:p>
        </w:tc>
        <w:tc>
          <w:tcPr>
            <w:tcW w:w="1134" w:type="dxa"/>
            <w:tcBorders>
              <w:top w:val="single" w:sz="4" w:space="0" w:color="auto"/>
              <w:left w:val="single" w:sz="4" w:space="0" w:color="auto"/>
              <w:bottom w:val="single" w:sz="4" w:space="0" w:color="auto"/>
              <w:right w:val="single" w:sz="4" w:space="0" w:color="auto"/>
            </w:tcBorders>
            <w:hideMark/>
          </w:tcPr>
          <w:p w14:paraId="2656267F" w14:textId="77777777" w:rsidR="009B591A" w:rsidRDefault="009B591A">
            <w:pPr>
              <w:rPr>
                <w:rFonts w:ascii="Cambria" w:hAnsi="Cambria" w:cs="Times New Roman"/>
                <w:sz w:val="20"/>
                <w:szCs w:val="20"/>
              </w:rPr>
            </w:pPr>
            <w:r>
              <w:rPr>
                <w:rFonts w:ascii="Cambria" w:hAnsi="Cambria" w:cs="Times New Roman"/>
                <w:b/>
                <w:bCs/>
                <w:sz w:val="20"/>
                <w:szCs w:val="20"/>
              </w:rPr>
              <w:t>0.83</w:t>
            </w:r>
            <w:r>
              <w:rPr>
                <w:rFonts w:ascii="Cambria" w:hAnsi="Cambria" w:cs="Times New Roman"/>
                <w:sz w:val="20"/>
                <w:szCs w:val="20"/>
              </w:rPr>
              <w:t>±0.08</w:t>
            </w:r>
          </w:p>
        </w:tc>
        <w:tc>
          <w:tcPr>
            <w:tcW w:w="1211" w:type="dxa"/>
            <w:tcBorders>
              <w:top w:val="single" w:sz="4" w:space="0" w:color="auto"/>
              <w:left w:val="single" w:sz="4" w:space="0" w:color="auto"/>
              <w:bottom w:val="single" w:sz="4" w:space="0" w:color="auto"/>
              <w:right w:val="single" w:sz="4" w:space="0" w:color="auto"/>
            </w:tcBorders>
            <w:hideMark/>
          </w:tcPr>
          <w:p w14:paraId="520F9F91" w14:textId="77777777" w:rsidR="009B591A" w:rsidRDefault="009B591A">
            <w:pPr>
              <w:rPr>
                <w:rFonts w:ascii="Cambria" w:hAnsi="Cambria" w:cs="Times New Roman"/>
                <w:sz w:val="20"/>
                <w:szCs w:val="20"/>
              </w:rPr>
            </w:pPr>
            <w:r>
              <w:rPr>
                <w:rFonts w:ascii="Cambria" w:hAnsi="Cambria" w:cs="Times New Roman"/>
                <w:b/>
                <w:bCs/>
                <w:sz w:val="20"/>
                <w:szCs w:val="20"/>
              </w:rPr>
              <w:t>0.82</w:t>
            </w:r>
            <w:r>
              <w:rPr>
                <w:rFonts w:ascii="Cambria" w:hAnsi="Cambria" w:cs="Times New Roman"/>
                <w:sz w:val="20"/>
                <w:szCs w:val="20"/>
              </w:rPr>
              <w:t>±0.09</w:t>
            </w:r>
          </w:p>
        </w:tc>
        <w:tc>
          <w:tcPr>
            <w:tcW w:w="1223" w:type="dxa"/>
            <w:tcBorders>
              <w:top w:val="single" w:sz="4" w:space="0" w:color="auto"/>
              <w:left w:val="single" w:sz="4" w:space="0" w:color="auto"/>
              <w:bottom w:val="single" w:sz="4" w:space="0" w:color="auto"/>
              <w:right w:val="single" w:sz="4" w:space="0" w:color="auto"/>
            </w:tcBorders>
            <w:hideMark/>
          </w:tcPr>
          <w:p w14:paraId="3C6957D1" w14:textId="77777777" w:rsidR="009B591A" w:rsidRDefault="009B591A">
            <w:pPr>
              <w:rPr>
                <w:rFonts w:ascii="Cambria" w:hAnsi="Cambria" w:cs="Times New Roman"/>
                <w:sz w:val="20"/>
                <w:szCs w:val="20"/>
              </w:rPr>
            </w:pPr>
            <w:r>
              <w:rPr>
                <w:rFonts w:ascii="Cambria" w:hAnsi="Cambria" w:cs="Times New Roman"/>
                <w:b/>
                <w:bCs/>
                <w:sz w:val="20"/>
                <w:szCs w:val="20"/>
              </w:rPr>
              <w:t>0.82</w:t>
            </w:r>
            <w:r>
              <w:rPr>
                <w:rFonts w:ascii="Cambria" w:hAnsi="Cambria" w:cs="Times New Roman"/>
                <w:sz w:val="20"/>
                <w:szCs w:val="20"/>
              </w:rPr>
              <w:t>±0.09</w:t>
            </w:r>
          </w:p>
        </w:tc>
        <w:tc>
          <w:tcPr>
            <w:tcW w:w="1134" w:type="dxa"/>
            <w:tcBorders>
              <w:top w:val="single" w:sz="4" w:space="0" w:color="auto"/>
              <w:left w:val="single" w:sz="4" w:space="0" w:color="auto"/>
              <w:bottom w:val="single" w:sz="4" w:space="0" w:color="auto"/>
              <w:right w:val="single" w:sz="4" w:space="0" w:color="auto"/>
            </w:tcBorders>
            <w:hideMark/>
          </w:tcPr>
          <w:p w14:paraId="305AB41C" w14:textId="77777777" w:rsidR="009B591A" w:rsidRDefault="009B591A">
            <w:pPr>
              <w:rPr>
                <w:rFonts w:ascii="Cambria" w:hAnsi="Cambria" w:cs="Times New Roman"/>
                <w:sz w:val="20"/>
                <w:szCs w:val="20"/>
              </w:rPr>
            </w:pPr>
            <w:r>
              <w:rPr>
                <w:rFonts w:ascii="Cambria" w:hAnsi="Cambria" w:cs="Times New Roman"/>
                <w:b/>
                <w:bCs/>
                <w:sz w:val="20"/>
                <w:szCs w:val="20"/>
              </w:rPr>
              <w:t>0.83</w:t>
            </w:r>
            <w:r>
              <w:rPr>
                <w:rFonts w:ascii="Cambria" w:hAnsi="Cambria" w:cs="Times New Roman"/>
                <w:sz w:val="20"/>
                <w:szCs w:val="20"/>
              </w:rPr>
              <w:t>±0.09</w:t>
            </w:r>
          </w:p>
        </w:tc>
        <w:tc>
          <w:tcPr>
            <w:tcW w:w="1134" w:type="dxa"/>
            <w:tcBorders>
              <w:top w:val="single" w:sz="4" w:space="0" w:color="auto"/>
              <w:left w:val="single" w:sz="4" w:space="0" w:color="auto"/>
              <w:bottom w:val="single" w:sz="4" w:space="0" w:color="auto"/>
              <w:right w:val="single" w:sz="4" w:space="0" w:color="auto"/>
            </w:tcBorders>
            <w:hideMark/>
          </w:tcPr>
          <w:p w14:paraId="22BC5F14" w14:textId="77777777" w:rsidR="009B591A" w:rsidRDefault="009B591A">
            <w:pPr>
              <w:rPr>
                <w:rFonts w:ascii="Cambria" w:hAnsi="Cambria" w:cs="Times New Roman"/>
                <w:sz w:val="20"/>
                <w:szCs w:val="20"/>
              </w:rPr>
            </w:pPr>
            <w:r>
              <w:rPr>
                <w:rFonts w:ascii="Cambria" w:hAnsi="Cambria" w:cs="Times New Roman"/>
                <w:b/>
                <w:bCs/>
                <w:sz w:val="20"/>
                <w:szCs w:val="20"/>
              </w:rPr>
              <w:t>0.84</w:t>
            </w:r>
            <w:r>
              <w:rPr>
                <w:rFonts w:ascii="Cambria" w:hAnsi="Cambria" w:cs="Times New Roman"/>
                <w:sz w:val="20"/>
                <w:szCs w:val="20"/>
              </w:rPr>
              <w:t>±0.10</w:t>
            </w:r>
          </w:p>
        </w:tc>
        <w:tc>
          <w:tcPr>
            <w:tcW w:w="1134" w:type="dxa"/>
            <w:tcBorders>
              <w:top w:val="single" w:sz="4" w:space="0" w:color="auto"/>
              <w:left w:val="single" w:sz="4" w:space="0" w:color="auto"/>
              <w:bottom w:val="single" w:sz="4" w:space="0" w:color="auto"/>
              <w:right w:val="single" w:sz="4" w:space="0" w:color="auto"/>
            </w:tcBorders>
            <w:hideMark/>
          </w:tcPr>
          <w:p w14:paraId="2F9851FE" w14:textId="77777777" w:rsidR="009B591A" w:rsidRDefault="009B591A">
            <w:pPr>
              <w:rPr>
                <w:rFonts w:ascii="Cambria" w:hAnsi="Cambria" w:cs="Times New Roman"/>
                <w:sz w:val="20"/>
                <w:szCs w:val="20"/>
              </w:rPr>
            </w:pPr>
            <w:r>
              <w:rPr>
                <w:rFonts w:ascii="Cambria" w:hAnsi="Cambria" w:cs="Times New Roman"/>
                <w:b/>
                <w:bCs/>
                <w:sz w:val="20"/>
                <w:szCs w:val="20"/>
              </w:rPr>
              <w:t>0.83</w:t>
            </w:r>
            <w:r>
              <w:rPr>
                <w:rFonts w:ascii="Cambria" w:hAnsi="Cambria" w:cs="Times New Roman"/>
                <w:sz w:val="20"/>
                <w:szCs w:val="20"/>
              </w:rPr>
              <w:t>±0.10</w:t>
            </w:r>
          </w:p>
        </w:tc>
        <w:tc>
          <w:tcPr>
            <w:tcW w:w="1134" w:type="dxa"/>
            <w:tcBorders>
              <w:top w:val="single" w:sz="4" w:space="0" w:color="auto"/>
              <w:left w:val="single" w:sz="4" w:space="0" w:color="auto"/>
              <w:bottom w:val="single" w:sz="4" w:space="0" w:color="auto"/>
              <w:right w:val="single" w:sz="4" w:space="0" w:color="auto"/>
            </w:tcBorders>
            <w:hideMark/>
          </w:tcPr>
          <w:p w14:paraId="018E3AF2" w14:textId="77777777" w:rsidR="009B591A" w:rsidRDefault="009B591A">
            <w:pPr>
              <w:rPr>
                <w:rFonts w:ascii="Cambria" w:hAnsi="Cambria" w:cs="Times New Roman"/>
                <w:sz w:val="20"/>
                <w:szCs w:val="20"/>
              </w:rPr>
            </w:pPr>
            <w:r>
              <w:rPr>
                <w:rFonts w:ascii="Cambria" w:hAnsi="Cambria" w:cs="Times New Roman"/>
                <w:b/>
                <w:bCs/>
                <w:sz w:val="20"/>
                <w:szCs w:val="20"/>
              </w:rPr>
              <w:t>0.83</w:t>
            </w:r>
            <w:r>
              <w:rPr>
                <w:rFonts w:ascii="Cambria" w:hAnsi="Cambria" w:cs="Times New Roman"/>
                <w:sz w:val="20"/>
                <w:szCs w:val="20"/>
              </w:rPr>
              <w:t>±0.11</w:t>
            </w:r>
          </w:p>
        </w:tc>
        <w:tc>
          <w:tcPr>
            <w:tcW w:w="1134" w:type="dxa"/>
            <w:tcBorders>
              <w:top w:val="single" w:sz="4" w:space="0" w:color="auto"/>
              <w:left w:val="single" w:sz="4" w:space="0" w:color="auto"/>
              <w:bottom w:val="single" w:sz="4" w:space="0" w:color="auto"/>
              <w:right w:val="single" w:sz="4" w:space="0" w:color="auto"/>
            </w:tcBorders>
            <w:hideMark/>
          </w:tcPr>
          <w:p w14:paraId="4877F5D5" w14:textId="77777777" w:rsidR="009B591A" w:rsidRDefault="009B591A">
            <w:pPr>
              <w:rPr>
                <w:rFonts w:ascii="Cambria" w:hAnsi="Cambria" w:cs="Times New Roman"/>
                <w:sz w:val="20"/>
                <w:szCs w:val="20"/>
              </w:rPr>
            </w:pPr>
            <w:r>
              <w:rPr>
                <w:rFonts w:ascii="Cambria" w:hAnsi="Cambria" w:cs="Times New Roman"/>
                <w:b/>
                <w:bCs/>
                <w:sz w:val="20"/>
                <w:szCs w:val="20"/>
              </w:rPr>
              <w:t>0.82</w:t>
            </w:r>
            <w:r>
              <w:rPr>
                <w:rFonts w:ascii="Cambria" w:hAnsi="Cambria" w:cs="Times New Roman"/>
                <w:sz w:val="20"/>
                <w:szCs w:val="20"/>
              </w:rPr>
              <w:t>±0.11</w:t>
            </w:r>
          </w:p>
        </w:tc>
      </w:tr>
    </w:tbl>
    <w:p w14:paraId="62D4D663" w14:textId="77777777" w:rsidR="009B591A" w:rsidRDefault="009B591A" w:rsidP="009B591A">
      <w:pPr>
        <w:rPr>
          <w:rFonts w:ascii="Cambria" w:hAnsi="Cambria" w:cs="Times New Roman"/>
          <w:sz w:val="24"/>
          <w:szCs w:val="24"/>
        </w:rPr>
      </w:pPr>
    </w:p>
    <w:p w14:paraId="1A3191D9" w14:textId="5CC5ABA9" w:rsidR="009B591A" w:rsidRDefault="009B591A" w:rsidP="009B591A">
      <w:pPr>
        <w:autoSpaceDE w:val="0"/>
        <w:autoSpaceDN w:val="0"/>
        <w:adjustRightInd w:val="0"/>
        <w:spacing w:after="0" w:line="240" w:lineRule="auto"/>
        <w:jc w:val="both"/>
        <w:rPr>
          <w:rFonts w:ascii="Cambria" w:hAnsi="Cambria"/>
          <w:bCs/>
          <w:sz w:val="24"/>
          <w:szCs w:val="24"/>
        </w:rPr>
      </w:pPr>
      <w:r>
        <w:rPr>
          <w:rFonts w:ascii="Cambria" w:eastAsia="Times New Roman" w:hAnsi="Cambria" w:cs="Times New Roman"/>
          <w:noProof/>
          <w:sz w:val="24"/>
          <w:szCs w:val="24"/>
        </w:rPr>
        <w:drawing>
          <wp:inline distT="0" distB="0" distL="0" distR="0" wp14:anchorId="13270A59" wp14:editId="185DAD15">
            <wp:extent cx="5721350" cy="323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0" cy="3232150"/>
                    </a:xfrm>
                    <a:prstGeom prst="rect">
                      <a:avLst/>
                    </a:prstGeom>
                    <a:noFill/>
                    <a:ln>
                      <a:noFill/>
                    </a:ln>
                  </pic:spPr>
                </pic:pic>
              </a:graphicData>
            </a:graphic>
          </wp:inline>
        </w:drawing>
      </w:r>
    </w:p>
    <w:p w14:paraId="7AB4EB4C" w14:textId="77777777" w:rsidR="009B591A" w:rsidRDefault="009B591A" w:rsidP="009B591A">
      <w:pPr>
        <w:autoSpaceDE w:val="0"/>
        <w:autoSpaceDN w:val="0"/>
        <w:adjustRightInd w:val="0"/>
        <w:spacing w:after="0" w:line="240" w:lineRule="auto"/>
        <w:jc w:val="both"/>
        <w:rPr>
          <w:rFonts w:ascii="Cambria" w:hAnsi="Cambria"/>
        </w:rPr>
      </w:pPr>
      <w:r>
        <w:rPr>
          <w:rFonts w:ascii="Cambria" w:hAnsi="Cambria"/>
          <w:b/>
          <w:bCs/>
        </w:rPr>
        <w:t>Extended Data Animation 1</w:t>
      </w:r>
      <w:r>
        <w:rPr>
          <w:rFonts w:ascii="Cambria" w:hAnsi="Cambria"/>
        </w:rPr>
        <w:t xml:space="preserve"> </w:t>
      </w:r>
      <w:r>
        <w:rPr>
          <w:rFonts w:ascii="Cambria" w:hAnsi="Cambria"/>
          <w:b/>
          <w:bCs/>
        </w:rPr>
        <w:t>|</w:t>
      </w:r>
      <w:r>
        <w:rPr>
          <w:rFonts w:ascii="Cambria" w:hAnsi="Cambria"/>
        </w:rPr>
        <w:t xml:space="preserve"> </w:t>
      </w:r>
      <w:r>
        <w:rPr>
          <w:rFonts w:ascii="Cambria" w:hAnsi="Cambria"/>
          <w:b/>
          <w:bCs/>
        </w:rPr>
        <w:t>Along-strike variation of b-value in Chain</w:t>
      </w:r>
      <w:r>
        <w:rPr>
          <w:rFonts w:ascii="Cambria" w:hAnsi="Cambria"/>
          <w:bCs/>
        </w:rPr>
        <w:t>. Different moving windows are considered, ranging from N=50 to N=100 events, advancing by 1 event, superimposed over a bathymetry map of Chain. Each calculation is shown as a coloured circle, centred at the longitude of the central event in each window. The events shown as white circles and used for b-value calculations correspond to the complete dataset (M</w:t>
      </w:r>
      <w:r>
        <w:rPr>
          <w:rFonts w:ascii="Cambria" w:hAnsi="Cambria"/>
          <w:bCs/>
          <w:vertAlign w:val="subscript"/>
        </w:rPr>
        <w:t>L</w:t>
      </w:r>
      <w:r>
        <w:rPr>
          <w:rFonts w:ascii="Cambria" w:hAnsi="Cambria"/>
          <w:bCs/>
        </w:rPr>
        <w:t>≥2.3) along the transform valley.</w:t>
      </w:r>
    </w:p>
    <w:p w14:paraId="09B3CF07" w14:textId="77777777" w:rsidR="009B591A" w:rsidRDefault="009B591A" w:rsidP="009B591A">
      <w:pPr>
        <w:rPr>
          <w:rFonts w:ascii="Cambria" w:hAnsi="Cambria" w:cs="Times New Roman"/>
          <w:sz w:val="24"/>
          <w:szCs w:val="24"/>
        </w:rPr>
      </w:pPr>
    </w:p>
    <w:p w14:paraId="521A024E" w14:textId="77777777" w:rsidR="009B591A" w:rsidRDefault="009B591A" w:rsidP="009B591A">
      <w:pPr>
        <w:rPr>
          <w:rFonts w:ascii="Cambria" w:hAnsi="Cambria" w:cs="Times New Roman"/>
          <w:sz w:val="24"/>
          <w:szCs w:val="24"/>
        </w:rPr>
      </w:pPr>
    </w:p>
    <w:p w14:paraId="4AD73E1B" w14:textId="627CE5C3" w:rsidR="009B591A" w:rsidRDefault="009B591A" w:rsidP="009B591A">
      <w:pPr>
        <w:rPr>
          <w:rFonts w:ascii="Cambria" w:hAnsi="Cambria" w:cs="Times New Roman"/>
        </w:rPr>
      </w:pPr>
      <w:r>
        <w:rPr>
          <w:rFonts w:ascii="Cambria" w:hAnsi="Cambria" w:cs="Times New Roman"/>
          <w:noProof/>
        </w:rPr>
        <w:lastRenderedPageBreak/>
        <w:drawing>
          <wp:inline distT="0" distB="0" distL="0" distR="0" wp14:anchorId="5BC4B53F" wp14:editId="21B2C6AF">
            <wp:extent cx="5708650" cy="381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1308" t="1181" r="5432"/>
                    <a:stretch>
                      <a:fillRect/>
                    </a:stretch>
                  </pic:blipFill>
                  <pic:spPr bwMode="auto">
                    <a:xfrm>
                      <a:off x="0" y="0"/>
                      <a:ext cx="5708650" cy="3816350"/>
                    </a:xfrm>
                    <a:prstGeom prst="rect">
                      <a:avLst/>
                    </a:prstGeom>
                    <a:noFill/>
                    <a:ln>
                      <a:noFill/>
                    </a:ln>
                  </pic:spPr>
                </pic:pic>
              </a:graphicData>
            </a:graphic>
          </wp:inline>
        </w:drawing>
      </w:r>
    </w:p>
    <w:p w14:paraId="3E766E7F" w14:textId="77777777" w:rsidR="009B591A" w:rsidRDefault="009B591A" w:rsidP="009B591A">
      <w:pPr>
        <w:spacing w:line="240" w:lineRule="auto"/>
        <w:jc w:val="both"/>
        <w:rPr>
          <w:rFonts w:ascii="Cambria" w:hAnsi="Cambria"/>
        </w:rPr>
      </w:pPr>
      <w:r>
        <w:rPr>
          <w:rFonts w:ascii="Cambria" w:hAnsi="Cambria"/>
          <w:b/>
          <w:bCs/>
        </w:rPr>
        <w:t>Extended Data Fig. 1 | Flower Structures and Fault Scarps.</w:t>
      </w:r>
      <w:r>
        <w:rPr>
          <w:rFonts w:ascii="Cambria" w:hAnsi="Cambria"/>
        </w:rPr>
        <w:t xml:space="preserve">  a) Western half of Chain TF and b) eastern half of Chain TF. The red and green curves show the fault scarps, with latter highlighting the longest of them (L&gt;30km). The yellow curves denote the positive flower structures. The bathymetry in shown in grey scale.</w:t>
      </w:r>
    </w:p>
    <w:p w14:paraId="6079CC0F" w14:textId="77777777" w:rsidR="009B591A" w:rsidRDefault="009B591A" w:rsidP="009B591A">
      <w:pPr>
        <w:rPr>
          <w:rFonts w:ascii="Cambria" w:hAnsi="Cambria"/>
          <w:sz w:val="24"/>
          <w:szCs w:val="24"/>
        </w:rPr>
      </w:pPr>
    </w:p>
    <w:p w14:paraId="3B96580E" w14:textId="77777777" w:rsidR="009B591A" w:rsidRDefault="009B591A" w:rsidP="009B591A">
      <w:pPr>
        <w:rPr>
          <w:rFonts w:ascii="Cambria" w:hAnsi="Cambria"/>
          <w:sz w:val="24"/>
          <w:szCs w:val="24"/>
        </w:rPr>
      </w:pPr>
    </w:p>
    <w:p w14:paraId="11BCED8D" w14:textId="77777777" w:rsidR="009B591A" w:rsidRDefault="009B591A" w:rsidP="009B591A">
      <w:pPr>
        <w:rPr>
          <w:rFonts w:ascii="Cambria" w:hAnsi="Cambria" w:cs="Times New Roman"/>
          <w:sz w:val="24"/>
          <w:szCs w:val="24"/>
        </w:rPr>
      </w:pPr>
    </w:p>
    <w:p w14:paraId="17F1F33F" w14:textId="77777777" w:rsidR="009B591A" w:rsidRDefault="009B591A" w:rsidP="009B591A">
      <w:pPr>
        <w:rPr>
          <w:rFonts w:ascii="Cambria" w:hAnsi="Cambria" w:cs="Times New Roman"/>
          <w:sz w:val="24"/>
          <w:szCs w:val="24"/>
        </w:rPr>
      </w:pPr>
    </w:p>
    <w:p w14:paraId="380D7421" w14:textId="77777777" w:rsidR="009B591A" w:rsidRDefault="009B591A" w:rsidP="009B591A">
      <w:pPr>
        <w:rPr>
          <w:rFonts w:ascii="Cambria" w:hAnsi="Cambria" w:cs="Times New Roman"/>
          <w:sz w:val="24"/>
          <w:szCs w:val="24"/>
        </w:rPr>
      </w:pPr>
    </w:p>
    <w:p w14:paraId="772CF153" w14:textId="77777777" w:rsidR="009B591A" w:rsidRDefault="009B591A" w:rsidP="009B591A">
      <w:pPr>
        <w:rPr>
          <w:rFonts w:ascii="Cambria" w:hAnsi="Cambria" w:cs="Times New Roman"/>
          <w:sz w:val="24"/>
          <w:szCs w:val="24"/>
        </w:rPr>
      </w:pPr>
    </w:p>
    <w:p w14:paraId="1232E71B" w14:textId="77777777" w:rsidR="009B591A" w:rsidRDefault="009B591A" w:rsidP="009B591A">
      <w:pPr>
        <w:spacing w:line="240" w:lineRule="auto"/>
        <w:rPr>
          <w:rFonts w:ascii="Cambria" w:hAnsi="Cambria" w:cs="Times New Roman"/>
          <w:noProof/>
          <w:sz w:val="24"/>
          <w:szCs w:val="24"/>
        </w:rPr>
      </w:pPr>
    </w:p>
    <w:p w14:paraId="45D8A44A" w14:textId="6B78911F" w:rsidR="009B591A" w:rsidRDefault="009B591A" w:rsidP="009B591A">
      <w:pPr>
        <w:spacing w:line="240" w:lineRule="auto"/>
        <w:rPr>
          <w:rFonts w:ascii="Cambria" w:hAnsi="Cambria" w:cs="Times New Roman"/>
          <w:sz w:val="24"/>
          <w:szCs w:val="24"/>
        </w:rPr>
      </w:pPr>
      <w:r>
        <w:rPr>
          <w:rFonts w:ascii="Cambria" w:hAnsi="Cambria" w:cs="Times New Roman"/>
          <w:noProof/>
          <w:sz w:val="24"/>
          <w:szCs w:val="24"/>
        </w:rPr>
        <w:lastRenderedPageBreak/>
        <w:drawing>
          <wp:inline distT="0" distB="0" distL="0" distR="0" wp14:anchorId="246A2594" wp14:editId="5E2924E0">
            <wp:extent cx="5727700" cy="334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l="5544" t="5905" r="10201" b="6889"/>
                    <a:stretch>
                      <a:fillRect/>
                    </a:stretch>
                  </pic:blipFill>
                  <pic:spPr bwMode="auto">
                    <a:xfrm>
                      <a:off x="0" y="0"/>
                      <a:ext cx="5727700" cy="3340100"/>
                    </a:xfrm>
                    <a:prstGeom prst="rect">
                      <a:avLst/>
                    </a:prstGeom>
                    <a:noFill/>
                    <a:ln>
                      <a:noFill/>
                    </a:ln>
                  </pic:spPr>
                </pic:pic>
              </a:graphicData>
            </a:graphic>
          </wp:inline>
        </w:drawing>
      </w:r>
    </w:p>
    <w:p w14:paraId="23238E8A" w14:textId="77777777" w:rsidR="009B591A" w:rsidRDefault="009B591A" w:rsidP="009B591A">
      <w:pPr>
        <w:spacing w:line="240" w:lineRule="auto"/>
        <w:jc w:val="both"/>
        <w:rPr>
          <w:rFonts w:ascii="Cambria" w:hAnsi="Cambria" w:cs="Times New Roman"/>
        </w:rPr>
      </w:pPr>
      <w:r>
        <w:rPr>
          <w:rFonts w:ascii="Cambria" w:hAnsi="Cambria"/>
          <w:b/>
          <w:bCs/>
        </w:rPr>
        <w:t xml:space="preserve">Extended Data Fig. 2 | Temporal and along strike microseismicity distribution. </w:t>
      </w:r>
      <w:r>
        <w:rPr>
          <w:rFonts w:ascii="Cambria" w:hAnsi="Cambria"/>
        </w:rPr>
        <w:t>The blue circles indicate the OBS events above M</w:t>
      </w:r>
      <w:r>
        <w:rPr>
          <w:rFonts w:ascii="Cambria" w:hAnsi="Cambria"/>
          <w:vertAlign w:val="subscript"/>
        </w:rPr>
        <w:t>C</w:t>
      </w:r>
      <w:r>
        <w:rPr>
          <w:rFonts w:ascii="Cambria" w:hAnsi="Cambria"/>
        </w:rPr>
        <w:t>=2.3, whereas the white circles denote all located events. The largest OBS events with 5.0≤M</w:t>
      </w:r>
      <w:r>
        <w:rPr>
          <w:rFonts w:ascii="Cambria" w:hAnsi="Cambria"/>
          <w:vertAlign w:val="subscript"/>
        </w:rPr>
        <w:t>L</w:t>
      </w:r>
      <w:r>
        <w:rPr>
          <w:rFonts w:ascii="Cambria" w:hAnsi="Cambria"/>
        </w:rPr>
        <w:t>≤5.4 are depicted by red stars. The histogram shows the number of OBS events per 0.05</w:t>
      </w:r>
      <w:r>
        <w:rPr>
          <w:rFonts w:ascii="Cambria" w:hAnsi="Cambria"/>
          <w:bCs/>
        </w:rPr>
        <w:t>°</w:t>
      </w:r>
      <w:r>
        <w:rPr>
          <w:rFonts w:ascii="Cambria" w:hAnsi="Cambria"/>
        </w:rPr>
        <w:t xml:space="preserve"> longitudinal bins. The purple box indicates a </w:t>
      </w:r>
      <w:proofErr w:type="spellStart"/>
      <w:r>
        <w:rPr>
          <w:rFonts w:ascii="Cambria" w:hAnsi="Cambria"/>
        </w:rPr>
        <w:t>spatio</w:t>
      </w:r>
      <w:proofErr w:type="spellEnd"/>
      <w:r>
        <w:rPr>
          <w:rFonts w:ascii="Cambria" w:hAnsi="Cambria"/>
        </w:rPr>
        <w:t xml:space="preserve">-temporal microseismicity gap occurred at least 7 months before the M5.4 event sequence in barrier zone, B1. The large blue and red circles show the historical </w:t>
      </w:r>
      <w:r>
        <w:rPr>
          <w:rFonts w:ascii="Cambria" w:hAnsi="Cambria" w:cs="Times New Roman"/>
        </w:rPr>
        <w:t>events with M</w:t>
      </w:r>
      <w:r>
        <w:rPr>
          <w:rFonts w:ascii="Cambria" w:hAnsi="Cambria" w:cs="Times New Roman"/>
          <w:vertAlign w:val="subscript"/>
        </w:rPr>
        <w:t>W</w:t>
      </w:r>
      <w:r>
        <w:rPr>
          <w:rFonts w:ascii="Cambria" w:hAnsi="Cambria" w:cs="Times New Roman"/>
        </w:rPr>
        <w:t>≥5.6 and M</w:t>
      </w:r>
      <w:r>
        <w:rPr>
          <w:rFonts w:ascii="Cambria" w:hAnsi="Cambria" w:cs="Times New Roman"/>
          <w:vertAlign w:val="subscript"/>
        </w:rPr>
        <w:t>W</w:t>
      </w:r>
      <w:r>
        <w:rPr>
          <w:rFonts w:ascii="Cambria" w:hAnsi="Cambria" w:cs="Times New Roman"/>
        </w:rPr>
        <w:t>≥6.0, respectively</w:t>
      </w:r>
      <w:r>
        <w:rPr>
          <w:rFonts w:ascii="Cambria" w:hAnsi="Cambria" w:cs="Times New Roman"/>
          <w:vertAlign w:val="superscript"/>
        </w:rPr>
        <w:t>26</w:t>
      </w:r>
      <w:r>
        <w:rPr>
          <w:rFonts w:ascii="Cambria" w:hAnsi="Cambria" w:cs="Times New Roman"/>
        </w:rPr>
        <w:t>. The grey shaded areas correspond to asperities (A1 and A2) which separate the barriers (B1, B2, B3). The number in the arrows show the seismically released moment fraction for these segments. The blue lines at upper horizontal margin indicate the location of the positive flower structures.</w:t>
      </w:r>
    </w:p>
    <w:p w14:paraId="26200DF0" w14:textId="77777777" w:rsidR="009B591A" w:rsidRDefault="009B591A" w:rsidP="009B591A">
      <w:pPr>
        <w:rPr>
          <w:rFonts w:ascii="Cambria" w:hAnsi="Cambria" w:cs="Times New Roman"/>
          <w:sz w:val="24"/>
          <w:szCs w:val="24"/>
        </w:rPr>
      </w:pPr>
    </w:p>
    <w:p w14:paraId="36C386CE" w14:textId="77777777" w:rsidR="009B591A" w:rsidRDefault="009B591A" w:rsidP="009B591A">
      <w:pPr>
        <w:rPr>
          <w:rFonts w:ascii="Cambria" w:hAnsi="Cambria" w:cs="Times New Roman"/>
          <w:sz w:val="24"/>
          <w:szCs w:val="24"/>
        </w:rPr>
      </w:pPr>
    </w:p>
    <w:p w14:paraId="061765C8" w14:textId="77777777" w:rsidR="009B591A" w:rsidRDefault="009B591A" w:rsidP="009B591A">
      <w:pPr>
        <w:rPr>
          <w:rFonts w:ascii="Cambria" w:hAnsi="Cambria" w:cs="Times New Roman"/>
          <w:sz w:val="24"/>
          <w:szCs w:val="24"/>
        </w:rPr>
      </w:pPr>
    </w:p>
    <w:p w14:paraId="4AA84E12" w14:textId="6EB509EA" w:rsidR="009B591A" w:rsidRDefault="009B591A" w:rsidP="009B591A">
      <w:pPr>
        <w:jc w:val="both"/>
        <w:rPr>
          <w:rFonts w:ascii="Cambria" w:hAnsi="Cambria" w:cs="Times New Roman"/>
          <w:sz w:val="24"/>
          <w:szCs w:val="24"/>
        </w:rPr>
      </w:pPr>
      <w:r>
        <w:rPr>
          <w:rFonts w:ascii="Cambria" w:hAnsi="Cambria" w:cs="Times New Roman"/>
          <w:noProof/>
          <w:sz w:val="24"/>
          <w:szCs w:val="24"/>
        </w:rPr>
        <w:lastRenderedPageBreak/>
        <w:drawing>
          <wp:inline distT="0" distB="0" distL="0" distR="0" wp14:anchorId="173063A1" wp14:editId="567557C5">
            <wp:extent cx="5708650" cy="296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6647" t="3455" r="1015" b="11627"/>
                    <a:stretch>
                      <a:fillRect/>
                    </a:stretch>
                  </pic:blipFill>
                  <pic:spPr bwMode="auto">
                    <a:xfrm>
                      <a:off x="0" y="0"/>
                      <a:ext cx="5708650" cy="2965450"/>
                    </a:xfrm>
                    <a:prstGeom prst="rect">
                      <a:avLst/>
                    </a:prstGeom>
                    <a:noFill/>
                    <a:ln>
                      <a:noFill/>
                    </a:ln>
                  </pic:spPr>
                </pic:pic>
              </a:graphicData>
            </a:graphic>
          </wp:inline>
        </w:drawing>
      </w:r>
    </w:p>
    <w:p w14:paraId="35C7ED05" w14:textId="77777777" w:rsidR="009B591A" w:rsidRDefault="009B591A" w:rsidP="009B591A">
      <w:pPr>
        <w:spacing w:after="0" w:line="240" w:lineRule="auto"/>
        <w:jc w:val="both"/>
        <w:rPr>
          <w:rFonts w:ascii="Cambria" w:hAnsi="Cambria" w:cs="TimesNewRomanPS"/>
        </w:rPr>
      </w:pPr>
      <w:r>
        <w:rPr>
          <w:rFonts w:ascii="Cambria" w:hAnsi="Cambria"/>
          <w:b/>
          <w:bCs/>
        </w:rPr>
        <w:t>Extended Data Fig. 3 |</w:t>
      </w:r>
      <w:r>
        <w:rPr>
          <w:rFonts w:ascii="Cambria" w:hAnsi="Cambria"/>
          <w:b/>
        </w:rPr>
        <w:t xml:space="preserve"> Alternative thermal models. </w:t>
      </w:r>
      <w:r>
        <w:rPr>
          <w:rFonts w:ascii="Cambria" w:hAnsi="Cambria"/>
          <w:bCs/>
        </w:rPr>
        <w:t>a) Spreading rate 15 mm/</w:t>
      </w:r>
      <w:proofErr w:type="spellStart"/>
      <w:r>
        <w:rPr>
          <w:rFonts w:ascii="Cambria" w:hAnsi="Cambria"/>
          <w:bCs/>
        </w:rPr>
        <w:t>yr</w:t>
      </w:r>
      <w:proofErr w:type="spellEnd"/>
      <w:r>
        <w:rPr>
          <w:rFonts w:ascii="Cambria" w:hAnsi="Cambria"/>
          <w:bCs/>
        </w:rPr>
        <w:t xml:space="preserve"> and 1350</w:t>
      </w:r>
      <w:bookmarkStart w:id="0" w:name="_Hlk100041483"/>
      <w:r>
        <w:rPr>
          <w:rFonts w:ascii="Cambria" w:hAnsi="Cambria"/>
          <w:bCs/>
        </w:rPr>
        <w:t>°</w:t>
      </w:r>
      <w:bookmarkEnd w:id="0"/>
      <w:r>
        <w:rPr>
          <w:rFonts w:ascii="Cambria" w:hAnsi="Cambria"/>
          <w:bCs/>
        </w:rPr>
        <w:t xml:space="preserve">C at 200km depth, b) </w:t>
      </w:r>
      <w:bookmarkStart w:id="1" w:name="_Hlk96343110"/>
      <w:r>
        <w:rPr>
          <w:rFonts w:ascii="Cambria" w:hAnsi="Cambria"/>
          <w:bCs/>
        </w:rPr>
        <w:t>unequal spreading rate 17 mm/</w:t>
      </w:r>
      <w:proofErr w:type="spellStart"/>
      <w:r>
        <w:rPr>
          <w:rFonts w:ascii="Cambria" w:hAnsi="Cambria"/>
          <w:bCs/>
        </w:rPr>
        <w:t>yr</w:t>
      </w:r>
      <w:proofErr w:type="spellEnd"/>
      <w:r>
        <w:rPr>
          <w:rFonts w:ascii="Cambria" w:hAnsi="Cambria"/>
          <w:bCs/>
        </w:rPr>
        <w:t xml:space="preserve"> (west-east) and 19mm/</w:t>
      </w:r>
      <w:proofErr w:type="spellStart"/>
      <w:r>
        <w:rPr>
          <w:rFonts w:ascii="Cambria" w:hAnsi="Cambria"/>
          <w:bCs/>
        </w:rPr>
        <w:t>yr</w:t>
      </w:r>
      <w:proofErr w:type="spellEnd"/>
      <w:r>
        <w:rPr>
          <w:rFonts w:ascii="Cambria" w:hAnsi="Cambria"/>
          <w:bCs/>
        </w:rPr>
        <w:t xml:space="preserve"> (east-west) and 1350°C at 200km depth</w:t>
      </w:r>
      <w:bookmarkEnd w:id="1"/>
      <w:r>
        <w:rPr>
          <w:rFonts w:ascii="Cambria" w:hAnsi="Cambria"/>
          <w:bCs/>
        </w:rPr>
        <w:t>, c) unequal spreading rate 17 mm/</w:t>
      </w:r>
      <w:proofErr w:type="spellStart"/>
      <w:r>
        <w:rPr>
          <w:rFonts w:ascii="Cambria" w:hAnsi="Cambria"/>
          <w:bCs/>
        </w:rPr>
        <w:t>yr</w:t>
      </w:r>
      <w:proofErr w:type="spellEnd"/>
      <w:r>
        <w:rPr>
          <w:rFonts w:ascii="Cambria" w:hAnsi="Cambria"/>
          <w:bCs/>
        </w:rPr>
        <w:t xml:space="preserve"> (west-east) and 19mm/</w:t>
      </w:r>
      <w:proofErr w:type="spellStart"/>
      <w:r>
        <w:rPr>
          <w:rFonts w:ascii="Cambria" w:hAnsi="Cambria"/>
          <w:bCs/>
        </w:rPr>
        <w:t>yr</w:t>
      </w:r>
      <w:proofErr w:type="spellEnd"/>
      <w:r>
        <w:rPr>
          <w:rFonts w:ascii="Cambria" w:hAnsi="Cambria"/>
          <w:bCs/>
        </w:rPr>
        <w:t xml:space="preserve"> (east-west) and 1410°C at 200km depth, d) unequal spreading rate 17 mm/</w:t>
      </w:r>
      <w:proofErr w:type="spellStart"/>
      <w:r>
        <w:rPr>
          <w:rFonts w:ascii="Cambria" w:hAnsi="Cambria"/>
          <w:bCs/>
        </w:rPr>
        <w:t>yr</w:t>
      </w:r>
      <w:proofErr w:type="spellEnd"/>
      <w:r>
        <w:rPr>
          <w:rFonts w:ascii="Cambria" w:hAnsi="Cambria"/>
          <w:bCs/>
        </w:rPr>
        <w:t xml:space="preserve"> (west-east) and 19mm/</w:t>
      </w:r>
      <w:proofErr w:type="spellStart"/>
      <w:r>
        <w:rPr>
          <w:rFonts w:ascii="Cambria" w:hAnsi="Cambria"/>
          <w:bCs/>
        </w:rPr>
        <w:t>yr</w:t>
      </w:r>
      <w:proofErr w:type="spellEnd"/>
      <w:r>
        <w:rPr>
          <w:rFonts w:ascii="Cambria" w:hAnsi="Cambria"/>
          <w:bCs/>
        </w:rPr>
        <w:t xml:space="preserve"> (east-west), 1410°C at 200km depth and pressure-temperature dependent viscosity, e) Weak fracture zone model, f) Weak fracture zone model, zero velocity. </w:t>
      </w:r>
      <w:r>
        <w:rPr>
          <w:rFonts w:ascii="Cambria" w:hAnsi="Cambria" w:cs="TimesNewRomanPS"/>
        </w:rPr>
        <w:t xml:space="preserve">The depth determination quality (Q1 and Q2) is indicated as dark and light circles, respectively. </w:t>
      </w:r>
      <w:r>
        <w:rPr>
          <w:rFonts w:ascii="Cambria" w:hAnsi="Cambria"/>
        </w:rPr>
        <w:t>Mean vertical uncertainties are 3 km for Q1 events and 6 km for Q2 events (black and grey vertical error bar, respectively, shown at the upper left corner).</w:t>
      </w:r>
      <w:r>
        <w:rPr>
          <w:rFonts w:ascii="Cambria" w:hAnsi="Cambria"/>
          <w:bCs/>
        </w:rPr>
        <w:t xml:space="preserve"> </w:t>
      </w:r>
      <w:r>
        <w:rPr>
          <w:rFonts w:ascii="Cambria" w:hAnsi="Cambria" w:cs="TimesNewRomanPS"/>
        </w:rPr>
        <w:t xml:space="preserve">The horizontal blue lines denote the location of the </w:t>
      </w:r>
      <w:proofErr w:type="spellStart"/>
      <w:r>
        <w:rPr>
          <w:rFonts w:ascii="Cambria" w:hAnsi="Cambria" w:cs="TimesNewRomanPS"/>
        </w:rPr>
        <w:t>transpressional</w:t>
      </w:r>
      <w:proofErr w:type="spellEnd"/>
      <w:r>
        <w:rPr>
          <w:rFonts w:ascii="Cambria" w:hAnsi="Cambria" w:cs="TimesNewRomanPS"/>
        </w:rPr>
        <w:t xml:space="preserve"> flower structures. The isolines have 100</w:t>
      </w:r>
      <w:r>
        <w:rPr>
          <w:rFonts w:ascii="Cambria" w:hAnsi="Cambria"/>
          <w:sz w:val="20"/>
          <w:szCs w:val="20"/>
        </w:rPr>
        <w:sym w:font="Symbol" w:char="F0B0"/>
      </w:r>
      <w:r>
        <w:rPr>
          <w:rFonts w:ascii="Cambria" w:hAnsi="Cambria" w:cs="TimesNewRomanPS"/>
        </w:rPr>
        <w:t>C difference with the bold one representing the 600</w:t>
      </w:r>
      <w:r>
        <w:rPr>
          <w:rFonts w:ascii="Cambria" w:hAnsi="Cambria"/>
          <w:sz w:val="20"/>
          <w:szCs w:val="20"/>
        </w:rPr>
        <w:sym w:font="Symbol" w:char="F0B0"/>
      </w:r>
      <w:r>
        <w:rPr>
          <w:rFonts w:ascii="Cambria" w:hAnsi="Cambria" w:cs="TimesNewRomanPS"/>
        </w:rPr>
        <w:t>C isotherm.</w:t>
      </w:r>
    </w:p>
    <w:p w14:paraId="51DCA28C" w14:textId="77777777" w:rsidR="009B591A" w:rsidRDefault="009B591A" w:rsidP="009B591A">
      <w:pPr>
        <w:jc w:val="both"/>
        <w:rPr>
          <w:rFonts w:ascii="Cambria" w:hAnsi="Cambria" w:cs="Times New Roman"/>
          <w:sz w:val="24"/>
          <w:szCs w:val="24"/>
        </w:rPr>
      </w:pPr>
    </w:p>
    <w:p w14:paraId="1854A483" w14:textId="77777777" w:rsidR="009B591A" w:rsidRDefault="009B591A" w:rsidP="009B591A">
      <w:pPr>
        <w:jc w:val="both"/>
        <w:rPr>
          <w:rFonts w:ascii="Cambria" w:hAnsi="Cambria" w:cs="Times New Roman"/>
          <w:sz w:val="24"/>
          <w:szCs w:val="24"/>
        </w:rPr>
      </w:pPr>
    </w:p>
    <w:p w14:paraId="0237EC4B" w14:textId="77777777" w:rsidR="009B591A" w:rsidRDefault="009B591A" w:rsidP="009B591A">
      <w:pPr>
        <w:jc w:val="both"/>
        <w:rPr>
          <w:rFonts w:ascii="Cambria" w:hAnsi="Cambria" w:cs="Times New Roman"/>
          <w:sz w:val="24"/>
          <w:szCs w:val="24"/>
        </w:rPr>
      </w:pPr>
    </w:p>
    <w:p w14:paraId="36709D4A" w14:textId="243FD7B9" w:rsidR="009B591A" w:rsidRDefault="009B591A" w:rsidP="009B591A">
      <w:pPr>
        <w:spacing w:line="240" w:lineRule="auto"/>
        <w:rPr>
          <w:rFonts w:ascii="Cambria" w:hAnsi="Cambria"/>
        </w:rPr>
      </w:pPr>
      <w:r>
        <w:rPr>
          <w:rFonts w:ascii="Cambria" w:hAnsi="Cambria"/>
          <w:noProof/>
          <w:sz w:val="24"/>
          <w:szCs w:val="24"/>
        </w:rPr>
        <w:drawing>
          <wp:inline distT="0" distB="0" distL="0" distR="0" wp14:anchorId="366AC831" wp14:editId="57459A5D">
            <wp:extent cx="5721350"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1862" r="1854" b="11607"/>
                    <a:stretch>
                      <a:fillRect/>
                    </a:stretch>
                  </pic:blipFill>
                  <pic:spPr bwMode="auto">
                    <a:xfrm>
                      <a:off x="0" y="0"/>
                      <a:ext cx="5721350" cy="1866900"/>
                    </a:xfrm>
                    <a:prstGeom prst="rect">
                      <a:avLst/>
                    </a:prstGeom>
                    <a:noFill/>
                    <a:ln>
                      <a:noFill/>
                    </a:ln>
                  </pic:spPr>
                </pic:pic>
              </a:graphicData>
            </a:graphic>
          </wp:inline>
        </w:drawing>
      </w:r>
    </w:p>
    <w:p w14:paraId="194EE186" w14:textId="77777777" w:rsidR="009B591A" w:rsidRDefault="009B591A" w:rsidP="009B591A">
      <w:pPr>
        <w:spacing w:after="0" w:line="240" w:lineRule="auto"/>
        <w:jc w:val="both"/>
        <w:rPr>
          <w:rFonts w:ascii="Cambria" w:hAnsi="Cambria"/>
          <w:b/>
          <w:bCs/>
          <w:i/>
          <w:iCs/>
        </w:rPr>
      </w:pPr>
      <w:r>
        <w:rPr>
          <w:rFonts w:ascii="Cambria" w:hAnsi="Cambria"/>
          <w:b/>
          <w:bCs/>
        </w:rPr>
        <w:t>Extended Data Fig. 4 | Stress inversion results</w:t>
      </w:r>
      <w:r>
        <w:rPr>
          <w:rFonts w:ascii="Cambria" w:hAnsi="Cambria"/>
        </w:rPr>
        <w:t>. (a) Confidence intervals of the principal stresses orientation, for the 47 best quality mechanisms. (b) Principal focal mechanism, shown as lower hemisphere projection, with compression denoted by black. (c) Mohr’s circle plot showing the relative magnitudes of the principal stresses, with the positions of the faults indicated by red crosses.</w:t>
      </w:r>
    </w:p>
    <w:p w14:paraId="022EA0A9" w14:textId="77777777" w:rsidR="009B591A" w:rsidRDefault="009B591A" w:rsidP="009B591A">
      <w:pPr>
        <w:rPr>
          <w:rFonts w:ascii="Cambria" w:hAnsi="Cambria" w:cs="Times New Roman"/>
          <w:sz w:val="24"/>
          <w:szCs w:val="24"/>
        </w:rPr>
      </w:pPr>
    </w:p>
    <w:p w14:paraId="51D611BD" w14:textId="4339E657" w:rsidR="009B591A" w:rsidRDefault="009B591A" w:rsidP="009B591A">
      <w:pPr>
        <w:jc w:val="center"/>
        <w:rPr>
          <w:rFonts w:ascii="Cambria" w:hAnsi="Cambria"/>
        </w:rPr>
      </w:pPr>
      <w:r>
        <w:rPr>
          <w:rFonts w:ascii="Cambria" w:hAnsi="Cambria"/>
          <w:noProof/>
          <w:sz w:val="24"/>
          <w:szCs w:val="24"/>
        </w:rPr>
        <w:lastRenderedPageBreak/>
        <w:drawing>
          <wp:inline distT="0" distB="0" distL="0" distR="0" wp14:anchorId="398EDC30" wp14:editId="1535924A">
            <wp:extent cx="4343400" cy="217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178050"/>
                    </a:xfrm>
                    <a:prstGeom prst="rect">
                      <a:avLst/>
                    </a:prstGeom>
                    <a:noFill/>
                    <a:ln>
                      <a:noFill/>
                    </a:ln>
                  </pic:spPr>
                </pic:pic>
              </a:graphicData>
            </a:graphic>
          </wp:inline>
        </w:drawing>
      </w:r>
    </w:p>
    <w:p w14:paraId="1C736F29" w14:textId="77777777" w:rsidR="009B591A" w:rsidRDefault="009B591A" w:rsidP="009B591A">
      <w:pPr>
        <w:spacing w:after="0" w:line="240" w:lineRule="auto"/>
        <w:jc w:val="both"/>
        <w:rPr>
          <w:rFonts w:ascii="Cambria" w:hAnsi="Cambria"/>
        </w:rPr>
      </w:pPr>
      <w:r>
        <w:rPr>
          <w:rFonts w:ascii="Cambria" w:hAnsi="Cambria"/>
          <w:b/>
          <w:bCs/>
        </w:rPr>
        <w:t>Extended Data Fig. 5 |</w:t>
      </w:r>
      <w:r>
        <w:rPr>
          <w:rFonts w:ascii="Cambria" w:hAnsi="Cambria"/>
        </w:rPr>
        <w:t xml:space="preserve"> </w:t>
      </w:r>
      <w:r>
        <w:rPr>
          <w:rFonts w:ascii="Cambria" w:hAnsi="Cambria"/>
          <w:b/>
          <w:bCs/>
        </w:rPr>
        <w:t>Active source seismic profile</w:t>
      </w:r>
      <w:r>
        <w:rPr>
          <w:rFonts w:ascii="Cambria" w:hAnsi="Cambria"/>
        </w:rPr>
        <w:t xml:space="preserve">. Location map of the active source seismic profile conducted at the eastern Ridge-Transform intersection of the Chain Transform Fault aboard the French N/O </w:t>
      </w:r>
      <w:proofErr w:type="spellStart"/>
      <w:r>
        <w:rPr>
          <w:rFonts w:ascii="Cambria" w:hAnsi="Cambria"/>
        </w:rPr>
        <w:t>Pourquoi</w:t>
      </w:r>
      <w:proofErr w:type="spellEnd"/>
      <w:r>
        <w:rPr>
          <w:rFonts w:ascii="Cambria" w:hAnsi="Cambria"/>
        </w:rPr>
        <w:t>-</w:t>
      </w:r>
      <w:proofErr w:type="gramStart"/>
      <w:r>
        <w:rPr>
          <w:rFonts w:ascii="Cambria" w:hAnsi="Cambria"/>
        </w:rPr>
        <w:t>Pas?.</w:t>
      </w:r>
      <w:proofErr w:type="gramEnd"/>
    </w:p>
    <w:p w14:paraId="137C26CD" w14:textId="77777777" w:rsidR="009B591A" w:rsidRDefault="009B591A" w:rsidP="009B591A">
      <w:pPr>
        <w:spacing w:after="0" w:line="240" w:lineRule="auto"/>
        <w:jc w:val="both"/>
        <w:rPr>
          <w:rFonts w:ascii="Cambria" w:hAnsi="Cambria"/>
          <w:sz w:val="24"/>
          <w:szCs w:val="24"/>
        </w:rPr>
      </w:pPr>
    </w:p>
    <w:p w14:paraId="1CE95513" w14:textId="77777777" w:rsidR="009B591A" w:rsidRDefault="009B591A" w:rsidP="009B591A">
      <w:pPr>
        <w:jc w:val="both"/>
        <w:rPr>
          <w:rFonts w:ascii="Cambria" w:hAnsi="Cambria"/>
          <w:sz w:val="24"/>
          <w:szCs w:val="24"/>
        </w:rPr>
      </w:pPr>
    </w:p>
    <w:p w14:paraId="3E718222" w14:textId="3B1924F3" w:rsidR="009B591A" w:rsidRDefault="009B591A" w:rsidP="009B591A">
      <w:pPr>
        <w:jc w:val="center"/>
        <w:rPr>
          <w:rFonts w:ascii="Cambria" w:hAnsi="Cambria"/>
        </w:rPr>
      </w:pPr>
      <w:r>
        <w:rPr>
          <w:rFonts w:ascii="Cambria" w:hAnsi="Cambria"/>
          <w:noProof/>
          <w:sz w:val="24"/>
          <w:szCs w:val="24"/>
        </w:rPr>
        <w:drawing>
          <wp:inline distT="0" distB="0" distL="0" distR="0" wp14:anchorId="38A1F5DB" wp14:editId="34D3C429">
            <wp:extent cx="3441700" cy="412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700" cy="4127500"/>
                    </a:xfrm>
                    <a:prstGeom prst="rect">
                      <a:avLst/>
                    </a:prstGeom>
                    <a:noFill/>
                    <a:ln>
                      <a:noFill/>
                    </a:ln>
                  </pic:spPr>
                </pic:pic>
              </a:graphicData>
            </a:graphic>
          </wp:inline>
        </w:drawing>
      </w:r>
    </w:p>
    <w:p w14:paraId="239A3017" w14:textId="77777777" w:rsidR="009B591A" w:rsidRDefault="009B591A" w:rsidP="009B591A">
      <w:pPr>
        <w:spacing w:after="0" w:line="240" w:lineRule="auto"/>
        <w:jc w:val="both"/>
        <w:rPr>
          <w:rFonts w:ascii="Cambria" w:hAnsi="Cambria"/>
        </w:rPr>
      </w:pPr>
      <w:r>
        <w:rPr>
          <w:rFonts w:ascii="Cambria" w:hAnsi="Cambria"/>
          <w:b/>
          <w:bCs/>
        </w:rPr>
        <w:t>Extended Data Fig. 6 |</w:t>
      </w:r>
      <w:r>
        <w:rPr>
          <w:rFonts w:ascii="Cambria" w:hAnsi="Cambria"/>
        </w:rPr>
        <w:t xml:space="preserve"> </w:t>
      </w:r>
      <w:r>
        <w:rPr>
          <w:rFonts w:ascii="Cambria" w:hAnsi="Cambria"/>
          <w:b/>
          <w:bCs/>
        </w:rPr>
        <w:t>Tomographic inversion</w:t>
      </w:r>
      <w:r>
        <w:rPr>
          <w:rFonts w:ascii="Cambria" w:hAnsi="Cambria"/>
        </w:rPr>
        <w:t xml:space="preserve">. Results from the tomographic travel time inversion (top) seismic velocity model masked with available ray coverage; (middle) ray coverage; (bottom) cell hit counts (derivative weight sum) of the tomographic inversion. </w:t>
      </w:r>
    </w:p>
    <w:p w14:paraId="6D339EBF" w14:textId="77777777" w:rsidR="009B591A" w:rsidRDefault="009B591A" w:rsidP="009B591A">
      <w:pPr>
        <w:jc w:val="both"/>
        <w:rPr>
          <w:rFonts w:ascii="Cambria" w:hAnsi="Cambria" w:cs="Times New Roman"/>
          <w:sz w:val="24"/>
          <w:szCs w:val="24"/>
        </w:rPr>
      </w:pPr>
    </w:p>
    <w:p w14:paraId="705DEEA9" w14:textId="73C7E0A6" w:rsidR="009B591A" w:rsidRDefault="009B591A" w:rsidP="009B591A">
      <w:pPr>
        <w:autoSpaceDE w:val="0"/>
        <w:autoSpaceDN w:val="0"/>
        <w:adjustRightInd w:val="0"/>
        <w:spacing w:before="120" w:after="0" w:line="240" w:lineRule="auto"/>
        <w:jc w:val="both"/>
        <w:rPr>
          <w:rFonts w:ascii="Cambria" w:hAnsi="Cambria"/>
          <w:bCs/>
        </w:rPr>
      </w:pPr>
      <w:r>
        <w:rPr>
          <w:rFonts w:ascii="Cambria" w:hAnsi="Cambria"/>
          <w:noProof/>
        </w:rPr>
        <w:lastRenderedPageBreak/>
        <w:drawing>
          <wp:inline distT="0" distB="0" distL="0" distR="0" wp14:anchorId="386192EC" wp14:editId="4F7C6F55">
            <wp:extent cx="5264150" cy="376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4733"/>
                    <a:stretch>
                      <a:fillRect/>
                    </a:stretch>
                  </pic:blipFill>
                  <pic:spPr bwMode="auto">
                    <a:xfrm>
                      <a:off x="0" y="0"/>
                      <a:ext cx="5264150" cy="3765550"/>
                    </a:xfrm>
                    <a:prstGeom prst="rect">
                      <a:avLst/>
                    </a:prstGeom>
                    <a:noFill/>
                    <a:ln>
                      <a:noFill/>
                    </a:ln>
                  </pic:spPr>
                </pic:pic>
              </a:graphicData>
            </a:graphic>
          </wp:inline>
        </w:drawing>
      </w:r>
    </w:p>
    <w:p w14:paraId="5E99AB2D" w14:textId="77777777" w:rsidR="009B591A" w:rsidRDefault="009B591A" w:rsidP="009B591A">
      <w:pPr>
        <w:spacing w:after="0" w:line="240" w:lineRule="auto"/>
        <w:jc w:val="both"/>
        <w:rPr>
          <w:rFonts w:ascii="Cambria" w:hAnsi="Cambria"/>
        </w:rPr>
      </w:pPr>
      <w:r>
        <w:rPr>
          <w:rFonts w:ascii="Cambria" w:hAnsi="Cambria"/>
          <w:b/>
          <w:bCs/>
        </w:rPr>
        <w:t>Extended Data Fig. 7 | b-values estimation.</w:t>
      </w:r>
      <w:r>
        <w:rPr>
          <w:rFonts w:ascii="Cambria" w:hAnsi="Cambria"/>
        </w:rPr>
        <w:t xml:space="preserve"> b-value of the OBS catalogue estimated by different techniques, including: MLE, maximum likelihood estimate</w:t>
      </w:r>
      <w:r>
        <w:rPr>
          <w:rFonts w:ascii="Cambria" w:hAnsi="Cambria"/>
          <w:vertAlign w:val="superscript"/>
        </w:rPr>
        <w:t>50</w:t>
      </w:r>
      <w:r>
        <w:rPr>
          <w:rFonts w:ascii="Cambria" w:hAnsi="Cambria"/>
        </w:rPr>
        <w:t>; RM, repeated medians technique</w:t>
      </w:r>
      <w:r>
        <w:rPr>
          <w:rFonts w:ascii="Cambria" w:hAnsi="Cambria"/>
          <w:vertAlign w:val="superscript"/>
        </w:rPr>
        <w:t>51</w:t>
      </w:r>
      <w:r>
        <w:rPr>
          <w:rFonts w:ascii="Cambria" w:hAnsi="Cambria"/>
        </w:rPr>
        <w:t>; b</w:t>
      </w:r>
      <w:r>
        <w:rPr>
          <w:rFonts w:ascii="Cambria" w:hAnsi="Cambria"/>
          <w:vertAlign w:val="superscript"/>
        </w:rPr>
        <w:t>+</w:t>
      </w:r>
      <w:r>
        <w:rPr>
          <w:rFonts w:ascii="Cambria" w:hAnsi="Cambria"/>
        </w:rPr>
        <w:t>, b-positive estimate</w:t>
      </w:r>
      <w:r>
        <w:rPr>
          <w:rFonts w:ascii="Cambria" w:hAnsi="Cambria"/>
          <w:vertAlign w:val="superscript"/>
        </w:rPr>
        <w:t>52</w:t>
      </w:r>
      <w:r>
        <w:rPr>
          <w:rFonts w:ascii="Cambria" w:hAnsi="Cambria"/>
        </w:rPr>
        <w:t>; b</w:t>
      </w:r>
      <w:r>
        <w:rPr>
          <w:rFonts w:ascii="Cambria" w:hAnsi="Cambria"/>
          <w:vertAlign w:val="superscript"/>
        </w:rPr>
        <w:t>+-</w:t>
      </w:r>
      <w:r>
        <w:rPr>
          <w:rFonts w:ascii="Cambria" w:hAnsi="Cambria"/>
        </w:rPr>
        <w:t>, b-positive/b-negative estimate</w:t>
      </w:r>
      <w:r>
        <w:rPr>
          <w:rFonts w:ascii="Cambria" w:hAnsi="Cambria"/>
          <w:vertAlign w:val="superscript"/>
        </w:rPr>
        <w:t>52</w:t>
      </w:r>
      <w:r>
        <w:rPr>
          <w:rFonts w:ascii="Cambria" w:hAnsi="Cambria"/>
        </w:rPr>
        <w:t xml:space="preserve">. The legend shows the mean values within the given range and their standard deviation. </w:t>
      </w:r>
    </w:p>
    <w:p w14:paraId="4848B8D6" w14:textId="77777777" w:rsidR="009B591A" w:rsidRDefault="009B591A" w:rsidP="009B591A">
      <w:pPr>
        <w:spacing w:before="120" w:line="240" w:lineRule="auto"/>
        <w:rPr>
          <w:rFonts w:ascii="Cambria" w:hAnsi="Cambria"/>
          <w:b/>
          <w:bCs/>
          <w:sz w:val="24"/>
          <w:szCs w:val="24"/>
        </w:rPr>
      </w:pPr>
    </w:p>
    <w:p w14:paraId="7817AB61" w14:textId="3ECAD6D0" w:rsidR="0069769E" w:rsidRPr="009B591A" w:rsidRDefault="00DA3CDB" w:rsidP="009B591A"/>
    <w:sectPr w:rsidR="0069769E" w:rsidRPr="009B591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A4B7A" w14:textId="77777777" w:rsidR="00DA3CDB" w:rsidRDefault="00DA3CDB">
      <w:pPr>
        <w:spacing w:after="0" w:line="240" w:lineRule="auto"/>
      </w:pPr>
      <w:r>
        <w:separator/>
      </w:r>
    </w:p>
  </w:endnote>
  <w:endnote w:type="continuationSeparator" w:id="0">
    <w:p w14:paraId="35A16C79" w14:textId="77777777" w:rsidR="00DA3CDB" w:rsidRDefault="00DA3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charset w:val="00"/>
    <w:family w:val="swiss"/>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02E3" w14:textId="77777777" w:rsidR="001611BF" w:rsidRDefault="00CF1672">
    <w:pP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C8D63F4" w14:textId="77777777" w:rsidR="001611BF" w:rsidRDefault="00DA3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3227" w14:textId="77777777" w:rsidR="00DA3CDB" w:rsidRDefault="00DA3CDB">
      <w:pPr>
        <w:spacing w:after="0" w:line="240" w:lineRule="auto"/>
      </w:pPr>
      <w:r>
        <w:separator/>
      </w:r>
    </w:p>
  </w:footnote>
  <w:footnote w:type="continuationSeparator" w:id="0">
    <w:p w14:paraId="1A9C9229" w14:textId="77777777" w:rsidR="00DA3CDB" w:rsidRDefault="00DA3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C05C9"/>
    <w:multiLevelType w:val="multilevel"/>
    <w:tmpl w:val="6B283D78"/>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2033A"/>
    <w:rsid w:val="00047DED"/>
    <w:rsid w:val="00070543"/>
    <w:rsid w:val="000B2536"/>
    <w:rsid w:val="000C0F69"/>
    <w:rsid w:val="00165147"/>
    <w:rsid w:val="001876ED"/>
    <w:rsid w:val="003060F7"/>
    <w:rsid w:val="00321246"/>
    <w:rsid w:val="0042033A"/>
    <w:rsid w:val="00447046"/>
    <w:rsid w:val="0048291B"/>
    <w:rsid w:val="004D60D4"/>
    <w:rsid w:val="0051290C"/>
    <w:rsid w:val="00592E97"/>
    <w:rsid w:val="00602846"/>
    <w:rsid w:val="006B30F7"/>
    <w:rsid w:val="00782533"/>
    <w:rsid w:val="008017D5"/>
    <w:rsid w:val="008C4B3F"/>
    <w:rsid w:val="009B591A"/>
    <w:rsid w:val="009E126A"/>
    <w:rsid w:val="00AD51E3"/>
    <w:rsid w:val="00AE7F62"/>
    <w:rsid w:val="00AF5EA1"/>
    <w:rsid w:val="00B4029B"/>
    <w:rsid w:val="00BB538C"/>
    <w:rsid w:val="00CF1672"/>
    <w:rsid w:val="00D5786A"/>
    <w:rsid w:val="00D855D6"/>
    <w:rsid w:val="00DA3CDB"/>
    <w:rsid w:val="00DA60F2"/>
    <w:rsid w:val="00DC2B42"/>
    <w:rsid w:val="00E475A5"/>
    <w:rsid w:val="00FF4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09A3"/>
  <w15:docId w15:val="{F66EB1D5-41C0-4603-8FE0-508B52FD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E126A"/>
    <w:pPr>
      <w:ind w:left="720"/>
      <w:contextualSpacing/>
    </w:pPr>
  </w:style>
  <w:style w:type="table" w:styleId="TableGrid">
    <w:name w:val="Table Grid"/>
    <w:basedOn w:val="TableNormal"/>
    <w:uiPriority w:val="39"/>
    <w:unhideWhenUsed/>
    <w:rsid w:val="00D855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145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ED5E002-CC1A-44DE-9506-6EFBD01F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Konstantinos Leptokaropoulos</cp:lastModifiedBy>
  <cp:revision>29</cp:revision>
  <dcterms:created xsi:type="dcterms:W3CDTF">2022-04-27T06:07:00Z</dcterms:created>
  <dcterms:modified xsi:type="dcterms:W3CDTF">2022-04-27T07:59:00Z</dcterms:modified>
</cp:coreProperties>
</file>