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85148" w14:textId="77777777" w:rsidR="00F6523E" w:rsidRDefault="00000000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RHODOEXPLORER PLATFORM FOR RED ALGAL GENOMICS AND WHOLE GENOME ASSEMBLIES FOR SEVERAL GRACILARIA SPECIES </w:t>
      </w:r>
    </w:p>
    <w:p w14:paraId="43632AFF" w14:textId="77777777" w:rsidR="00F6523E" w:rsidRDefault="00000000">
      <w:r>
        <w:rPr>
          <w:rFonts w:ascii="Times New Roman" w:eastAsia="Times New Roman" w:hAnsi="Times New Roman" w:cs="Times New Roman"/>
          <w:sz w:val="24"/>
          <w:szCs w:val="24"/>
        </w:rPr>
        <w:t>Agnieszka P. Lipinska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1,3#,*</w:t>
      </w:r>
      <w:r>
        <w:rPr>
          <w:rFonts w:ascii="Times New Roman" w:eastAsia="Times New Roman" w:hAnsi="Times New Roman" w:cs="Times New Roman"/>
          <w:sz w:val="24"/>
          <w:szCs w:val="24"/>
        </w:rPr>
        <w:t>, Stacy  A. Krueger-Hadfield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2,#,*,!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Olivier Godfroy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 Simon Dittami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Lígia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Ayres-Os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trock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4,5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Guido Bonthond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Loraine Brillet-Guéguen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3,7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Susana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Coelho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Erwan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Corre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, Guillaume Cossard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, Christophe Dest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ombe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Paul Epperlein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S</w:t>
      </w:r>
      <w:r>
        <w:rPr>
          <w:rFonts w:ascii="Times New Roman" w:eastAsia="Times New Roman" w:hAnsi="Times New Roman" w:cs="Times New Roman"/>
          <w:sz w:val="24"/>
          <w:szCs w:val="24"/>
        </w:rPr>
        <w:t>ylvain Faugeron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8,9</w:t>
      </w:r>
      <w:r>
        <w:rPr>
          <w:rFonts w:ascii="Times New Roman" w:eastAsia="Times New Roman" w:hAnsi="Times New Roman" w:cs="Times New Roman"/>
          <w:sz w:val="24"/>
          <w:szCs w:val="24"/>
        </w:rPr>
        <w:t>, Elizabeth Ficko-Blea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Jessica Beltrán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8,9</w:t>
      </w:r>
      <w:r>
        <w:rPr>
          <w:rFonts w:ascii="Times New Roman" w:eastAsia="Times New Roman" w:hAnsi="Times New Roman" w:cs="Times New Roman"/>
          <w:sz w:val="24"/>
          <w:szCs w:val="24"/>
        </w:rPr>
        <w:t>, Emma Lavaut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, Arthur Le Bars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7,10</w:t>
      </w:r>
      <w:r>
        <w:rPr>
          <w:rFonts w:ascii="Times New Roman" w:eastAsia="Times New Roman" w:hAnsi="Times New Roman" w:cs="Times New Roman"/>
          <w:sz w:val="24"/>
          <w:szCs w:val="24"/>
        </w:rPr>
        <w:t>, Fabiana Marchi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, Stéphane Mauger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Gurvan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Michel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 Philippe Potin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eastAsia="Times New Roman" w:hAnsi="Times New Roman" w:cs="Times New Roman"/>
          <w:sz w:val="24"/>
          <w:szCs w:val="24"/>
        </w:rPr>
        <w:t>, Delphine Scornet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 Erik E. So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tka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Florian Weinberger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Mariana Cabral de Oliveira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, Marie-Laure Guillemin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8,13,14</w:t>
      </w:r>
      <w:r>
        <w:rPr>
          <w:rFonts w:ascii="Times New Roman" w:eastAsia="Times New Roman" w:hAnsi="Times New Roman" w:cs="Times New Roman"/>
          <w:sz w:val="24"/>
          <w:szCs w:val="24"/>
        </w:rPr>
        <w:t>, Estela M. Plastino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, Myriam Valero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8</w:t>
      </w:r>
    </w:p>
    <w:p w14:paraId="4E754B95" w14:textId="77777777" w:rsidR="00F6523E" w:rsidRDefault="00F6523E">
      <w:pPr>
        <w:rPr>
          <w:rFonts w:ascii="Times New Roman" w:eastAsia="Times New Roman" w:hAnsi="Times New Roman" w:cs="Times New Roman"/>
          <w:sz w:val="24"/>
          <w:szCs w:val="24"/>
          <w:highlight w:val="yellow"/>
          <w:vertAlign w:val="superscript"/>
        </w:rPr>
      </w:pPr>
    </w:p>
    <w:p w14:paraId="04E16FE5" w14:textId="77777777" w:rsidR="00F6523E" w:rsidRDefault="00000000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</w:rPr>
        <w:t>Department of Algal Development and Evolution, Max Planck Institute for Biology Tubingen, Tubingen, Germany</w:t>
      </w:r>
    </w:p>
    <w:p w14:paraId="578E52B9" w14:textId="77777777" w:rsidR="00F6523E" w:rsidRDefault="00000000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</w:rPr>
        <w:t>Department of Biology, University of Alabama at Birmingham, 1300 University Blvd, Birmingham, AL, 35294</w:t>
      </w:r>
    </w:p>
    <w:p w14:paraId="0A085555" w14:textId="77777777" w:rsidR="00F6523E" w:rsidRDefault="00000000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Sorbonne Université, CNRS, UMR 8227, Laboratory of Integrative Biology of Marine Models, Station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Biologique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Roscoff, Roscoff, France</w:t>
      </w:r>
    </w:p>
    <w:p w14:paraId="7CBE5459" w14:textId="77777777" w:rsidR="00F6523E" w:rsidRPr="009D4F8C" w:rsidRDefault="00000000">
      <w:pPr>
        <w:spacing w:after="160" w:line="480" w:lineRule="auto"/>
        <w:jc w:val="both"/>
        <w:rPr>
          <w:lang w:val="it-IT"/>
        </w:rPr>
      </w:pPr>
      <w:r w:rsidRPr="009D4F8C">
        <w:rPr>
          <w:rFonts w:ascii="Times New Roman" w:eastAsia="Times New Roman" w:hAnsi="Times New Roman" w:cs="Times New Roman"/>
          <w:sz w:val="24"/>
          <w:szCs w:val="24"/>
          <w:vertAlign w:val="superscript"/>
          <w:lang w:val="it-IT"/>
        </w:rPr>
        <w:t xml:space="preserve">4 </w:t>
      </w:r>
      <w:r w:rsidRPr="009D4F8C">
        <w:rPr>
          <w:rFonts w:ascii="Times New Roman" w:eastAsia="Times New Roman" w:hAnsi="Times New Roman" w:cs="Times New Roman"/>
          <w:sz w:val="24"/>
          <w:szCs w:val="24"/>
          <w:highlight w:val="white"/>
          <w:lang w:val="it-IT"/>
        </w:rPr>
        <w:t>Departamento de Botânica, Instituto de Biociências, Universidade de São Paulo, Rua do Matão 277, Cidade Universitária 05508-090, São Paulo, SP, Brasil.</w:t>
      </w:r>
    </w:p>
    <w:p w14:paraId="2CB6DC8F" w14:textId="77777777" w:rsidR="00F6523E" w:rsidRPr="009D4F8C" w:rsidRDefault="00000000">
      <w:pPr>
        <w:spacing w:line="480" w:lineRule="auto"/>
        <w:rPr>
          <w:lang w:val="it-IT"/>
        </w:rPr>
      </w:pPr>
      <w:r w:rsidRPr="009D4F8C">
        <w:rPr>
          <w:rFonts w:ascii="Times New Roman" w:eastAsia="Times New Roman" w:hAnsi="Times New Roman" w:cs="Times New Roman"/>
          <w:sz w:val="24"/>
          <w:szCs w:val="24"/>
          <w:vertAlign w:val="superscript"/>
          <w:lang w:val="it-IT"/>
        </w:rPr>
        <w:t xml:space="preserve">5 </w:t>
      </w:r>
      <w:r w:rsidRPr="009D4F8C">
        <w:rPr>
          <w:rFonts w:ascii="Times New Roman" w:eastAsia="Times New Roman" w:hAnsi="Times New Roman" w:cs="Times New Roman"/>
          <w:sz w:val="24"/>
          <w:szCs w:val="24"/>
          <w:highlight w:val="white"/>
          <w:lang w:val="it-IT"/>
        </w:rPr>
        <w:t>Hortimare - Breeding &amp; Propagating Seaweed. Altonstraat 25A 1704 CC Heerhugowaard. The Netherlands</w:t>
      </w:r>
    </w:p>
    <w:p w14:paraId="7E382819" w14:textId="77777777" w:rsidR="00F6523E" w:rsidRPr="009D4F8C" w:rsidRDefault="00000000">
      <w:pPr>
        <w:spacing w:after="160" w:line="480" w:lineRule="auto"/>
        <w:jc w:val="both"/>
        <w:rPr>
          <w:lang w:val="it-IT"/>
        </w:rPr>
      </w:pPr>
      <w:r w:rsidRPr="009D4F8C">
        <w:rPr>
          <w:rFonts w:ascii="Times New Roman" w:eastAsia="Times New Roman" w:hAnsi="Times New Roman" w:cs="Times New Roman"/>
          <w:sz w:val="24"/>
          <w:szCs w:val="24"/>
          <w:vertAlign w:val="superscript"/>
          <w:lang w:val="it-IT"/>
        </w:rPr>
        <w:t xml:space="preserve">6 </w:t>
      </w:r>
      <w:r w:rsidRPr="009D4F8C">
        <w:rPr>
          <w:rFonts w:ascii="Times New Roman" w:eastAsia="Times New Roman" w:hAnsi="Times New Roman" w:cs="Times New Roman"/>
          <w:sz w:val="24"/>
          <w:szCs w:val="24"/>
          <w:highlight w:val="white"/>
          <w:lang w:val="it-IT"/>
        </w:rPr>
        <w:t>Institute for Chemistry and Biology of the Marine Environment (ICBM), Carl von Ossietzky University Oldenburg, Schleusenstrasse 1, 26382, Wilhelmshaven, Germany</w:t>
      </w:r>
    </w:p>
    <w:p w14:paraId="4B67323B" w14:textId="77777777" w:rsidR="00F6523E" w:rsidRPr="009D4F8C" w:rsidRDefault="00000000">
      <w:pPr>
        <w:spacing w:after="160" w:line="480" w:lineRule="auto"/>
        <w:jc w:val="both"/>
        <w:rPr>
          <w:lang w:val="fr-FR"/>
        </w:rPr>
      </w:pPr>
      <w:r w:rsidRPr="009D4F8C">
        <w:rPr>
          <w:rFonts w:ascii="Times New Roman" w:eastAsia="Times New Roman" w:hAnsi="Times New Roman" w:cs="Times New Roman"/>
          <w:sz w:val="24"/>
          <w:szCs w:val="24"/>
          <w:vertAlign w:val="superscript"/>
          <w:lang w:val="fr-FR"/>
        </w:rPr>
        <w:t xml:space="preserve">7 </w:t>
      </w:r>
      <w:r w:rsidRPr="009D4F8C">
        <w:rPr>
          <w:rFonts w:ascii="Times New Roman" w:eastAsia="Times New Roman" w:hAnsi="Times New Roman" w:cs="Times New Roman"/>
          <w:sz w:val="24"/>
          <w:szCs w:val="24"/>
          <w:lang w:val="fr-FR"/>
        </w:rPr>
        <w:t>CNRS, Sorbonne Université, FR2424, ABiMS-IFB, Station Biologique, 29680, Roscoff, France</w:t>
      </w:r>
    </w:p>
    <w:p w14:paraId="50FED1AE" w14:textId="77777777" w:rsidR="00F6523E" w:rsidRPr="009D4F8C" w:rsidRDefault="00000000">
      <w:pPr>
        <w:spacing w:after="160" w:line="480" w:lineRule="auto"/>
        <w:jc w:val="both"/>
        <w:rPr>
          <w:lang w:val="fr-FR"/>
        </w:rPr>
      </w:pPr>
      <w:r w:rsidRPr="009D4F8C">
        <w:rPr>
          <w:rFonts w:ascii="Times New Roman" w:eastAsia="Times New Roman" w:hAnsi="Times New Roman" w:cs="Times New Roman"/>
          <w:sz w:val="24"/>
          <w:szCs w:val="24"/>
          <w:vertAlign w:val="superscript"/>
          <w:lang w:val="fr-FR"/>
        </w:rPr>
        <w:t xml:space="preserve">8 </w:t>
      </w:r>
      <w:r w:rsidRPr="009D4F8C">
        <w:rPr>
          <w:rFonts w:ascii="Times New Roman" w:eastAsia="Times New Roman" w:hAnsi="Times New Roman" w:cs="Times New Roman"/>
          <w:sz w:val="24"/>
          <w:szCs w:val="24"/>
          <w:lang w:val="fr-FR"/>
        </w:rPr>
        <w:t>CNRS, Sorbonne Université, Pontificia Universidad Católica de Chile, Universidad Austral de Chile, IRL 3614, Evolutionary Biology and Ecology of Algae, Station Biologique de Roscoff, CS 90074, F-29688 Roscoff, France</w:t>
      </w:r>
    </w:p>
    <w:p w14:paraId="5ABEEEA7" w14:textId="77777777" w:rsidR="00F6523E" w:rsidRPr="009D4F8C" w:rsidRDefault="00000000">
      <w:pPr>
        <w:spacing w:after="160" w:line="480" w:lineRule="auto"/>
        <w:jc w:val="both"/>
        <w:rPr>
          <w:lang w:val="fr-FR"/>
        </w:rPr>
      </w:pPr>
      <w:r w:rsidRPr="009D4F8C">
        <w:rPr>
          <w:rFonts w:ascii="Times New Roman" w:eastAsia="Times New Roman" w:hAnsi="Times New Roman" w:cs="Times New Roman"/>
          <w:sz w:val="24"/>
          <w:szCs w:val="24"/>
          <w:vertAlign w:val="superscript"/>
          <w:lang w:val="fr-FR"/>
        </w:rPr>
        <w:lastRenderedPageBreak/>
        <w:t xml:space="preserve">9 </w:t>
      </w:r>
      <w:r w:rsidRPr="009D4F8C">
        <w:rPr>
          <w:rFonts w:ascii="Times New Roman" w:eastAsia="Times New Roman" w:hAnsi="Times New Roman" w:cs="Times New Roman"/>
          <w:sz w:val="24"/>
          <w:szCs w:val="24"/>
          <w:highlight w:val="white"/>
          <w:lang w:val="fr-FR"/>
        </w:rPr>
        <w:t>Núcleo Milenio MASH, Facultad de Ciencias Biológicas, Pontificia Universidad Católica de Chile, Santiago, Chile</w:t>
      </w:r>
    </w:p>
    <w:p w14:paraId="69D672D4" w14:textId="77777777" w:rsidR="00F6523E" w:rsidRPr="009D4F8C" w:rsidRDefault="00000000">
      <w:pPr>
        <w:spacing w:line="480" w:lineRule="auto"/>
        <w:rPr>
          <w:lang w:val="fr-FR"/>
        </w:rPr>
      </w:pPr>
      <w:r w:rsidRPr="009D4F8C">
        <w:rPr>
          <w:rFonts w:ascii="Times New Roman" w:eastAsia="Times New Roman" w:hAnsi="Times New Roman" w:cs="Times New Roman"/>
          <w:sz w:val="24"/>
          <w:szCs w:val="24"/>
          <w:vertAlign w:val="superscript"/>
          <w:lang w:val="fr-FR"/>
        </w:rPr>
        <w:t xml:space="preserve">10 </w:t>
      </w:r>
      <w:r w:rsidRPr="009D4F8C">
        <w:rPr>
          <w:rFonts w:ascii="Times New Roman" w:eastAsia="Times New Roman" w:hAnsi="Times New Roman" w:cs="Times New Roman"/>
          <w:sz w:val="24"/>
          <w:szCs w:val="24"/>
          <w:lang w:val="fr-FR"/>
        </w:rPr>
        <w:t>CNRS, Institut Français de Bioinformatique, IFB-core, UMS 3601, Évry, France</w:t>
      </w:r>
    </w:p>
    <w:p w14:paraId="63001A03" w14:textId="77777777" w:rsidR="00F6523E" w:rsidRDefault="00000000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11 </w:t>
      </w:r>
      <w:r>
        <w:rPr>
          <w:rFonts w:ascii="Times New Roman" w:eastAsia="Times New Roman" w:hAnsi="Times New Roman" w:cs="Times New Roman"/>
          <w:sz w:val="24"/>
          <w:szCs w:val="24"/>
        </w:rPr>
        <w:t>Department of Biology, College of Charleston, Charleston SC 29412</w:t>
      </w:r>
    </w:p>
    <w:p w14:paraId="15F2CD9E" w14:textId="77777777" w:rsidR="00F6523E" w:rsidRPr="009D4F8C" w:rsidRDefault="00000000">
      <w:pPr>
        <w:spacing w:after="160" w:line="480" w:lineRule="auto"/>
        <w:jc w:val="both"/>
        <w:rPr>
          <w:lang w:val="de-DE"/>
        </w:rPr>
      </w:pPr>
      <w:r w:rsidRPr="009D4F8C"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  <w:lang w:val="de-DE"/>
        </w:rPr>
        <w:t>12</w:t>
      </w:r>
      <w:r w:rsidRPr="009D4F8C">
        <w:rPr>
          <w:rFonts w:ascii="Times New Roman" w:eastAsia="Times New Roman" w:hAnsi="Times New Roman" w:cs="Times New Roman"/>
          <w:sz w:val="24"/>
          <w:szCs w:val="24"/>
          <w:highlight w:val="white"/>
          <w:lang w:val="de-DE"/>
        </w:rPr>
        <w:t xml:space="preserve"> GEOMAR Helmholtz-Zentrum für Ozeanforschung, Marine Ecology Division, Düsternbrooker Weg 20, 24105 Kiel, Germany</w:t>
      </w:r>
    </w:p>
    <w:p w14:paraId="1EC6E8CA" w14:textId="77777777" w:rsidR="00F6523E" w:rsidRPr="009D4F8C" w:rsidRDefault="00000000">
      <w:pPr>
        <w:spacing w:after="160" w:line="480" w:lineRule="auto"/>
        <w:jc w:val="both"/>
        <w:rPr>
          <w:lang w:val="de-DE"/>
        </w:rPr>
      </w:pPr>
      <w:r w:rsidRPr="009D4F8C">
        <w:rPr>
          <w:rFonts w:ascii="Times New Roman" w:eastAsia="Times New Roman" w:hAnsi="Times New Roman" w:cs="Times New Roman"/>
          <w:sz w:val="24"/>
          <w:szCs w:val="24"/>
          <w:vertAlign w:val="superscript"/>
          <w:lang w:val="de-DE"/>
        </w:rPr>
        <w:t xml:space="preserve">13 </w:t>
      </w:r>
      <w:r w:rsidRPr="009D4F8C">
        <w:rPr>
          <w:rFonts w:ascii="Times New Roman" w:eastAsia="Times New Roman" w:hAnsi="Times New Roman" w:cs="Times New Roman"/>
          <w:sz w:val="24"/>
          <w:szCs w:val="24"/>
          <w:highlight w:val="white"/>
          <w:lang w:val="de-DE"/>
        </w:rPr>
        <w:t xml:space="preserve">Núcleo Milenio MASH, </w:t>
      </w:r>
      <w:r w:rsidRPr="009D4F8C">
        <w:rPr>
          <w:rFonts w:ascii="Times New Roman" w:eastAsia="Times New Roman" w:hAnsi="Times New Roman" w:cs="Times New Roman"/>
          <w:sz w:val="24"/>
          <w:szCs w:val="24"/>
          <w:lang w:val="de-DE"/>
        </w:rPr>
        <w:t>Facultad de Ciencias, Instituto de Ciencias Ambientales y Evolutivas, Universidad Austral de Chile, Casilla 567, Valdivia, Chile</w:t>
      </w:r>
    </w:p>
    <w:p w14:paraId="4FDD3E4F" w14:textId="77777777" w:rsidR="00F6523E" w:rsidRPr="009D4F8C" w:rsidRDefault="00000000">
      <w:pPr>
        <w:spacing w:after="160" w:line="480" w:lineRule="auto"/>
        <w:jc w:val="both"/>
        <w:rPr>
          <w:lang w:val="de-DE"/>
        </w:rPr>
      </w:pPr>
      <w:r w:rsidRPr="009D4F8C">
        <w:rPr>
          <w:rFonts w:ascii="Times New Roman" w:eastAsia="Times New Roman" w:hAnsi="Times New Roman" w:cs="Times New Roman"/>
          <w:sz w:val="24"/>
          <w:szCs w:val="24"/>
          <w:vertAlign w:val="superscript"/>
          <w:lang w:val="de-DE"/>
        </w:rPr>
        <w:t xml:space="preserve">14 </w:t>
      </w:r>
      <w:r w:rsidRPr="009D4F8C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Centro FONDAP de Investigación de Ecosistemas Marinos de Altas Latitudes (IDEAL), </w:t>
      </w:r>
      <w:r w:rsidRPr="009D4F8C">
        <w:rPr>
          <w:rFonts w:ascii="Times New Roman" w:eastAsia="Times New Roman" w:hAnsi="Times New Roman" w:cs="Times New Roman"/>
          <w:sz w:val="24"/>
          <w:szCs w:val="24"/>
          <w:highlight w:val="white"/>
          <w:lang w:val="de-DE"/>
        </w:rPr>
        <w:t>Valdivia, Chile</w:t>
      </w:r>
    </w:p>
    <w:p w14:paraId="75AC4DFD" w14:textId="77777777" w:rsidR="00F6523E" w:rsidRPr="009D4F8C" w:rsidRDefault="00F6523E">
      <w:pPr>
        <w:spacing w:after="16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de-DE"/>
        </w:rPr>
      </w:pPr>
    </w:p>
    <w:p w14:paraId="6E38D553" w14:textId="77777777" w:rsidR="00F6523E" w:rsidRDefault="00000000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vertAlign w:val="superscript"/>
        </w:rPr>
        <w:t>#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Shared first authors</w:t>
      </w:r>
    </w:p>
    <w:p w14:paraId="155CB915" w14:textId="77777777" w:rsidR="00F6523E" w:rsidRDefault="00000000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! Current address: Virginia Institute of Marine Science, Eastern Shore Laboratory, 40 Atlantic Ave,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Wachapreague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VA 23480, </w:t>
      </w:r>
      <w:hyperlink r:id="rId7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sakh@vims.edu</w:t>
        </w:r>
      </w:hyperlink>
    </w:p>
    <w:p w14:paraId="21350BB6" w14:textId="77777777" w:rsidR="00F6523E" w:rsidRDefault="00000000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 Authors for correspondence: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Agnieszka P.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Lipinska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Department of Algal Development and Evolution, Max Planck Institute for Developmental Biology,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Tuebingen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Germany, +49-7071-601-1370, </w:t>
      </w:r>
      <w:hyperlink r:id="rId8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alipinska@tuebingen.mpg.de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Stacy A. Krueger-Hadfield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partment of Biology, University of Alabama at Birmingham, 1300 University Blvd, Birmingham, AL, 35294, +1-205-934-6034, </w:t>
      </w:r>
      <w:hyperlink r:id="rId9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sakh@uab.edu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&amp; Virginia Institute of Marine Science, Eastern Shore Laboratory, 40 Atlantic Ave,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Wachapreague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VA 23480, </w:t>
      </w:r>
      <w:hyperlink r:id="rId10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sakh@vims.edu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B0EF79F" w14:textId="77777777" w:rsidR="00F6523E" w:rsidRDefault="00000000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83E5292" w14:textId="77777777" w:rsidR="00F6523E" w:rsidRDefault="00F6523E">
      <w:pPr>
        <w:spacing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</w:p>
    <w:p w14:paraId="69F293A3" w14:textId="77777777" w:rsidR="00F6523E" w:rsidRDefault="00000000">
      <w:pPr>
        <w:spacing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SUPPLEMENTARY MATERIAL</w:t>
      </w:r>
    </w:p>
    <w:p w14:paraId="1A16C3F0" w14:textId="77777777" w:rsidR="00F6523E" w:rsidRDefault="00000000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Supplementary Figure S1: Life cycle of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Gracilaria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sdt>
      <w:sdtPr>
        <w:tag w:val="goog_rdk_2"/>
        <w:id w:val="-986475065"/>
      </w:sdtPr>
      <w:sdtContent>
        <w:p w14:paraId="76677AFE" w14:textId="77777777" w:rsidR="00F6523E" w:rsidRDefault="00000000">
          <w:pPr>
            <w:spacing w:before="220" w:line="479" w:lineRule="auto"/>
          </w:pPr>
          <w:sdt>
            <w:sdtPr>
              <w:tag w:val="goog_rdk_1"/>
              <w:id w:val="-1240942889"/>
            </w:sdtPr>
            <w:sdtContent>
              <w:r>
                <w:t xml:space="preserve">Supplementary Figure S2: Venn diagram of shared and species-specific </w:t>
              </w:r>
              <w:proofErr w:type="spellStart"/>
              <w:r>
                <w:t>orthogroups</w:t>
              </w:r>
              <w:proofErr w:type="spellEnd"/>
              <w:r>
                <w:t>.</w:t>
              </w:r>
            </w:sdtContent>
          </w:sdt>
        </w:p>
      </w:sdtContent>
    </w:sdt>
    <w:p w14:paraId="7AE653F0" w14:textId="77777777" w:rsidR="00F6523E" w:rsidRDefault="00F6523E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30j0zll" w:colFirst="0" w:colLast="0"/>
      <w:bookmarkEnd w:id="1"/>
    </w:p>
    <w:p w14:paraId="712F0D27" w14:textId="77777777" w:rsidR="00F6523E" w:rsidRDefault="00000000">
      <w:pPr>
        <w:spacing w:line="48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Fig. S1. Life cycle of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Gracilaria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life cycle consists of an alternation between haploid dioecious gametophytes and a diploid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tetrasporophyte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tetrasporophyte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produces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meiospores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through meiosis, which develop as gametophytes after release. The sex of the gametophytes is determined by haploid sex chromosomes (UV system). Spores that receive the V sex chromosome develop as male gametophytes whereas spores that carry U chromosome will produce female gametophytes. After fertilization, the zygote develops within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carposporophyte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the female gametophyte and is mitotically amplified—producing thousands of diploid carpospores that after release will give rise to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tetrasporophytes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dt>
      <w:sdtPr>
        <w:tag w:val="goog_rdk_5"/>
        <w:id w:val="-494029129"/>
      </w:sdtPr>
      <w:sdtContent>
        <w:p w14:paraId="351891D2" w14:textId="77777777" w:rsidR="00F6523E" w:rsidRDefault="00000000">
          <w:pPr>
            <w:spacing w:before="220" w:line="479" w:lineRule="auto"/>
          </w:pPr>
          <w:sdt>
            <w:sdtPr>
              <w:tag w:val="goog_rdk_4"/>
              <w:id w:val="1696960807"/>
            </w:sdtPr>
            <w:sdtContent>
              <w:r>
                <w:t xml:space="preserve">Fig. S2. Venn diagram of shared and species-specific </w:t>
              </w:r>
              <w:proofErr w:type="spellStart"/>
              <w:r>
                <w:t>orthogroups</w:t>
              </w:r>
              <w:proofErr w:type="spellEnd"/>
              <w:r>
                <w:t xml:space="preserve"> and orphan genes among the four sequenced </w:t>
              </w:r>
              <w:proofErr w:type="spellStart"/>
              <w:r>
                <w:t>Gracilaria</w:t>
              </w:r>
              <w:proofErr w:type="spellEnd"/>
              <w:r>
                <w:t xml:space="preserve"> species.</w:t>
              </w:r>
            </w:sdtContent>
          </w:sdt>
        </w:p>
      </w:sdtContent>
    </w:sdt>
    <w:p w14:paraId="0A9EFA7C" w14:textId="77777777" w:rsidR="00F6523E" w:rsidRDefault="00F6523E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FC2EAE" w14:textId="77777777" w:rsidR="00F6523E" w:rsidRDefault="00000000">
      <w:pPr>
        <w:spacing w:line="480" w:lineRule="auto"/>
      </w:pPr>
      <w:bookmarkStart w:id="2" w:name="_heading=h.1fob9te" w:colFirst="0" w:colLast="0"/>
      <w:bookmarkEnd w:id="2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Supplementary Figure S1: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Life cycle of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Gracilaria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noProof/>
        </w:rPr>
        <w:drawing>
          <wp:anchor distT="0" distB="0" distL="0" distR="0" simplePos="0" relativeHeight="251658240" behindDoc="0" locked="0" layoutInCell="1" hidden="0" allowOverlap="1" wp14:anchorId="3DC5EC01" wp14:editId="6CFBBB4D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5943600" cy="4160520"/>
            <wp:effectExtent l="0" t="0" r="0" b="0"/>
            <wp:wrapSquare wrapText="bothSides" distT="0" distB="0" distL="0" distR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60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8979590" w14:textId="77777777" w:rsidR="00F6523E" w:rsidRDefault="00000000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114300" distB="114300" distL="114300" distR="114300" wp14:anchorId="104D6A1E" wp14:editId="04ECBF2B">
            <wp:extent cx="5943600" cy="3492500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9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A5192AC" w14:textId="77777777" w:rsidR="00F6523E" w:rsidRDefault="00000000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Supplementary Figure S2: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Venn diagram of shared and species-specific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orthogroups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74B6C3" w14:textId="77777777" w:rsidR="00F6523E" w:rsidRDefault="00F6523E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942E5B" w14:textId="77777777" w:rsidR="00F6523E" w:rsidRDefault="00F6523E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C338E4" w14:textId="77777777" w:rsidR="00F6523E" w:rsidRDefault="00F6523E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6A68E1" w14:textId="77777777" w:rsidR="00F6523E" w:rsidRDefault="00F6523E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4668DE" w14:textId="77777777" w:rsidR="00F6523E" w:rsidRDefault="00F6523E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31BA21" w14:textId="77777777" w:rsidR="00F6523E" w:rsidRDefault="00F6523E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BE67A5" w14:textId="77777777" w:rsidR="00F6523E" w:rsidRDefault="00F6523E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9AEEBE" w14:textId="77777777" w:rsidR="00F6523E" w:rsidRDefault="00F6523E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6523E">
      <w:headerReference w:type="default" r:id="rId13"/>
      <w:footerReference w:type="default" r:id="rId14"/>
      <w:footerReference w:type="first" r:id="rId15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C7404" w14:textId="77777777" w:rsidR="00945479" w:rsidRDefault="00945479">
      <w:pPr>
        <w:spacing w:line="240" w:lineRule="auto"/>
      </w:pPr>
      <w:r>
        <w:separator/>
      </w:r>
    </w:p>
  </w:endnote>
  <w:endnote w:type="continuationSeparator" w:id="0">
    <w:p w14:paraId="46E6AAB2" w14:textId="77777777" w:rsidR="00945479" w:rsidRDefault="009454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Mono">
    <w:panose1 w:val="00000000000000000000"/>
    <w:charset w:val="00"/>
    <w:family w:val="roman"/>
    <w:notTrueType/>
    <w:pitch w:val="default"/>
  </w:font>
  <w:font w:name="OpenSymbol">
    <w:altName w:val="Cambria"/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CEA7B" w14:textId="77777777" w:rsidR="00F6523E" w:rsidRDefault="00000000">
    <w:pPr>
      <w:jc w:val="right"/>
    </w:pPr>
    <w:r>
      <w:fldChar w:fldCharType="begin"/>
    </w:r>
    <w:r>
      <w:instrText>PAGE</w:instrText>
    </w:r>
    <w:r>
      <w:fldChar w:fldCharType="separate"/>
    </w:r>
    <w:r w:rsidR="009D4F8C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64B20" w14:textId="77777777" w:rsidR="00F6523E" w:rsidRDefault="00F652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0FBCB" w14:textId="77777777" w:rsidR="00945479" w:rsidRDefault="00945479">
      <w:pPr>
        <w:spacing w:line="240" w:lineRule="auto"/>
      </w:pPr>
      <w:r>
        <w:separator/>
      </w:r>
    </w:p>
  </w:footnote>
  <w:footnote w:type="continuationSeparator" w:id="0">
    <w:p w14:paraId="6637385E" w14:textId="77777777" w:rsidR="00945479" w:rsidRDefault="009454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7B5C6" w14:textId="77777777" w:rsidR="00F6523E" w:rsidRDefault="00F6523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3E"/>
    <w:rsid w:val="00945479"/>
    <w:rsid w:val="009D4F8C"/>
    <w:rsid w:val="00F6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41416"/>
  <w15:docId w15:val="{7F0F6EA9-48FB-43AB-A22D-DEC6F9E58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character" w:customStyle="1" w:styleId="CommentTextChar">
    <w:name w:val="Comment Text Char"/>
    <w:basedOn w:val="DefaultParagraphFont"/>
    <w:qFormat/>
    <w:rPr>
      <w:sz w:val="20"/>
      <w:szCs w:val="20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character" w:customStyle="1" w:styleId="CommentSubjectChar">
    <w:name w:val="Comment Subject Char"/>
    <w:basedOn w:val="CommentTextChar"/>
    <w:qFormat/>
    <w:rPr>
      <w:b/>
      <w:bCs/>
      <w:sz w:val="20"/>
      <w:szCs w:val="20"/>
    </w:rPr>
  </w:style>
  <w:style w:type="character" w:styleId="LineNumber">
    <w:name w:val="line number"/>
    <w:basedOn w:val="DefaultParagraphFont"/>
    <w:qFormat/>
  </w:style>
  <w:style w:type="character" w:customStyle="1" w:styleId="LienInternet">
    <w:name w:val="Lien Internet"/>
    <w:basedOn w:val="DefaultParagraphFont"/>
    <w:qFormat/>
    <w:rPr>
      <w:color w:val="0000FF"/>
      <w:u w:val="single"/>
    </w:rPr>
  </w:style>
  <w:style w:type="character" w:customStyle="1" w:styleId="UnresolvedMention1">
    <w:name w:val="Unresolved Mention1"/>
    <w:basedOn w:val="DefaultParagraphFont"/>
    <w:qFormat/>
    <w:rPr>
      <w:color w:val="605E5C"/>
      <w:highlight w:val="lightGray"/>
    </w:rPr>
  </w:style>
  <w:style w:type="character" w:styleId="Emphasis">
    <w:name w:val="Emphasis"/>
    <w:basedOn w:val="DefaultParagraphFont"/>
    <w:qFormat/>
    <w:rPr>
      <w:i/>
      <w:iCs/>
    </w:rPr>
  </w:style>
  <w:style w:type="character" w:customStyle="1" w:styleId="BalloonTextChar">
    <w:name w:val="Balloon Text Char"/>
    <w:basedOn w:val="DefaultParagraphFont"/>
    <w:qFormat/>
    <w:rPr>
      <w:rFonts w:ascii="Times New Roman" w:hAnsi="Times New Roman" w:cs="Times New Roman"/>
      <w:sz w:val="18"/>
      <w:szCs w:val="18"/>
    </w:rPr>
  </w:style>
  <w:style w:type="character" w:customStyle="1" w:styleId="LienInternetvisit">
    <w:name w:val="Lien Internet visité"/>
    <w:basedOn w:val="DefaultParagraphFont"/>
    <w:qFormat/>
    <w:rPr>
      <w:color w:val="800080"/>
      <w:u w:val="single"/>
    </w:rPr>
  </w:style>
  <w:style w:type="character" w:customStyle="1" w:styleId="LineNumbering">
    <w:name w:val="Line Numbering"/>
  </w:style>
  <w:style w:type="character" w:customStyle="1" w:styleId="FootnoteTextChar">
    <w:name w:val="Footnote Text Char"/>
    <w:basedOn w:val="DefaultParagraphFont"/>
    <w:qFormat/>
    <w:rPr>
      <w:szCs w:val="20"/>
    </w:rPr>
  </w:style>
  <w:style w:type="character" w:customStyle="1" w:styleId="FootnoteCharacters">
    <w:name w:val="Footnote Characters"/>
    <w:basedOn w:val="DefaultParagraphFont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Numrotationdelignes">
    <w:name w:val="Numérotation de lignes"/>
    <w:qFormat/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qFormat/>
    <w:rPr>
      <w:vertAlign w:val="superscript"/>
    </w:rPr>
  </w:style>
  <w:style w:type="character" w:customStyle="1" w:styleId="Textesource">
    <w:name w:val="Texte source"/>
    <w:qFormat/>
    <w:rPr>
      <w:rFonts w:ascii="Liberation Mono" w:eastAsia="Liberation Mono" w:hAnsi="Liberation Mono" w:cs="Liberation Mono"/>
    </w:rPr>
  </w:style>
  <w:style w:type="character" w:customStyle="1" w:styleId="Citation1">
    <w:name w:val="Citation1"/>
    <w:qFormat/>
    <w:rPr>
      <w:i/>
      <w:iCs/>
    </w:rPr>
  </w:style>
  <w:style w:type="character" w:customStyle="1" w:styleId="Ancredenotedefin">
    <w:name w:val="Ancre de note de fin"/>
    <w:qFormat/>
    <w:rPr>
      <w:vertAlign w:val="superscript"/>
    </w:rPr>
  </w:style>
  <w:style w:type="character" w:customStyle="1" w:styleId="Caractresdenotedefin">
    <w:name w:val="Caractères de note de fin"/>
    <w:qFormat/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qFormat/>
    <w:rPr>
      <w:color w:val="605E5C"/>
      <w:highlight w:val="lightGray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Titre1">
    <w:name w:val="Titre1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styleId="NormalWeb">
    <w:name w:val="Normal (Web)"/>
    <w:basedOn w:val="Normal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qFormat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paragraph" w:styleId="Revision">
    <w:name w:val="Revision"/>
    <w:qFormat/>
  </w:style>
  <w:style w:type="paragraph" w:customStyle="1" w:styleId="En-tteetpieddepage">
    <w:name w:val="En-tête et pied de page"/>
    <w:basedOn w:val="Normal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En-tteetpieddepage"/>
    <w:pPr>
      <w:suppressLineNumbers/>
    </w:pPr>
  </w:style>
  <w:style w:type="paragraph" w:styleId="Footer">
    <w:name w:val="footer"/>
    <w:basedOn w:val="En-tteetpieddepage"/>
    <w:pPr>
      <w:suppressLineNumbers/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FootnoteText">
    <w:name w:val="footnote text"/>
    <w:basedOn w:val="Normal"/>
    <w:pPr>
      <w:spacing w:line="240" w:lineRule="auto"/>
    </w:pPr>
    <w:rPr>
      <w:sz w:val="20"/>
      <w:szCs w:val="20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pinska@tuebingen.mpg.d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kh@vims.edu" TargetMode="External"/><Relationship Id="rId12" Type="http://schemas.openxmlformats.org/officeDocument/2006/relationships/image" Target="media/image2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sakh@vims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kh@uab.ed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0bfstyXTBnctO6RCWnn0iFYFyw==">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567</Words>
  <Characters>3800</Characters>
  <Application>Microsoft Office Word</Application>
  <DocSecurity>0</DocSecurity>
  <Lines>77</Lines>
  <Paragraphs>31</Paragraphs>
  <ScaleCrop>false</ScaleCrop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Dittami</dc:creator>
  <cp:lastModifiedBy>Maud Swanson</cp:lastModifiedBy>
  <cp:revision>2</cp:revision>
  <dcterms:created xsi:type="dcterms:W3CDTF">2023-06-30T10:31:00Z</dcterms:created>
  <dcterms:modified xsi:type="dcterms:W3CDTF">2023-06-30T10:31:00Z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_documentContext">
    <vt:lpwstr>{"goals":[],"domain":"general","emotions":[],"dialect":"american"}</vt:lpwstr>
  </property>
  <property fmtid="{D5CDD505-2E9C-101B-9397-08002B2CF9AE}" pid="10" name="grammarly_documentId">
    <vt:lpwstr>documentId_4766</vt:lpwstr>
  </property>
  <property fmtid="{D5CDD505-2E9C-101B-9397-08002B2CF9AE}" pid="11" name="GrammarlyDocumentId">
    <vt:lpwstr>7267bb0378d6b1d6fead975a234fa01fb8fb8bc4b85aadd70e5da12e05598c3b</vt:lpwstr>
  </property>
</Properties>
</file>