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D0F6686" w14:textId="26510136" w:rsidR="00504A76" w:rsidRPr="008A09BE" w:rsidRDefault="00034C8D" w:rsidP="00504A76">
      <w:pPr>
        <w:pStyle w:val="Title"/>
      </w:pPr>
      <w:r>
        <w:t>A n</w:t>
      </w:r>
      <w:r w:rsidR="00504A76" w:rsidRPr="008A09BE">
        <w:t xml:space="preserve">ovel in-vivo phagocytosis assay to gain cellular insights on sponge-microbe </w:t>
      </w:r>
      <w:proofErr w:type="gramStart"/>
      <w:r w:rsidR="00504A76" w:rsidRPr="008A09BE">
        <w:t>interactions</w:t>
      </w:r>
      <w:proofErr w:type="gramEnd"/>
    </w:p>
    <w:p w14:paraId="62696181" w14:textId="12102ED3" w:rsidR="00D21FFE" w:rsidRPr="00E621F4" w:rsidRDefault="00D21FFE" w:rsidP="00D21FFE">
      <w:pPr>
        <w:pStyle w:val="AuthorList"/>
        <w:rPr>
          <w:vertAlign w:val="superscript"/>
          <w:lang w:val="es-CO"/>
        </w:rPr>
      </w:pPr>
      <w:r w:rsidRPr="00E621F4">
        <w:rPr>
          <w:lang w:val="es-CO"/>
        </w:rPr>
        <w:t xml:space="preserve">Angela M. Marulanda-Gomez, Kristina </w:t>
      </w:r>
      <w:proofErr w:type="gramStart"/>
      <w:r w:rsidRPr="00E621F4">
        <w:rPr>
          <w:lang w:val="es-CO"/>
        </w:rPr>
        <w:t>Bayer ,</w:t>
      </w:r>
      <w:proofErr w:type="gramEnd"/>
      <w:r w:rsidRPr="00E621F4">
        <w:rPr>
          <w:lang w:val="es-CO"/>
        </w:rPr>
        <w:t xml:space="preserve"> Lucia</w:t>
      </w:r>
      <w:r>
        <w:rPr>
          <w:lang w:val="es-CO"/>
        </w:rPr>
        <w:t xml:space="preserve"> </w:t>
      </w:r>
      <w:r w:rsidRPr="00E621F4">
        <w:rPr>
          <w:lang w:val="es-CO"/>
        </w:rPr>
        <w:t>Pita</w:t>
      </w:r>
      <w:r w:rsidR="00D379D7">
        <w:rPr>
          <w:lang w:val="es-CO"/>
        </w:rPr>
        <w:t>*</w:t>
      </w:r>
      <w:r w:rsidRPr="00E621F4">
        <w:rPr>
          <w:lang w:val="es-CO"/>
        </w:rPr>
        <w:t xml:space="preserve">, </w:t>
      </w:r>
      <w:r>
        <w:rPr>
          <w:lang w:val="es-CO"/>
        </w:rPr>
        <w:t xml:space="preserve">Ute </w:t>
      </w:r>
      <w:r w:rsidRPr="00E621F4">
        <w:rPr>
          <w:lang w:val="es-CO"/>
        </w:rPr>
        <w:t>Hentschel</w:t>
      </w:r>
      <w:r w:rsidRPr="00E621F4">
        <w:rPr>
          <w:vertAlign w:val="superscript"/>
          <w:lang w:val="es-CO"/>
        </w:rPr>
        <w:t>*</w:t>
      </w:r>
    </w:p>
    <w:p w14:paraId="52B87676" w14:textId="77777777" w:rsidR="00D379D7" w:rsidRPr="008A09BE" w:rsidRDefault="00D379D7" w:rsidP="00D379D7">
      <w:pPr>
        <w:spacing w:before="240" w:after="0"/>
        <w:rPr>
          <w:rFonts w:cs="Times New Roman"/>
          <w:szCs w:val="24"/>
          <w:lang w:val="es-CO"/>
        </w:rPr>
      </w:pPr>
      <w:r w:rsidRPr="008A09BE">
        <w:rPr>
          <w:rFonts w:cs="Times New Roman"/>
          <w:b/>
          <w:szCs w:val="24"/>
          <w:lang w:val="es-CO"/>
        </w:rPr>
        <w:t xml:space="preserve">* Correspondence: </w:t>
      </w:r>
      <w:r w:rsidRPr="008A09BE">
        <w:rPr>
          <w:rFonts w:cs="Times New Roman"/>
          <w:b/>
          <w:szCs w:val="24"/>
          <w:lang w:val="es-CO"/>
        </w:rPr>
        <w:br/>
      </w:r>
      <w:r w:rsidRPr="008A09BE">
        <w:rPr>
          <w:rFonts w:cs="Times New Roman"/>
          <w:szCs w:val="24"/>
          <w:lang w:val="es-CO"/>
        </w:rPr>
        <w:t>Lucia Pita</w:t>
      </w:r>
      <w:r w:rsidRPr="008A09BE">
        <w:rPr>
          <w:rFonts w:cs="Times New Roman"/>
          <w:szCs w:val="24"/>
          <w:lang w:val="es-CO"/>
        </w:rPr>
        <w:br/>
      </w:r>
      <w:hyperlink r:id="rId12" w:history="1">
        <w:r w:rsidRPr="008A09BE">
          <w:rPr>
            <w:rStyle w:val="Hyperlink"/>
            <w:lang w:val="es-CO"/>
          </w:rPr>
          <w:t>luciapita@cmima.csic.es</w:t>
        </w:r>
      </w:hyperlink>
      <w:r w:rsidRPr="008A09BE">
        <w:rPr>
          <w:lang w:val="es-CO"/>
        </w:rPr>
        <w:t xml:space="preserve"> </w:t>
      </w:r>
    </w:p>
    <w:p w14:paraId="09A56FB4" w14:textId="77777777" w:rsidR="00D379D7" w:rsidRPr="008A09BE" w:rsidRDefault="00D379D7" w:rsidP="00D379D7">
      <w:pPr>
        <w:spacing w:before="240" w:after="0"/>
        <w:contextualSpacing/>
        <w:rPr>
          <w:rFonts w:cs="Times New Roman"/>
          <w:szCs w:val="24"/>
        </w:rPr>
      </w:pPr>
      <w:r w:rsidRPr="008A09BE">
        <w:rPr>
          <w:rFonts w:cs="Times New Roman"/>
          <w:szCs w:val="24"/>
        </w:rPr>
        <w:t xml:space="preserve">Ute Hentschel </w:t>
      </w:r>
      <w:r w:rsidRPr="008A09BE">
        <w:rPr>
          <w:rFonts w:cs="Times New Roman"/>
          <w:szCs w:val="24"/>
        </w:rPr>
        <w:br/>
      </w:r>
      <w:hyperlink r:id="rId13" w:history="1">
        <w:r w:rsidRPr="008A09BE">
          <w:rPr>
            <w:rStyle w:val="Hyperlink"/>
            <w:rFonts w:cs="Times New Roman"/>
            <w:szCs w:val="24"/>
          </w:rPr>
          <w:t>uhentschel@geomar.de</w:t>
        </w:r>
      </w:hyperlink>
    </w:p>
    <w:p w14:paraId="217F3AE0" w14:textId="377A5F53" w:rsidR="002868E2" w:rsidRDefault="002868E2" w:rsidP="00994A3D">
      <w:pPr>
        <w:spacing w:before="240" w:after="0"/>
        <w:rPr>
          <w:rFonts w:cs="Times New Roman"/>
        </w:rPr>
      </w:pPr>
    </w:p>
    <w:p w14:paraId="6CA7D36F" w14:textId="77777777" w:rsidR="00200C09" w:rsidRDefault="00200C09" w:rsidP="00994A3D">
      <w:pPr>
        <w:spacing w:before="240" w:after="0"/>
        <w:rPr>
          <w:rFonts w:cs="Times New Roman"/>
        </w:rPr>
      </w:pPr>
    </w:p>
    <w:p w14:paraId="3DFA068A" w14:textId="77777777" w:rsidR="00D21FFE" w:rsidRPr="00360411" w:rsidRDefault="00D21FFE" w:rsidP="00D21FFE">
      <w:pPr>
        <w:spacing w:line="360" w:lineRule="auto"/>
        <w:jc w:val="center"/>
        <w:rPr>
          <w:rFonts w:ascii="Calibri" w:eastAsia="Calibri" w:hAnsi="Calibri" w:cs="Calibri"/>
          <w:bCs/>
          <w:szCs w:val="24"/>
        </w:rPr>
      </w:pPr>
      <w:r w:rsidRPr="00360411">
        <w:rPr>
          <w:rFonts w:ascii="Calibri" w:eastAsia="Calibri" w:hAnsi="Calibri" w:cs="Calibri"/>
          <w:bCs/>
          <w:noProof/>
          <w:szCs w:val="24"/>
        </w:rPr>
        <w:drawing>
          <wp:inline distT="0" distB="0" distL="0" distR="0" wp14:anchorId="2BA811CD" wp14:editId="69BFAFB9">
            <wp:extent cx="3611880" cy="2868242"/>
            <wp:effectExtent l="19050" t="19050" r="26670" b="2794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339" cy="28725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D9C003" w14:textId="7D5E2372" w:rsidR="00D21FFE" w:rsidRPr="00D21FFE" w:rsidRDefault="00D21FFE" w:rsidP="00D21FFE">
      <w:pPr>
        <w:spacing w:before="240" w:after="0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Supplementary Figure 1</w:t>
      </w:r>
      <w:r w:rsidRPr="00D21FFE">
        <w:rPr>
          <w:rFonts w:cs="Times New Roman"/>
          <w:b/>
          <w:szCs w:val="24"/>
        </w:rPr>
        <w:t xml:space="preserve">. </w:t>
      </w:r>
      <w:r w:rsidRPr="00D21FFE">
        <w:rPr>
          <w:rFonts w:cs="Times New Roman"/>
          <w:bCs/>
          <w:szCs w:val="24"/>
        </w:rPr>
        <w:t xml:space="preserve">Relation of sponge cells recovered per g (wet weight) sponge after the cell dissociation of the individuals used for the phagocytosis assay.  </w:t>
      </w:r>
    </w:p>
    <w:p w14:paraId="49AE392A" w14:textId="77777777" w:rsidR="00D21FFE" w:rsidRDefault="00D21FFE" w:rsidP="00D21FFE">
      <w:pPr>
        <w:spacing w:line="360" w:lineRule="auto"/>
        <w:jc w:val="center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noProof/>
          <w:szCs w:val="24"/>
        </w:rPr>
        <w:lastRenderedPageBreak/>
        <w:drawing>
          <wp:inline distT="0" distB="0" distL="0" distR="0" wp14:anchorId="4893CC11" wp14:editId="6908775F">
            <wp:extent cx="5040000" cy="3498743"/>
            <wp:effectExtent l="0" t="0" r="8255" b="698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498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3D4B4" w14:textId="0203676C" w:rsidR="00D21FFE" w:rsidRDefault="00D21FFE" w:rsidP="00D21FFE">
      <w:pPr>
        <w:pStyle w:val="NormalWeb"/>
        <w:spacing w:before="0" w:beforeAutospacing="0" w:after="160" w:afterAutospacing="0"/>
        <w:jc w:val="both"/>
        <w:rPr>
          <w:rFonts w:eastAsia="Calibri"/>
          <w:color w:val="000000"/>
          <w:kern w:val="24"/>
        </w:rPr>
      </w:pPr>
      <w:r>
        <w:rPr>
          <w:rFonts w:eastAsia="Calibri"/>
          <w:b/>
          <w:bCs/>
          <w:color w:val="000000"/>
          <w:kern w:val="24"/>
        </w:rPr>
        <w:t xml:space="preserve">Supplementary Figure 2. </w:t>
      </w:r>
      <w:r w:rsidRPr="00D21FFE">
        <w:rPr>
          <w:rFonts w:eastAsia="Calibri"/>
          <w:color w:val="000000"/>
          <w:kern w:val="24"/>
        </w:rPr>
        <w:t xml:space="preserve">Estimates of </w:t>
      </w:r>
      <w:r w:rsidRPr="00D21FFE">
        <w:rPr>
          <w:rFonts w:eastAsia="Calibri"/>
          <w:i/>
          <w:iCs/>
          <w:color w:val="000000"/>
          <w:kern w:val="24"/>
        </w:rPr>
        <w:t xml:space="preserve">Nannochloropsis </w:t>
      </w:r>
      <w:r w:rsidRPr="00D21FFE">
        <w:rPr>
          <w:rFonts w:eastAsia="Calibri"/>
          <w:color w:val="000000"/>
          <w:kern w:val="24"/>
        </w:rPr>
        <w:t xml:space="preserve">sp. cells found inside the sponge tissue or incorporated in </w:t>
      </w:r>
      <w:r w:rsidRPr="00D21FFE">
        <w:rPr>
          <w:rFonts w:eastAsia="Calibri"/>
          <w:i/>
          <w:iCs/>
          <w:color w:val="000000"/>
          <w:kern w:val="24"/>
        </w:rPr>
        <w:t xml:space="preserve">H. panicea </w:t>
      </w:r>
      <w:r w:rsidRPr="00D21FFE">
        <w:rPr>
          <w:rFonts w:eastAsia="Calibri"/>
          <w:color w:val="000000"/>
          <w:kern w:val="24"/>
        </w:rPr>
        <w:t xml:space="preserve">cells </w:t>
      </w:r>
      <w:r w:rsidRPr="00D21FFE">
        <w:rPr>
          <w:rFonts w:eastAsia="Calibri"/>
          <w:b/>
          <w:bCs/>
          <w:color w:val="000000"/>
          <w:kern w:val="24"/>
        </w:rPr>
        <w:t xml:space="preserve">(A) </w:t>
      </w:r>
      <w:r w:rsidRPr="00D21FFE">
        <w:rPr>
          <w:rFonts w:eastAsia="Calibri"/>
          <w:color w:val="000000"/>
          <w:kern w:val="24"/>
        </w:rPr>
        <w:t xml:space="preserve">Representative FACS cytograms showing the population of </w:t>
      </w:r>
      <w:r w:rsidR="00034C8D">
        <w:rPr>
          <w:rFonts w:eastAsia="Calibri"/>
          <w:color w:val="000000"/>
          <w:kern w:val="24"/>
        </w:rPr>
        <w:t xml:space="preserve">intact, </w:t>
      </w:r>
      <w:r w:rsidR="00C760B7">
        <w:rPr>
          <w:rFonts w:eastAsia="Calibri"/>
          <w:color w:val="000000"/>
          <w:kern w:val="24"/>
        </w:rPr>
        <w:t>free algae</w:t>
      </w:r>
      <w:r w:rsidRPr="00D21FFE">
        <w:rPr>
          <w:rFonts w:eastAsia="Calibri"/>
          <w:color w:val="000000"/>
          <w:kern w:val="24"/>
        </w:rPr>
        <w:t xml:space="preserve"> </w:t>
      </w:r>
      <w:r w:rsidR="00C760B7">
        <w:rPr>
          <w:rFonts w:eastAsia="Calibri"/>
          <w:color w:val="000000"/>
          <w:kern w:val="24"/>
        </w:rPr>
        <w:t>(</w:t>
      </w:r>
      <w:r w:rsidRPr="00D21FFE">
        <w:rPr>
          <w:rFonts w:eastAsia="Calibri"/>
          <w:color w:val="000000"/>
          <w:kern w:val="24"/>
        </w:rPr>
        <w:t xml:space="preserve">dashed oval). </w:t>
      </w:r>
      <w:r w:rsidRPr="00D21FFE">
        <w:rPr>
          <w:rFonts w:eastAsia="Calibri"/>
          <w:b/>
          <w:bCs/>
          <w:color w:val="000000"/>
          <w:kern w:val="24"/>
        </w:rPr>
        <w:t xml:space="preserve">(B) </w:t>
      </w:r>
      <w:r w:rsidRPr="00D21FFE">
        <w:rPr>
          <w:rFonts w:eastAsia="Calibri"/>
          <w:color w:val="000000"/>
          <w:kern w:val="24"/>
        </w:rPr>
        <w:t xml:space="preserve"> Percentage of free algal cells after the pulse-chase experiment. All sponges were incubated for 30 min (pulse-period) with </w:t>
      </w:r>
      <w:r w:rsidRPr="00D21FFE">
        <w:rPr>
          <w:rFonts w:eastAsia="Calibri"/>
          <w:i/>
          <w:iCs/>
          <w:color w:val="000000"/>
          <w:kern w:val="24"/>
        </w:rPr>
        <w:t xml:space="preserve">Nannochloropsis </w:t>
      </w:r>
      <w:proofErr w:type="gramStart"/>
      <w:r w:rsidRPr="00D21FFE">
        <w:rPr>
          <w:rFonts w:eastAsia="Calibri"/>
          <w:color w:val="000000"/>
          <w:kern w:val="24"/>
        </w:rPr>
        <w:t>sp.</w:t>
      </w:r>
      <w:r w:rsidR="00473CC4">
        <w:rPr>
          <w:rFonts w:eastAsia="Calibri"/>
          <w:color w:val="000000"/>
          <w:kern w:val="24"/>
        </w:rPr>
        <w:t>(</w:t>
      </w:r>
      <w:proofErr w:type="gramEnd"/>
      <w:r w:rsidR="00473CC4">
        <w:rPr>
          <w:rFonts w:eastAsia="Calibri"/>
          <w:color w:val="000000"/>
          <w:kern w:val="24"/>
        </w:rPr>
        <w:t>initial concentration of approx. x10</w:t>
      </w:r>
      <w:r w:rsidR="00473CC4">
        <w:rPr>
          <w:rFonts w:eastAsia="Calibri"/>
          <w:color w:val="000000"/>
          <w:kern w:val="24"/>
          <w:vertAlign w:val="superscript"/>
        </w:rPr>
        <w:t>6</w:t>
      </w:r>
      <w:r w:rsidR="00473CC4">
        <w:rPr>
          <w:rFonts w:eastAsia="Calibri"/>
          <w:color w:val="000000"/>
          <w:kern w:val="24"/>
        </w:rPr>
        <w:t xml:space="preserve"> algae mL</w:t>
      </w:r>
      <w:r w:rsidR="00473CC4">
        <w:rPr>
          <w:rFonts w:eastAsia="Calibri"/>
          <w:color w:val="000000"/>
          <w:kern w:val="24"/>
          <w:vertAlign w:val="superscript"/>
        </w:rPr>
        <w:t>-1</w:t>
      </w:r>
      <w:r w:rsidR="00473CC4">
        <w:rPr>
          <w:rFonts w:eastAsia="Calibri"/>
          <w:color w:val="000000"/>
          <w:kern w:val="24"/>
        </w:rPr>
        <w:t>)</w:t>
      </w:r>
      <w:r w:rsidRPr="00D21FFE">
        <w:rPr>
          <w:rFonts w:eastAsia="Calibri"/>
          <w:color w:val="000000"/>
          <w:kern w:val="24"/>
        </w:rPr>
        <w:t xml:space="preserve"> and sampled after 0 min, 30 min, and 150 min chase period. </w:t>
      </w:r>
    </w:p>
    <w:p w14:paraId="66F5AFB6" w14:textId="7A62C815" w:rsidR="0057298A" w:rsidRDefault="0057298A">
      <w:pPr>
        <w:spacing w:before="0" w:after="200" w:line="276" w:lineRule="auto"/>
        <w:rPr>
          <w:rFonts w:eastAsia="Calibri" w:cs="Times New Roman"/>
          <w:color w:val="000000"/>
          <w:kern w:val="24"/>
          <w:szCs w:val="24"/>
        </w:rPr>
      </w:pPr>
      <w:r>
        <w:rPr>
          <w:rFonts w:eastAsia="Calibri"/>
          <w:color w:val="000000"/>
          <w:kern w:val="24"/>
        </w:rPr>
        <w:br w:type="page"/>
      </w:r>
    </w:p>
    <w:p w14:paraId="7ECD1479" w14:textId="77777777" w:rsidR="0057298A" w:rsidRDefault="0057298A" w:rsidP="0057298A">
      <w:pPr>
        <w:pStyle w:val="NormalWeb"/>
        <w:spacing w:before="0" w:beforeAutospacing="0" w:after="160" w:afterAutospacing="0" w:line="360" w:lineRule="auto"/>
        <w:jc w:val="center"/>
        <w:rPr>
          <w:rFonts w:ascii="Calibri" w:eastAsia="Calibri" w:hAnsi="Calibri" w:cs="Calibri"/>
          <w:b/>
          <w:bCs/>
          <w:color w:val="000000"/>
          <w:kern w:val="24"/>
        </w:rPr>
      </w:pPr>
      <w:r>
        <w:rPr>
          <w:noProof/>
        </w:rPr>
        <w:lastRenderedPageBreak/>
        <w:drawing>
          <wp:inline distT="0" distB="0" distL="0" distR="0" wp14:anchorId="76EF27F2" wp14:editId="2A7339FB">
            <wp:extent cx="2958766" cy="2880000"/>
            <wp:effectExtent l="0" t="0" r="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66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7644A" w14:textId="5DEFD7B3" w:rsidR="0057298A" w:rsidRPr="0057298A" w:rsidRDefault="0057298A" w:rsidP="0057298A">
      <w:pPr>
        <w:pStyle w:val="NormalWeb"/>
        <w:spacing w:before="0" w:beforeAutospacing="0" w:after="160" w:afterAutospacing="0"/>
        <w:jc w:val="both"/>
      </w:pPr>
      <w:r>
        <w:rPr>
          <w:rFonts w:eastAsia="Calibri"/>
          <w:b/>
          <w:bCs/>
          <w:color w:val="000000"/>
          <w:kern w:val="24"/>
        </w:rPr>
        <w:t>Supplementary Figure 3</w:t>
      </w:r>
      <w:r w:rsidRPr="0057298A">
        <w:rPr>
          <w:rFonts w:eastAsia="Calibri"/>
          <w:b/>
          <w:bCs/>
          <w:color w:val="000000"/>
          <w:kern w:val="24"/>
        </w:rPr>
        <w:t xml:space="preserve">. </w:t>
      </w:r>
      <w:r w:rsidRPr="0057298A">
        <w:rPr>
          <w:rFonts w:eastAsia="Calibri"/>
          <w:color w:val="000000"/>
          <w:kern w:val="24"/>
        </w:rPr>
        <w:t xml:space="preserve">Relation between phagocytosis and particle uptake. The percentage of </w:t>
      </w:r>
      <w:r w:rsidRPr="0057298A">
        <w:rPr>
          <w:rFonts w:eastAsia="Calibri"/>
          <w:i/>
          <w:iCs/>
          <w:color w:val="000000"/>
          <w:kern w:val="24"/>
        </w:rPr>
        <w:t xml:space="preserve">H. panicea </w:t>
      </w:r>
      <w:r w:rsidRPr="0057298A">
        <w:rPr>
          <w:rFonts w:eastAsia="Calibri"/>
          <w:color w:val="000000"/>
          <w:kern w:val="24"/>
        </w:rPr>
        <w:t>cells phagocytizing algae (</w:t>
      </w:r>
      <w:r w:rsidRPr="0057298A">
        <w:rPr>
          <w:rFonts w:eastAsia="Calibri"/>
          <w:i/>
          <w:iCs/>
          <w:color w:val="000000"/>
          <w:kern w:val="24"/>
        </w:rPr>
        <w:t>Nannochloropsis</w:t>
      </w:r>
      <w:r w:rsidRPr="0057298A">
        <w:rPr>
          <w:rFonts w:eastAsia="Calibri"/>
          <w:color w:val="000000"/>
          <w:kern w:val="24"/>
        </w:rPr>
        <w:t xml:space="preserve"> sp.), bacteria (</w:t>
      </w:r>
      <w:r w:rsidRPr="0057298A">
        <w:rPr>
          <w:rFonts w:eastAsia="Calibri"/>
          <w:i/>
          <w:iCs/>
          <w:color w:val="000000"/>
          <w:kern w:val="24"/>
        </w:rPr>
        <w:t>Vibrio</w:t>
      </w:r>
      <w:r w:rsidRPr="0057298A">
        <w:rPr>
          <w:rFonts w:eastAsia="Calibri"/>
          <w:color w:val="000000"/>
          <w:kern w:val="24"/>
        </w:rPr>
        <w:t xml:space="preserve"> sp.), and fluorescent latex beads tends to increase linearly </w:t>
      </w:r>
      <w:r w:rsidR="00034C8D">
        <w:rPr>
          <w:rFonts w:eastAsia="Calibri"/>
          <w:color w:val="000000"/>
          <w:kern w:val="24"/>
        </w:rPr>
        <w:t>(n = 3</w:t>
      </w:r>
      <w:r w:rsidR="00A15146">
        <w:rPr>
          <w:rFonts w:eastAsia="Calibri"/>
          <w:color w:val="000000"/>
          <w:kern w:val="24"/>
        </w:rPr>
        <w:t>. M</w:t>
      </w:r>
      <w:r w:rsidR="00034C8D">
        <w:rPr>
          <w:rFonts w:eastAsia="Calibri"/>
          <w:color w:val="000000"/>
          <w:kern w:val="24"/>
        </w:rPr>
        <w:t xml:space="preserve">ore data points are needed to validate a linear regression fit) </w:t>
      </w:r>
      <w:r w:rsidRPr="0057298A">
        <w:rPr>
          <w:rFonts w:eastAsia="Calibri"/>
          <w:color w:val="000000"/>
          <w:kern w:val="24"/>
        </w:rPr>
        <w:t>with a higher number of particles removed by the sponge during the 30 min incubations. Dotted gray line: extension of the slope calculated with the linear regression equation.</w:t>
      </w:r>
    </w:p>
    <w:p w14:paraId="559CE369" w14:textId="4258217B" w:rsidR="009936C0" w:rsidRDefault="009936C0">
      <w:pPr>
        <w:spacing w:before="0" w:after="200" w:line="276" w:lineRule="auto"/>
        <w:rPr>
          <w:rFonts w:cs="Times New Roman"/>
          <w:bCs/>
        </w:rPr>
      </w:pPr>
      <w:r>
        <w:rPr>
          <w:rFonts w:cs="Times New Roman"/>
          <w:bCs/>
        </w:rPr>
        <w:br w:type="page"/>
      </w:r>
    </w:p>
    <w:p w14:paraId="65FB88E5" w14:textId="5DB661E0" w:rsidR="00200C09" w:rsidRPr="00200C09" w:rsidRDefault="00200C09" w:rsidP="00200C09">
      <w:pPr>
        <w:spacing w:before="0" w:after="160"/>
        <w:jc w:val="both"/>
        <w:rPr>
          <w:rFonts w:eastAsia="Calibri" w:cs="Times New Roman"/>
          <w:iCs/>
          <w:szCs w:val="24"/>
          <w:lang w:val="de-DE"/>
        </w:rPr>
      </w:pPr>
      <w:r>
        <w:rPr>
          <w:rFonts w:eastAsia="Calibri" w:cs="Times New Roman"/>
          <w:b/>
          <w:bCs/>
          <w:iCs/>
          <w:szCs w:val="24"/>
        </w:rPr>
        <w:lastRenderedPageBreak/>
        <w:t xml:space="preserve">Supplementary Table </w:t>
      </w:r>
      <w:r w:rsidR="00484101">
        <w:rPr>
          <w:rFonts w:eastAsia="Calibri" w:cs="Times New Roman"/>
          <w:b/>
          <w:bCs/>
          <w:iCs/>
          <w:szCs w:val="24"/>
        </w:rPr>
        <w:t>1</w:t>
      </w:r>
      <w:r>
        <w:rPr>
          <w:rFonts w:eastAsia="Calibri" w:cs="Times New Roman"/>
          <w:b/>
          <w:bCs/>
          <w:iCs/>
          <w:szCs w:val="24"/>
        </w:rPr>
        <w:t xml:space="preserve">. </w:t>
      </w:r>
      <w:r w:rsidRPr="00200C09">
        <w:rPr>
          <w:rFonts w:eastAsia="Calibri" w:cs="Times New Roman"/>
          <w:iCs/>
          <w:szCs w:val="24"/>
        </w:rPr>
        <w:t xml:space="preserve">Fluorescent microscopy observations of phagocytic cells of </w:t>
      </w:r>
      <w:r w:rsidRPr="00200C09">
        <w:rPr>
          <w:rFonts w:eastAsia="Calibri" w:cs="Times New Roman"/>
          <w:i/>
          <w:szCs w:val="24"/>
        </w:rPr>
        <w:t>H. panicea</w:t>
      </w:r>
      <w:r w:rsidRPr="00200C09">
        <w:rPr>
          <w:rFonts w:eastAsia="Calibri" w:cs="Times New Roman"/>
          <w:iCs/>
          <w:szCs w:val="24"/>
        </w:rPr>
        <w:t xml:space="preserve"> from the assays with algae (</w:t>
      </w:r>
      <w:r w:rsidRPr="00200C09">
        <w:rPr>
          <w:rFonts w:eastAsia="Calibri" w:cs="Times New Roman"/>
          <w:bCs/>
          <w:i/>
          <w:iCs/>
          <w:szCs w:val="24"/>
        </w:rPr>
        <w:t xml:space="preserve">Nannochloropsis </w:t>
      </w:r>
      <w:r w:rsidRPr="00200C09">
        <w:rPr>
          <w:rFonts w:eastAsia="Calibri" w:cs="Times New Roman"/>
          <w:bCs/>
          <w:szCs w:val="24"/>
        </w:rPr>
        <w:t>sp.),</w:t>
      </w:r>
      <w:r w:rsidRPr="00200C09">
        <w:rPr>
          <w:rFonts w:eastAsia="Calibri" w:cs="Times New Roman"/>
          <w:iCs/>
          <w:szCs w:val="24"/>
        </w:rPr>
        <w:t xml:space="preserve"> </w:t>
      </w:r>
      <w:r w:rsidRPr="00200C09">
        <w:rPr>
          <w:rFonts w:eastAsia="Calibri" w:cs="Times New Roman"/>
          <w:bCs/>
          <w:szCs w:val="24"/>
        </w:rPr>
        <w:t>TAMRA-stained bacteria (</w:t>
      </w:r>
      <w:r w:rsidRPr="00200C09">
        <w:rPr>
          <w:rFonts w:eastAsia="Calibri" w:cs="Times New Roman"/>
          <w:bCs/>
          <w:i/>
          <w:iCs/>
          <w:szCs w:val="24"/>
        </w:rPr>
        <w:t>Vibrio</w:t>
      </w:r>
      <w:r w:rsidRPr="00200C09">
        <w:rPr>
          <w:rFonts w:eastAsia="Calibri" w:cs="Times New Roman"/>
          <w:bCs/>
          <w:szCs w:val="24"/>
        </w:rPr>
        <w:t xml:space="preserve"> sp.), and fluorescent latex beads (1 µm). The total number of cells </w:t>
      </w:r>
      <w:proofErr w:type="gramStart"/>
      <w:r w:rsidRPr="00200C09">
        <w:rPr>
          <w:rFonts w:eastAsia="Calibri" w:cs="Times New Roman"/>
          <w:bCs/>
          <w:szCs w:val="24"/>
        </w:rPr>
        <w:t>observed</w:t>
      </w:r>
      <w:proofErr w:type="gramEnd"/>
      <w:r w:rsidRPr="00200C09">
        <w:rPr>
          <w:rFonts w:eastAsia="Calibri" w:cs="Times New Roman"/>
          <w:bCs/>
          <w:szCs w:val="24"/>
        </w:rPr>
        <w:t xml:space="preserve"> and percentages are reported. A two-tailed z-test was performed to compare the proportion of different cell types between treatments. </w:t>
      </w:r>
      <w:r w:rsidRPr="00200C09">
        <w:rPr>
          <w:rFonts w:eastAsia="Calibri" w:cs="Times New Roman"/>
          <w:bCs/>
          <w:szCs w:val="24"/>
          <w:lang w:val="de-DE"/>
        </w:rPr>
        <w:t xml:space="preserve">*Significant values.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180"/>
        <w:gridCol w:w="1320"/>
        <w:gridCol w:w="618"/>
      </w:tblGrid>
      <w:tr w:rsidR="00200C09" w:rsidRPr="00200C09" w14:paraId="425E8527" w14:textId="77777777" w:rsidTr="00200C09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7DBFB2A6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Assay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3E357501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Visible flagellum (5 µm)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23D67404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No visible flagellum (5 µm)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752D9052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Medium </w:t>
            </w:r>
            <w:proofErr w:type="gramStart"/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  (</w:t>
            </w:r>
            <w:proofErr w:type="gramEnd"/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6 to 10 µm)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700695F1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Big             </w:t>
            </w:r>
            <w:proofErr w:type="gramStart"/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  (</w:t>
            </w:r>
            <w:proofErr w:type="gramEnd"/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10 to 12 µm)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B33E01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Total</w:t>
            </w:r>
          </w:p>
        </w:tc>
      </w:tr>
      <w:tr w:rsidR="00200C09" w:rsidRPr="00200C09" w14:paraId="4A3FC6BF" w14:textId="77777777" w:rsidTr="00E41491">
        <w:trPr>
          <w:trHeight w:val="3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C60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(+ 0 min)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853B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 (39.3 %)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7C7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 (14.3 %)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03F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 (17.9 %)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5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 (28.6 %)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129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28</w:t>
            </w:r>
          </w:p>
        </w:tc>
      </w:tr>
      <w:tr w:rsidR="00200C09" w:rsidRPr="00200C09" w14:paraId="3019E386" w14:textId="77777777" w:rsidTr="00E41491">
        <w:trPr>
          <w:trHeight w:val="321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79F6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(+ 30 min)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8D69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 (11.8 %)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415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 (17.6 %)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E26D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 (41.2 %)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3D4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 (29.4 %)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7450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17</w:t>
            </w:r>
          </w:p>
        </w:tc>
      </w:tr>
      <w:tr w:rsidR="00200C09" w:rsidRPr="00200C09" w14:paraId="4E8522B7" w14:textId="77777777" w:rsidTr="00E41491">
        <w:trPr>
          <w:trHeight w:val="321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69F0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(+ 150 min)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95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(4.0 %)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AED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 (16.0%)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B08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 (56.0 %)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FF1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 (24.0 %)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8D0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25</w:t>
            </w:r>
          </w:p>
        </w:tc>
      </w:tr>
      <w:tr w:rsidR="00200C09" w:rsidRPr="00200C09" w14:paraId="0C0A23A4" w14:textId="77777777" w:rsidTr="00E41491">
        <w:trPr>
          <w:trHeight w:val="321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A9AF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Bacteria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8B4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 (45.8 %)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AB97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 (37.5%)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68D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 (12.5 %)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58C4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(4.2 %)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43A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24</w:t>
            </w:r>
          </w:p>
        </w:tc>
      </w:tr>
      <w:tr w:rsidR="00200C09" w:rsidRPr="00200C09" w14:paraId="12083508" w14:textId="77777777" w:rsidTr="00E41491">
        <w:trPr>
          <w:trHeight w:val="3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F163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Beads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669E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15 (51.7 %)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F746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 (34.5 %)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20F7A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 (10.3 %)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896A8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(3.4 %)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94F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29</w:t>
            </w:r>
          </w:p>
        </w:tc>
      </w:tr>
      <w:tr w:rsidR="00200C09" w:rsidRPr="00200C09" w14:paraId="62EDD50C" w14:textId="77777777" w:rsidTr="00E41491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73132" w14:textId="77777777" w:rsidR="00200C09" w:rsidRPr="00200C09" w:rsidRDefault="00200C09" w:rsidP="00200C09">
            <w:pPr>
              <w:spacing w:before="0" w:after="0" w:line="259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3B55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0280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89B15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190C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9F7A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</w:tr>
      <w:tr w:rsidR="00200C09" w:rsidRPr="00200C09" w14:paraId="04DF0715" w14:textId="77777777" w:rsidTr="00200C09">
        <w:trPr>
          <w:trHeight w:val="4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  <w:vAlign w:val="bottom"/>
            <w:hideMark/>
          </w:tcPr>
          <w:p w14:paraId="5913235F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4E40D092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Visible flagellum (5 µm)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  <w:hideMark/>
          </w:tcPr>
          <w:p w14:paraId="278E61CF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Med-Big (6 to 12 µm)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C4B03D7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00C09" w:rsidRPr="00200C09" w14:paraId="5B210D96" w14:textId="77777777" w:rsidTr="00200C09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7B1F580A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Pairwise comparison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7C81664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z-value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0B3E7CC1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7744B76D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z-value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223DBD19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58C1C28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00C09" w:rsidRPr="00200C09" w14:paraId="7B06EFBD" w14:textId="77777777" w:rsidTr="00E41491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1247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+ 0 min vs. + 30 min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FF04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1266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0.049*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93A5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-1.58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A72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0.114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F886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00C09" w:rsidRPr="00200C09" w14:paraId="12B851C5" w14:textId="77777777" w:rsidTr="00E41491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54E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+ 0 min vs. + 150 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349E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EB9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0.002*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CA6E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-2.30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51B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0.021*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9CE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00C09" w:rsidRPr="00200C09" w14:paraId="005814F6" w14:textId="77777777" w:rsidTr="00E41491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34E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+ 30 min vs. + 150 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EC6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4128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85DB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-0.47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2CE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0.638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B748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00C09" w:rsidRPr="00200C09" w14:paraId="05EED65F" w14:textId="77777777" w:rsidTr="00E41491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BFA3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+ 0 min vs. Bacteria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8BF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1CB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19B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-2.28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50B4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0.023*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B141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00C09" w:rsidRPr="00200C09" w14:paraId="3D85B961" w14:textId="77777777" w:rsidTr="00E41491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A020" w14:textId="77777777" w:rsidR="00200C09" w:rsidRPr="00200C09" w:rsidRDefault="00200C09" w:rsidP="00200C09">
            <w:pPr>
              <w:spacing w:before="0"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Algae + 0 min vs. Beads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CC83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6BBE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5407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-2.69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981FC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00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0.007*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A8A" w14:textId="77777777" w:rsidR="00200C09" w:rsidRPr="00200C09" w:rsidRDefault="00200C09" w:rsidP="00200C09">
            <w:pPr>
              <w:spacing w:before="0"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4E258F63" w14:textId="77777777" w:rsidR="00200C09" w:rsidRPr="00200C09" w:rsidRDefault="00200C09" w:rsidP="00200C09">
      <w:pPr>
        <w:spacing w:before="0" w:after="160" w:line="360" w:lineRule="auto"/>
        <w:jc w:val="both"/>
        <w:rPr>
          <w:rFonts w:ascii="Calibri" w:eastAsia="Calibri" w:hAnsi="Calibri" w:cs="Times New Roman"/>
          <w:iCs/>
          <w:sz w:val="22"/>
          <w:lang w:val="de-DE"/>
        </w:rPr>
      </w:pPr>
    </w:p>
    <w:sectPr w:rsidR="00200C09" w:rsidRPr="00200C09" w:rsidSect="0093429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3A0B" w14:textId="77777777" w:rsidR="00D7024F" w:rsidRDefault="00D7024F" w:rsidP="00117666">
      <w:pPr>
        <w:spacing w:after="0"/>
      </w:pPr>
      <w:r>
        <w:separator/>
      </w:r>
    </w:p>
  </w:endnote>
  <w:endnote w:type="continuationSeparator" w:id="0">
    <w:p w14:paraId="41A10DD4" w14:textId="77777777" w:rsidR="00D7024F" w:rsidRDefault="00D7024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6F3617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869C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6F3617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869C5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C18B7B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1514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1C18B7B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1514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479B" w14:textId="77777777" w:rsidR="00D7024F" w:rsidRDefault="00D7024F" w:rsidP="00117666">
      <w:pPr>
        <w:spacing w:after="0"/>
      </w:pPr>
      <w:r>
        <w:separator/>
      </w:r>
    </w:p>
  </w:footnote>
  <w:footnote w:type="continuationSeparator" w:id="0">
    <w:p w14:paraId="15DDA3B1" w14:textId="77777777" w:rsidR="00D7024F" w:rsidRDefault="00D7024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32140627">
    <w:abstractNumId w:val="0"/>
  </w:num>
  <w:num w:numId="2" w16cid:durableId="1129475326">
    <w:abstractNumId w:val="4"/>
  </w:num>
  <w:num w:numId="3" w16cid:durableId="1438283553">
    <w:abstractNumId w:val="1"/>
  </w:num>
  <w:num w:numId="4" w16cid:durableId="377434933">
    <w:abstractNumId w:val="5"/>
  </w:num>
  <w:num w:numId="5" w16cid:durableId="439836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6752388">
    <w:abstractNumId w:val="3"/>
  </w:num>
  <w:num w:numId="7" w16cid:durableId="951716156">
    <w:abstractNumId w:val="6"/>
  </w:num>
  <w:num w:numId="8" w16cid:durableId="2021347732">
    <w:abstractNumId w:val="6"/>
  </w:num>
  <w:num w:numId="9" w16cid:durableId="1812599503">
    <w:abstractNumId w:val="6"/>
  </w:num>
  <w:num w:numId="10" w16cid:durableId="1244997650">
    <w:abstractNumId w:val="6"/>
  </w:num>
  <w:num w:numId="11" w16cid:durableId="1534923793">
    <w:abstractNumId w:val="6"/>
  </w:num>
  <w:num w:numId="12" w16cid:durableId="759059532">
    <w:abstractNumId w:val="6"/>
  </w:num>
  <w:num w:numId="13" w16cid:durableId="1566145278">
    <w:abstractNumId w:val="3"/>
  </w:num>
  <w:num w:numId="14" w16cid:durableId="38556247">
    <w:abstractNumId w:val="2"/>
  </w:num>
  <w:num w:numId="15" w16cid:durableId="1506241276">
    <w:abstractNumId w:val="2"/>
  </w:num>
  <w:num w:numId="16" w16cid:durableId="687758262">
    <w:abstractNumId w:val="2"/>
  </w:num>
  <w:num w:numId="17" w16cid:durableId="893394022">
    <w:abstractNumId w:val="2"/>
  </w:num>
  <w:num w:numId="18" w16cid:durableId="80682180">
    <w:abstractNumId w:val="2"/>
  </w:num>
  <w:num w:numId="19" w16cid:durableId="142437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4C8D"/>
    <w:rsid w:val="00035434"/>
    <w:rsid w:val="00052A14"/>
    <w:rsid w:val="00077D53"/>
    <w:rsid w:val="000869C5"/>
    <w:rsid w:val="00105FD9"/>
    <w:rsid w:val="00117666"/>
    <w:rsid w:val="001549D3"/>
    <w:rsid w:val="00160065"/>
    <w:rsid w:val="00177D84"/>
    <w:rsid w:val="00200C09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73CC4"/>
    <w:rsid w:val="00484101"/>
    <w:rsid w:val="004961FF"/>
    <w:rsid w:val="004C2DDC"/>
    <w:rsid w:val="004C4B64"/>
    <w:rsid w:val="00504A76"/>
    <w:rsid w:val="00517A89"/>
    <w:rsid w:val="005250F2"/>
    <w:rsid w:val="0057298A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E41AE"/>
    <w:rsid w:val="00906A57"/>
    <w:rsid w:val="009151AA"/>
    <w:rsid w:val="009218CE"/>
    <w:rsid w:val="0093429D"/>
    <w:rsid w:val="00943573"/>
    <w:rsid w:val="00970F7D"/>
    <w:rsid w:val="009936C0"/>
    <w:rsid w:val="00994A3D"/>
    <w:rsid w:val="009B6DFD"/>
    <w:rsid w:val="009C2B12"/>
    <w:rsid w:val="009C70F3"/>
    <w:rsid w:val="00A15146"/>
    <w:rsid w:val="00A174D9"/>
    <w:rsid w:val="00A569CD"/>
    <w:rsid w:val="00A75218"/>
    <w:rsid w:val="00AB6715"/>
    <w:rsid w:val="00B1671E"/>
    <w:rsid w:val="00B25EB8"/>
    <w:rsid w:val="00B354E1"/>
    <w:rsid w:val="00B37F4D"/>
    <w:rsid w:val="00C02C0C"/>
    <w:rsid w:val="00C52A7B"/>
    <w:rsid w:val="00C56BAF"/>
    <w:rsid w:val="00C66551"/>
    <w:rsid w:val="00C679AA"/>
    <w:rsid w:val="00C75972"/>
    <w:rsid w:val="00C760B7"/>
    <w:rsid w:val="00CC0A3A"/>
    <w:rsid w:val="00CD066B"/>
    <w:rsid w:val="00CE4FEE"/>
    <w:rsid w:val="00D21FFE"/>
    <w:rsid w:val="00D379D7"/>
    <w:rsid w:val="00D7024F"/>
    <w:rsid w:val="00D905A8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hentschel@geomar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luciapita@cmima.csic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7351B-BC62-470E-88F2-DA6763663E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373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Angela Maria Marulanda</cp:lastModifiedBy>
  <cp:revision>3</cp:revision>
  <cp:lastPrinted>2023-02-27T12:24:00Z</cp:lastPrinted>
  <dcterms:created xsi:type="dcterms:W3CDTF">2023-02-27T16:01:00Z</dcterms:created>
  <dcterms:modified xsi:type="dcterms:W3CDTF">2023-06-22T15:38:00Z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d710805fbbdd502d84bd32fa2a4207da18c05dd1f8a893fe4c159a50d1bfcec9</vt:lpwstr>
  </property>
</Properties>
</file>