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AA0C6" w14:textId="77777777" w:rsidR="007C424D" w:rsidRPr="00CD16BA" w:rsidRDefault="007C424D" w:rsidP="0039267A">
      <w:pPr>
        <w:jc w:val="center"/>
        <w:rPr>
          <w:rFonts w:ascii="Arial" w:hAnsi="Arial" w:cs="Arial"/>
          <w:i/>
          <w:iCs/>
          <w:sz w:val="22"/>
          <w:szCs w:val="22"/>
        </w:rPr>
      </w:pPr>
      <w:r w:rsidRPr="00CD16BA">
        <w:rPr>
          <w:rFonts w:ascii="Arial" w:hAnsi="Arial" w:cs="Arial"/>
          <w:i/>
          <w:iCs/>
          <w:sz w:val="22"/>
          <w:szCs w:val="22"/>
        </w:rPr>
        <w:t xml:space="preserve">Supplementary Information </w:t>
      </w:r>
    </w:p>
    <w:p w14:paraId="7396864C" w14:textId="77777777" w:rsidR="007C424D" w:rsidRPr="00CD16BA" w:rsidRDefault="007C424D" w:rsidP="0039267A">
      <w:pPr>
        <w:jc w:val="center"/>
        <w:rPr>
          <w:rFonts w:ascii="Arial" w:hAnsi="Arial" w:cs="Arial"/>
          <w:i/>
          <w:iCs/>
          <w:sz w:val="32"/>
          <w:szCs w:val="32"/>
        </w:rPr>
      </w:pPr>
    </w:p>
    <w:p w14:paraId="70AAFE8D" w14:textId="77777777" w:rsidR="007C424D" w:rsidRPr="00CD16BA" w:rsidRDefault="007C424D" w:rsidP="0039267A">
      <w:pPr>
        <w:jc w:val="center"/>
        <w:rPr>
          <w:b/>
          <w:bCs/>
          <w:sz w:val="32"/>
          <w:szCs w:val="32"/>
        </w:rPr>
      </w:pPr>
      <w:r w:rsidRPr="00CD16BA">
        <w:rPr>
          <w:b/>
          <w:bCs/>
          <w:sz w:val="32"/>
          <w:szCs w:val="32"/>
        </w:rPr>
        <w:t>Long-term organic carbon preservation enhanced by iron and manganese</w:t>
      </w:r>
    </w:p>
    <w:p w14:paraId="6AF46B9E" w14:textId="77777777" w:rsidR="007C424D" w:rsidRPr="00CD16BA" w:rsidRDefault="007C424D" w:rsidP="0039267A">
      <w:pPr>
        <w:rPr>
          <w:b/>
          <w:bCs/>
        </w:rPr>
      </w:pPr>
    </w:p>
    <w:p w14:paraId="3DD18B1A" w14:textId="7F6E69C3" w:rsidR="007C424D" w:rsidRPr="00CD16BA" w:rsidRDefault="007C424D" w:rsidP="0039267A">
      <w:pPr>
        <w:jc w:val="center"/>
      </w:pPr>
      <w:r w:rsidRPr="00CD16BA">
        <w:t>Oliver W. Moore</w:t>
      </w:r>
      <w:r w:rsidRPr="00CD16BA">
        <w:rPr>
          <w:vertAlign w:val="superscript"/>
        </w:rPr>
        <w:t>a*</w:t>
      </w:r>
      <w:r w:rsidRPr="00CD16BA">
        <w:t xml:space="preserve">, Lisa </w:t>
      </w:r>
      <w:proofErr w:type="spellStart"/>
      <w:r w:rsidRPr="00CD16BA">
        <w:t>Curti</w:t>
      </w:r>
      <w:r w:rsidRPr="00CD16BA">
        <w:rPr>
          <w:vertAlign w:val="superscript"/>
        </w:rPr>
        <w:t>a</w:t>
      </w:r>
      <w:proofErr w:type="spellEnd"/>
      <w:r w:rsidRPr="00CD16BA">
        <w:t xml:space="preserve">, Clare </w:t>
      </w:r>
      <w:proofErr w:type="spellStart"/>
      <w:r w:rsidRPr="00CD16BA">
        <w:t>Woulds</w:t>
      </w:r>
      <w:r w:rsidRPr="00CD16BA">
        <w:rPr>
          <w:vertAlign w:val="superscript"/>
        </w:rPr>
        <w:t>b</w:t>
      </w:r>
      <w:proofErr w:type="spellEnd"/>
      <w:r w:rsidRPr="00CD16BA">
        <w:t xml:space="preserve">, James A. </w:t>
      </w:r>
      <w:proofErr w:type="spellStart"/>
      <w:r w:rsidRPr="00CD16BA">
        <w:t>Bradley</w:t>
      </w:r>
      <w:r w:rsidRPr="00CD16BA">
        <w:rPr>
          <w:vertAlign w:val="superscript"/>
        </w:rPr>
        <w:t>c,d</w:t>
      </w:r>
      <w:proofErr w:type="spellEnd"/>
      <w:r w:rsidRPr="00CD16BA">
        <w:t xml:space="preserve">, Peyman </w:t>
      </w:r>
      <w:proofErr w:type="spellStart"/>
      <w:r w:rsidRPr="00CD16BA">
        <w:t>Babakhani</w:t>
      </w:r>
      <w:r w:rsidRPr="00CD16BA">
        <w:rPr>
          <w:vertAlign w:val="superscript"/>
        </w:rPr>
        <w:t>a</w:t>
      </w:r>
      <w:proofErr w:type="spellEnd"/>
      <w:r w:rsidRPr="00CD16BA">
        <w:t xml:space="preserve">, Benjamin J.W. </w:t>
      </w:r>
      <w:proofErr w:type="spellStart"/>
      <w:r w:rsidRPr="00CD16BA">
        <w:t>Mills</w:t>
      </w:r>
      <w:r w:rsidRPr="00CD16BA">
        <w:rPr>
          <w:vertAlign w:val="superscript"/>
        </w:rPr>
        <w:t>a</w:t>
      </w:r>
      <w:proofErr w:type="spellEnd"/>
      <w:r w:rsidRPr="00CD16BA">
        <w:t xml:space="preserve">, William B. </w:t>
      </w:r>
      <w:proofErr w:type="spellStart"/>
      <w:r w:rsidRPr="00CD16BA">
        <w:t>Homoky</w:t>
      </w:r>
      <w:r w:rsidRPr="00CD16BA">
        <w:rPr>
          <w:vertAlign w:val="superscript"/>
        </w:rPr>
        <w:t>a</w:t>
      </w:r>
      <w:proofErr w:type="spellEnd"/>
      <w:r w:rsidRPr="00CD16BA">
        <w:t xml:space="preserve">, </w:t>
      </w:r>
      <w:proofErr w:type="spellStart"/>
      <w:r w:rsidRPr="00CD16BA">
        <w:t>Ke</w:t>
      </w:r>
      <w:proofErr w:type="spellEnd"/>
      <w:r w:rsidRPr="00CD16BA">
        <w:t xml:space="preserve">-Qing </w:t>
      </w:r>
      <w:proofErr w:type="spellStart"/>
      <w:r w:rsidRPr="00CD16BA">
        <w:t>Xiao</w:t>
      </w:r>
      <w:r w:rsidRPr="00CD16BA">
        <w:rPr>
          <w:vertAlign w:val="superscript"/>
        </w:rPr>
        <w:t>a</w:t>
      </w:r>
      <w:r w:rsidR="00E7575D">
        <w:rPr>
          <w:vertAlign w:val="superscript"/>
        </w:rPr>
        <w:t>,e</w:t>
      </w:r>
      <w:proofErr w:type="spellEnd"/>
      <w:r w:rsidRPr="00CD16BA">
        <w:t xml:space="preserve">, Andrew W. </w:t>
      </w:r>
      <w:proofErr w:type="spellStart"/>
      <w:r w:rsidRPr="00CD16BA">
        <w:t>Bray</w:t>
      </w:r>
      <w:r w:rsidRPr="00CD16BA">
        <w:rPr>
          <w:vertAlign w:val="superscript"/>
        </w:rPr>
        <w:t>a</w:t>
      </w:r>
      <w:proofErr w:type="spellEnd"/>
      <w:r w:rsidRPr="00CD16BA">
        <w:t xml:space="preserve">, Ben J. </w:t>
      </w:r>
      <w:proofErr w:type="spellStart"/>
      <w:r w:rsidRPr="00CD16BA">
        <w:t>Fisher</w:t>
      </w:r>
      <w:r w:rsidRPr="00CD16BA">
        <w:rPr>
          <w:vertAlign w:val="superscript"/>
        </w:rPr>
        <w:t>a</w:t>
      </w:r>
      <w:r w:rsidR="00E7575D">
        <w:rPr>
          <w:vertAlign w:val="superscript"/>
        </w:rPr>
        <w:t>,f</w:t>
      </w:r>
      <w:proofErr w:type="spellEnd"/>
      <w:r w:rsidRPr="00CD16BA">
        <w:t xml:space="preserve">, Majid </w:t>
      </w:r>
      <w:proofErr w:type="spellStart"/>
      <w:r w:rsidRPr="00CD16BA">
        <w:t>Kazemian</w:t>
      </w:r>
      <w:r w:rsidR="00E7575D">
        <w:rPr>
          <w:vertAlign w:val="superscript"/>
        </w:rPr>
        <w:t>g</w:t>
      </w:r>
      <w:proofErr w:type="spellEnd"/>
      <w:r w:rsidRPr="00CD16BA">
        <w:t xml:space="preserve">, Burkhard </w:t>
      </w:r>
      <w:proofErr w:type="spellStart"/>
      <w:r w:rsidRPr="00CD16BA">
        <w:t>Kaulich</w:t>
      </w:r>
      <w:r w:rsidR="00E7575D">
        <w:rPr>
          <w:vertAlign w:val="superscript"/>
        </w:rPr>
        <w:t>g</w:t>
      </w:r>
      <w:proofErr w:type="spellEnd"/>
      <w:r w:rsidRPr="00CD16BA">
        <w:t xml:space="preserve">, Andrew W. </w:t>
      </w:r>
      <w:proofErr w:type="spellStart"/>
      <w:r w:rsidRPr="00CD16BA">
        <w:t>Dale</w:t>
      </w:r>
      <w:r w:rsidR="00E7575D">
        <w:rPr>
          <w:vertAlign w:val="superscript"/>
        </w:rPr>
        <w:t>h</w:t>
      </w:r>
      <w:proofErr w:type="spellEnd"/>
      <w:r w:rsidRPr="00CD16BA">
        <w:t xml:space="preserve">, Caroline L. </w:t>
      </w:r>
      <w:proofErr w:type="spellStart"/>
      <w:r w:rsidRPr="00CD16BA">
        <w:t>Peacock</w:t>
      </w:r>
      <w:r w:rsidRPr="00CD16BA">
        <w:rPr>
          <w:vertAlign w:val="superscript"/>
        </w:rPr>
        <w:t>a</w:t>
      </w:r>
      <w:proofErr w:type="spellEnd"/>
    </w:p>
    <w:p w14:paraId="2AD24448" w14:textId="77777777" w:rsidR="007C424D" w:rsidRPr="00CD16BA" w:rsidRDefault="007C424D" w:rsidP="0039267A"/>
    <w:p w14:paraId="5F923DD8" w14:textId="77777777" w:rsidR="007C424D" w:rsidRPr="00CD16BA" w:rsidRDefault="007C424D" w:rsidP="0039267A"/>
    <w:p w14:paraId="085B7072" w14:textId="77777777" w:rsidR="007C424D" w:rsidRPr="00CD16BA" w:rsidRDefault="007C424D" w:rsidP="0039267A">
      <w:pPr>
        <w:rPr>
          <w:sz w:val="22"/>
          <w:szCs w:val="22"/>
        </w:rPr>
      </w:pPr>
    </w:p>
    <w:p w14:paraId="36F58B40" w14:textId="77777777" w:rsidR="007C424D" w:rsidRPr="00CD16BA" w:rsidRDefault="007C424D" w:rsidP="0039267A">
      <w:pPr>
        <w:rPr>
          <w:sz w:val="22"/>
          <w:szCs w:val="22"/>
        </w:rPr>
      </w:pPr>
      <w:r w:rsidRPr="00CD16BA">
        <w:rPr>
          <w:sz w:val="22"/>
          <w:szCs w:val="22"/>
          <w:vertAlign w:val="superscript"/>
        </w:rPr>
        <w:t xml:space="preserve">a </w:t>
      </w:r>
      <w:r w:rsidRPr="00CD16BA">
        <w:rPr>
          <w:sz w:val="22"/>
          <w:szCs w:val="22"/>
        </w:rPr>
        <w:t>School of Earth and Environment, University of Leeds, Leeds, LS2 9JT, UK</w:t>
      </w:r>
    </w:p>
    <w:p w14:paraId="04EBD4D2" w14:textId="77777777" w:rsidR="007C424D" w:rsidRPr="00CD16BA" w:rsidRDefault="007C424D" w:rsidP="0039267A">
      <w:pPr>
        <w:rPr>
          <w:sz w:val="22"/>
          <w:szCs w:val="22"/>
        </w:rPr>
      </w:pPr>
      <w:r w:rsidRPr="00CD16BA">
        <w:rPr>
          <w:sz w:val="22"/>
          <w:szCs w:val="22"/>
          <w:vertAlign w:val="superscript"/>
        </w:rPr>
        <w:t xml:space="preserve">b </w:t>
      </w:r>
      <w:r w:rsidRPr="00CD16BA">
        <w:rPr>
          <w:sz w:val="22"/>
          <w:szCs w:val="22"/>
        </w:rPr>
        <w:t>School of Geography, University of Leeds, Leeds, LS2 9JT, UK</w:t>
      </w:r>
    </w:p>
    <w:p w14:paraId="6650231A" w14:textId="77777777" w:rsidR="007C424D" w:rsidRPr="00CD16BA" w:rsidRDefault="007C424D" w:rsidP="0039267A">
      <w:pPr>
        <w:rPr>
          <w:sz w:val="22"/>
          <w:szCs w:val="22"/>
        </w:rPr>
      </w:pPr>
      <w:r w:rsidRPr="00CD16BA">
        <w:rPr>
          <w:sz w:val="22"/>
          <w:szCs w:val="22"/>
          <w:vertAlign w:val="superscript"/>
        </w:rPr>
        <w:t xml:space="preserve">c </w:t>
      </w:r>
      <w:r w:rsidRPr="00CD16BA">
        <w:rPr>
          <w:sz w:val="22"/>
          <w:szCs w:val="22"/>
        </w:rPr>
        <w:t>School of Geography, Queen Mary University of London, Mile End Road, London, E1 4NS, UK</w:t>
      </w:r>
    </w:p>
    <w:p w14:paraId="2B5F79BC" w14:textId="77777777" w:rsidR="007C424D" w:rsidRPr="00CD16BA" w:rsidRDefault="007C424D" w:rsidP="0039267A">
      <w:pPr>
        <w:rPr>
          <w:sz w:val="22"/>
          <w:szCs w:val="22"/>
        </w:rPr>
      </w:pPr>
      <w:r w:rsidRPr="00CD16BA">
        <w:rPr>
          <w:sz w:val="22"/>
          <w:szCs w:val="22"/>
          <w:vertAlign w:val="superscript"/>
        </w:rPr>
        <w:t xml:space="preserve">d </w:t>
      </w:r>
      <w:r w:rsidRPr="00CD16BA">
        <w:rPr>
          <w:sz w:val="22"/>
          <w:szCs w:val="22"/>
        </w:rPr>
        <w:t>Department of Geochemistry, GFZ, German Research Centre for Geosciences, Potsdam, Germany</w:t>
      </w:r>
    </w:p>
    <w:p w14:paraId="46F36286" w14:textId="322AF0BC" w:rsidR="00E7575D" w:rsidRDefault="007C424D" w:rsidP="0039267A">
      <w:pPr>
        <w:rPr>
          <w:sz w:val="22"/>
          <w:szCs w:val="22"/>
        </w:rPr>
      </w:pPr>
      <w:r w:rsidRPr="00CD16BA">
        <w:rPr>
          <w:sz w:val="22"/>
          <w:szCs w:val="22"/>
          <w:vertAlign w:val="superscript"/>
        </w:rPr>
        <w:t>e</w:t>
      </w:r>
      <w:r w:rsidR="00E7575D">
        <w:rPr>
          <w:sz w:val="22"/>
          <w:szCs w:val="22"/>
        </w:rPr>
        <w:t xml:space="preserve"> </w:t>
      </w:r>
      <w:r w:rsidR="00E7575D" w:rsidRPr="00E7575D">
        <w:rPr>
          <w:sz w:val="22"/>
          <w:szCs w:val="22"/>
        </w:rPr>
        <w:t xml:space="preserve">Research </w:t>
      </w:r>
      <w:proofErr w:type="spellStart"/>
      <w:r w:rsidR="00E7575D" w:rsidRPr="00E7575D">
        <w:rPr>
          <w:sz w:val="22"/>
          <w:szCs w:val="22"/>
        </w:rPr>
        <w:t>Center</w:t>
      </w:r>
      <w:proofErr w:type="spellEnd"/>
      <w:r w:rsidR="00E7575D" w:rsidRPr="00E7575D">
        <w:rPr>
          <w:sz w:val="22"/>
          <w:szCs w:val="22"/>
        </w:rPr>
        <w:t xml:space="preserve"> for Eco-Environmental Sciences, Chinese Academy of Sciences, Beijing, China</w:t>
      </w:r>
    </w:p>
    <w:p w14:paraId="28160677" w14:textId="11BB33D8" w:rsidR="00E7575D" w:rsidRDefault="00E7575D" w:rsidP="0039267A">
      <w:pPr>
        <w:rPr>
          <w:sz w:val="22"/>
          <w:szCs w:val="22"/>
        </w:rPr>
      </w:pPr>
      <w:r w:rsidRPr="00E7575D">
        <w:rPr>
          <w:sz w:val="22"/>
          <w:szCs w:val="22"/>
          <w:vertAlign w:val="superscript"/>
        </w:rPr>
        <w:t>f</w:t>
      </w:r>
      <w:r>
        <w:rPr>
          <w:sz w:val="22"/>
          <w:szCs w:val="22"/>
        </w:rPr>
        <w:t xml:space="preserve"> </w:t>
      </w:r>
      <w:r w:rsidRPr="00E7575D">
        <w:rPr>
          <w:sz w:val="22"/>
          <w:szCs w:val="22"/>
        </w:rPr>
        <w:t xml:space="preserve">School of </w:t>
      </w:r>
      <w:proofErr w:type="spellStart"/>
      <w:r w:rsidRPr="00E7575D">
        <w:rPr>
          <w:sz w:val="22"/>
          <w:szCs w:val="22"/>
        </w:rPr>
        <w:t>Geo</w:t>
      </w:r>
      <w:r>
        <w:rPr>
          <w:sz w:val="22"/>
          <w:szCs w:val="22"/>
        </w:rPr>
        <w:t>S</w:t>
      </w:r>
      <w:r w:rsidRPr="00E7575D">
        <w:rPr>
          <w:sz w:val="22"/>
          <w:szCs w:val="22"/>
        </w:rPr>
        <w:t>ciences</w:t>
      </w:r>
      <w:proofErr w:type="spellEnd"/>
      <w:r w:rsidRPr="00E7575D">
        <w:rPr>
          <w:sz w:val="22"/>
          <w:szCs w:val="22"/>
        </w:rPr>
        <w:t>, University of Edinburgh</w:t>
      </w:r>
      <w:r>
        <w:rPr>
          <w:sz w:val="22"/>
          <w:szCs w:val="22"/>
        </w:rPr>
        <w:t>, Edinburgh, UK</w:t>
      </w:r>
    </w:p>
    <w:p w14:paraId="08CDDA3F" w14:textId="37F37834" w:rsidR="007C424D" w:rsidRPr="00CD16BA" w:rsidRDefault="00E7575D" w:rsidP="0039267A">
      <w:pPr>
        <w:rPr>
          <w:sz w:val="22"/>
          <w:szCs w:val="22"/>
        </w:rPr>
      </w:pPr>
      <w:r w:rsidRPr="00E7575D">
        <w:rPr>
          <w:sz w:val="22"/>
          <w:szCs w:val="22"/>
          <w:vertAlign w:val="superscript"/>
        </w:rPr>
        <w:t>g</w:t>
      </w:r>
      <w:r>
        <w:rPr>
          <w:sz w:val="22"/>
          <w:szCs w:val="22"/>
        </w:rPr>
        <w:t xml:space="preserve"> </w:t>
      </w:r>
      <w:r w:rsidR="007C424D" w:rsidRPr="00E7575D">
        <w:rPr>
          <w:sz w:val="22"/>
          <w:szCs w:val="22"/>
        </w:rPr>
        <w:t>Diamond</w:t>
      </w:r>
      <w:r w:rsidR="007C424D" w:rsidRPr="00CD16BA">
        <w:rPr>
          <w:sz w:val="22"/>
          <w:szCs w:val="22"/>
        </w:rPr>
        <w:t xml:space="preserve"> Light Source Ltd., Harwell Science and Innovation Campus, Didcot, OX11 0DE, UK</w:t>
      </w:r>
    </w:p>
    <w:p w14:paraId="5C3A5829" w14:textId="2514CDC0" w:rsidR="007C424D" w:rsidRPr="00CD16BA" w:rsidRDefault="00E7575D" w:rsidP="0039267A">
      <w:pPr>
        <w:rPr>
          <w:sz w:val="22"/>
          <w:szCs w:val="22"/>
        </w:rPr>
      </w:pPr>
      <w:r>
        <w:rPr>
          <w:sz w:val="22"/>
          <w:szCs w:val="22"/>
          <w:vertAlign w:val="superscript"/>
        </w:rPr>
        <w:t>h</w:t>
      </w:r>
      <w:r w:rsidR="007C424D" w:rsidRPr="00CD16BA">
        <w:rPr>
          <w:sz w:val="22"/>
          <w:szCs w:val="22"/>
        </w:rPr>
        <w:t xml:space="preserve"> GEOMAR Helmholtz Centre for Ocean Research Kiel, Kiel, Germany</w:t>
      </w:r>
    </w:p>
    <w:p w14:paraId="4554FC5A" w14:textId="77777777" w:rsidR="007C424D" w:rsidRPr="00CD16BA" w:rsidRDefault="007C424D" w:rsidP="0039267A">
      <w:pPr>
        <w:rPr>
          <w:sz w:val="22"/>
          <w:szCs w:val="22"/>
        </w:rPr>
      </w:pPr>
    </w:p>
    <w:p w14:paraId="6861F244" w14:textId="77777777" w:rsidR="007C424D" w:rsidRPr="00CD16BA" w:rsidRDefault="007C424D" w:rsidP="0039267A">
      <w:pPr>
        <w:rPr>
          <w:sz w:val="22"/>
          <w:szCs w:val="22"/>
        </w:rPr>
      </w:pPr>
      <w:r w:rsidRPr="00CD16BA">
        <w:rPr>
          <w:sz w:val="22"/>
          <w:szCs w:val="22"/>
        </w:rPr>
        <w:t>*corresponding author</w:t>
      </w:r>
    </w:p>
    <w:p w14:paraId="10981849" w14:textId="77777777" w:rsidR="007C424D" w:rsidRPr="00CD16BA" w:rsidRDefault="007C424D" w:rsidP="0039267A"/>
    <w:p w14:paraId="35E86C7B" w14:textId="77777777" w:rsidR="007C424D" w:rsidRPr="00CD16BA" w:rsidRDefault="007C424D" w:rsidP="0039267A"/>
    <w:p w14:paraId="30967ADC" w14:textId="77777777" w:rsidR="007C424D" w:rsidRPr="00CD16BA" w:rsidRDefault="007C424D" w:rsidP="0039267A"/>
    <w:p w14:paraId="17F40B0A" w14:textId="77777777" w:rsidR="007C424D" w:rsidRPr="00CD16BA" w:rsidRDefault="007C424D" w:rsidP="0039267A"/>
    <w:p w14:paraId="08582C31" w14:textId="77777777" w:rsidR="007C424D" w:rsidRPr="00CD16BA" w:rsidRDefault="007C424D" w:rsidP="0039267A"/>
    <w:p w14:paraId="39A41810" w14:textId="77777777" w:rsidR="007C424D" w:rsidRPr="00CD16BA" w:rsidRDefault="007C424D" w:rsidP="0039267A"/>
    <w:p w14:paraId="673BE37E" w14:textId="77777777" w:rsidR="007C424D" w:rsidRPr="00CD16BA" w:rsidRDefault="007C424D" w:rsidP="0039267A"/>
    <w:p w14:paraId="7F935620" w14:textId="77777777" w:rsidR="007C424D" w:rsidRPr="00CD16BA" w:rsidRDefault="007C424D" w:rsidP="0039267A"/>
    <w:p w14:paraId="525C0568" w14:textId="77777777" w:rsidR="007C424D" w:rsidRPr="00CD16BA" w:rsidRDefault="007C424D" w:rsidP="0039267A"/>
    <w:p w14:paraId="2F484352" w14:textId="77777777" w:rsidR="007C424D" w:rsidRPr="00CD16BA" w:rsidRDefault="007C424D" w:rsidP="0039267A"/>
    <w:p w14:paraId="024B60C8" w14:textId="77777777" w:rsidR="007C424D" w:rsidRPr="00CD16BA" w:rsidRDefault="007C424D" w:rsidP="0039267A"/>
    <w:p w14:paraId="20CC90C8" w14:textId="77777777" w:rsidR="007C424D" w:rsidRPr="00CD16BA" w:rsidRDefault="007C424D" w:rsidP="0039267A"/>
    <w:p w14:paraId="62DAFE01" w14:textId="77777777" w:rsidR="007C424D" w:rsidRPr="00CD16BA" w:rsidRDefault="007C424D" w:rsidP="0039267A"/>
    <w:p w14:paraId="064F69CC" w14:textId="77777777" w:rsidR="007C424D" w:rsidRPr="00CD16BA" w:rsidRDefault="007C424D" w:rsidP="0039267A"/>
    <w:p w14:paraId="2F9A6D22" w14:textId="77777777" w:rsidR="007C424D" w:rsidRPr="00CD16BA" w:rsidRDefault="007C424D" w:rsidP="0039267A"/>
    <w:p w14:paraId="525989C4" w14:textId="77777777" w:rsidR="007C424D" w:rsidRPr="00CD16BA" w:rsidRDefault="007C424D" w:rsidP="0039267A"/>
    <w:p w14:paraId="50070AEE" w14:textId="77777777" w:rsidR="007C424D" w:rsidRPr="00CD16BA" w:rsidRDefault="007C424D" w:rsidP="0039267A"/>
    <w:p w14:paraId="393B276D" w14:textId="77777777" w:rsidR="007C424D" w:rsidRPr="00CD16BA" w:rsidRDefault="007C424D" w:rsidP="0039267A"/>
    <w:p w14:paraId="2D6447B5" w14:textId="77777777" w:rsidR="007C424D" w:rsidRPr="00CD16BA" w:rsidRDefault="007C424D" w:rsidP="0039267A"/>
    <w:p w14:paraId="7B1FACB0" w14:textId="77777777" w:rsidR="007C424D" w:rsidRPr="00CD16BA" w:rsidRDefault="007C424D" w:rsidP="0039267A"/>
    <w:p w14:paraId="0930D626" w14:textId="77777777" w:rsidR="007C424D" w:rsidRPr="00CD16BA" w:rsidRDefault="007C424D">
      <w:pPr>
        <w:rPr>
          <w:b/>
          <w:bCs/>
          <w:sz w:val="22"/>
          <w:szCs w:val="22"/>
        </w:rPr>
      </w:pPr>
      <w:r w:rsidRPr="00CD16BA">
        <w:rPr>
          <w:b/>
          <w:bCs/>
          <w:sz w:val="22"/>
          <w:szCs w:val="22"/>
        </w:rPr>
        <w:br w:type="page"/>
      </w:r>
    </w:p>
    <w:p w14:paraId="31942D2C" w14:textId="77777777" w:rsidR="007C424D" w:rsidRPr="00CD16BA" w:rsidRDefault="007C424D" w:rsidP="0039267A">
      <w:pPr>
        <w:spacing w:after="160" w:line="259" w:lineRule="auto"/>
        <w:jc w:val="both"/>
        <w:rPr>
          <w:b/>
          <w:bCs/>
          <w:sz w:val="22"/>
          <w:szCs w:val="22"/>
        </w:rPr>
      </w:pPr>
      <w:r w:rsidRPr="00CD16BA">
        <w:rPr>
          <w:b/>
          <w:bCs/>
          <w:sz w:val="22"/>
          <w:szCs w:val="22"/>
        </w:rPr>
        <w:lastRenderedPageBreak/>
        <w:t xml:space="preserve">Supplementary Note 1: Extended discussion of the NEXAFS data: </w:t>
      </w:r>
      <w:r w:rsidRPr="00CD16BA">
        <w:rPr>
          <w:sz w:val="22"/>
          <w:szCs w:val="22"/>
          <w:lang w:val="en-US"/>
        </w:rPr>
        <w:t xml:space="preserve">Determining a precise chemical signature of GPS and OC is hampered by the fact that these compounds are resistant to hydrolysis, and thus difficult to </w:t>
      </w:r>
      <w:r w:rsidRPr="00CD16BA">
        <w:rPr>
          <w:sz w:val="22"/>
          <w:szCs w:val="22"/>
        </w:rPr>
        <w:t>analyse</w:t>
      </w:r>
      <w:r w:rsidRPr="00CD16BA">
        <w:rPr>
          <w:sz w:val="22"/>
          <w:szCs w:val="22"/>
          <w:lang w:val="en-US"/>
        </w:rPr>
        <w:t xml:space="preserve"> via traditional </w:t>
      </w:r>
      <w:r w:rsidRPr="00CD16BA">
        <w:rPr>
          <w:sz w:val="22"/>
          <w:szCs w:val="22"/>
          <w:shd w:val="clear" w:color="auto" w:fill="FFFFFF" w:themeFill="background1"/>
          <w:lang w:val="en-US"/>
        </w:rPr>
        <w:t>techniques</w:t>
      </w:r>
      <w:r w:rsidRPr="0071449C">
        <w:rPr>
          <w:noProof/>
          <w:sz w:val="22"/>
          <w:szCs w:val="22"/>
          <w:shd w:val="clear" w:color="auto" w:fill="FFFFFF" w:themeFill="background1"/>
          <w:vertAlign w:val="superscript"/>
          <w:lang w:val="en-US"/>
        </w:rPr>
        <w:t>1</w:t>
      </w:r>
      <w:r w:rsidRPr="00D41680">
        <w:rPr>
          <w:sz w:val="22"/>
          <w:szCs w:val="22"/>
          <w:shd w:val="clear" w:color="auto" w:fill="FFFFFF" w:themeFill="background1"/>
          <w:vertAlign w:val="superscript"/>
          <w:lang w:val="en-US"/>
        </w:rPr>
        <w:t xml:space="preserve">, </w:t>
      </w:r>
      <w:r w:rsidRPr="00BC083C">
        <w:rPr>
          <w:noProof/>
          <w:sz w:val="22"/>
          <w:szCs w:val="22"/>
          <w:shd w:val="clear" w:color="auto" w:fill="FFFFFF" w:themeFill="background1"/>
          <w:vertAlign w:val="superscript"/>
          <w:lang w:val="en-US"/>
        </w:rPr>
        <w:t>2</w:t>
      </w:r>
      <w:r w:rsidRPr="00CD16BA">
        <w:rPr>
          <w:sz w:val="22"/>
          <w:szCs w:val="22"/>
          <w:shd w:val="clear" w:color="auto" w:fill="FFFFFF" w:themeFill="background1"/>
          <w:lang w:val="en-US"/>
        </w:rPr>
        <w:t>, resulting in &gt;</w:t>
      </w:r>
      <w:r w:rsidRPr="00CD16BA">
        <w:rPr>
          <w:sz w:val="22"/>
          <w:szCs w:val="22"/>
          <w:lang w:val="en-US"/>
        </w:rPr>
        <w:t xml:space="preserve">70% of OC in sediments being classed as the molecularly </w:t>
      </w:r>
      <w:proofErr w:type="spellStart"/>
      <w:r w:rsidRPr="00CD16BA">
        <w:rPr>
          <w:sz w:val="22"/>
          <w:szCs w:val="22"/>
          <w:lang w:val="en-US"/>
        </w:rPr>
        <w:t>uncharacterised</w:t>
      </w:r>
      <w:proofErr w:type="spellEnd"/>
      <w:r w:rsidRPr="00CD16BA">
        <w:rPr>
          <w:sz w:val="22"/>
          <w:szCs w:val="22"/>
          <w:lang w:val="en-US"/>
        </w:rPr>
        <w:t xml:space="preserve"> component (MUC)</w:t>
      </w:r>
      <w:r w:rsidRPr="00D57B17">
        <w:rPr>
          <w:noProof/>
          <w:sz w:val="22"/>
          <w:szCs w:val="22"/>
          <w:vertAlign w:val="superscript"/>
          <w:lang w:val="en-US"/>
        </w:rPr>
        <w:t xml:space="preserve"> 3</w:t>
      </w:r>
      <w:r w:rsidRPr="00CD16BA">
        <w:rPr>
          <w:sz w:val="22"/>
          <w:szCs w:val="22"/>
          <w:shd w:val="clear" w:color="auto" w:fill="FFFFFF" w:themeFill="background1"/>
          <w:lang w:val="en-US"/>
        </w:rPr>
        <w:t>.</w:t>
      </w:r>
      <w:r w:rsidRPr="00CD16BA">
        <w:rPr>
          <w:sz w:val="22"/>
          <w:szCs w:val="22"/>
          <w:lang w:val="en-US"/>
        </w:rPr>
        <w:t xml:space="preserve"> Many analytical techniques also generate artifacts of the same chemical signatures that might be expected for complex organics</w:t>
      </w:r>
      <w:r w:rsidRPr="00D57B17">
        <w:rPr>
          <w:noProof/>
          <w:sz w:val="22"/>
          <w:szCs w:val="22"/>
          <w:vertAlign w:val="superscript"/>
          <w:lang w:val="en-US"/>
        </w:rPr>
        <w:t>1</w:t>
      </w:r>
      <w:r w:rsidRPr="00CD16BA">
        <w:rPr>
          <w:sz w:val="22"/>
          <w:szCs w:val="22"/>
          <w:shd w:val="clear" w:color="auto" w:fill="FFFFFF" w:themeFill="background1"/>
          <w:lang w:val="en-US"/>
        </w:rPr>
        <w:t>.</w:t>
      </w:r>
      <w:r w:rsidRPr="00CD16BA">
        <w:rPr>
          <w:sz w:val="22"/>
          <w:szCs w:val="22"/>
          <w:lang w:val="en-US"/>
        </w:rPr>
        <w:t xml:space="preserve"> In this study we use the non-destructive method of near-edge X-ray absorption fine structure (NEXAFS) spectroscopy to compare the chemical signature of our GPS to both total OC and N in margin sediments from a global sample set (Fig. </w:t>
      </w:r>
      <w:r>
        <w:rPr>
          <w:sz w:val="22"/>
          <w:szCs w:val="22"/>
          <w:lang w:val="en-US"/>
        </w:rPr>
        <w:t>1</w:t>
      </w:r>
      <w:r w:rsidRPr="00CD16BA">
        <w:rPr>
          <w:sz w:val="22"/>
          <w:szCs w:val="22"/>
          <w:lang w:val="en-US"/>
        </w:rPr>
        <w:t xml:space="preserve"> main text; Supplementary Table 2). We chemically </w:t>
      </w:r>
      <w:proofErr w:type="spellStart"/>
      <w:r w:rsidRPr="00CD16BA">
        <w:rPr>
          <w:sz w:val="22"/>
          <w:szCs w:val="22"/>
          <w:lang w:val="en-US"/>
        </w:rPr>
        <w:t>characterise</w:t>
      </w:r>
      <w:proofErr w:type="spellEnd"/>
      <w:r w:rsidRPr="00CD16BA">
        <w:rPr>
          <w:sz w:val="22"/>
          <w:szCs w:val="22"/>
          <w:lang w:val="en-US"/>
        </w:rPr>
        <w:t xml:space="preserve"> the GPS present in the experimental solutions (separated from their respective catalyst) and also any OC and N associated with the solid residue in the ferrihydrite catalysed experiments. We compare these to sediment OC and N from continental </w:t>
      </w:r>
      <w:r w:rsidRPr="00CD16BA">
        <w:rPr>
          <w:sz w:val="22"/>
          <w:szCs w:val="22"/>
        </w:rPr>
        <w:t>shelf</w:t>
      </w:r>
      <w:r w:rsidRPr="00CD16BA">
        <w:rPr>
          <w:sz w:val="22"/>
          <w:szCs w:val="22"/>
          <w:lang w:val="en-US"/>
        </w:rPr>
        <w:t xml:space="preserve"> settings (water depth </w:t>
      </w:r>
      <w:r w:rsidRPr="00CD16BA">
        <w:rPr>
          <w:rFonts w:eastAsia="Symbol" w:cs="Symbol"/>
          <w:sz w:val="22"/>
          <w:szCs w:val="22"/>
          <w:lang w:val="en-US"/>
        </w:rPr>
        <w:t>&lt;</w:t>
      </w:r>
      <w:r w:rsidRPr="00CD16BA">
        <w:rPr>
          <w:sz w:val="22"/>
          <w:szCs w:val="22"/>
          <w:lang w:val="en-US"/>
        </w:rPr>
        <w:t>200 m) across a range of latitudes from 76</w:t>
      </w:r>
      <w:r w:rsidRPr="00CD16BA">
        <w:rPr>
          <w:sz w:val="22"/>
          <w:szCs w:val="22"/>
          <w:vertAlign w:val="superscript"/>
          <w:lang w:val="en-US"/>
        </w:rPr>
        <w:t>o</w:t>
      </w:r>
      <w:r w:rsidRPr="00CD16BA">
        <w:rPr>
          <w:sz w:val="22"/>
          <w:szCs w:val="22"/>
          <w:lang w:val="en-US"/>
        </w:rPr>
        <w:t xml:space="preserve"> N (Arctic) to 54</w:t>
      </w:r>
      <w:r w:rsidRPr="00CD16BA">
        <w:rPr>
          <w:sz w:val="22"/>
          <w:szCs w:val="22"/>
          <w:vertAlign w:val="superscript"/>
          <w:lang w:val="en-US"/>
        </w:rPr>
        <w:t>o</w:t>
      </w:r>
      <w:r w:rsidRPr="00CD16BA">
        <w:rPr>
          <w:sz w:val="22"/>
          <w:szCs w:val="22"/>
          <w:lang w:val="en-US"/>
        </w:rPr>
        <w:t xml:space="preserve"> S (Sub-Antarctic) and a range of ages from modern (Sub-Antarctic, Uruguay, Eastern Mediterranean, Chesapeake Bay, Celtic Sea and Arctic) to Miocene sediments (Monterey Formation deposited between 6-17 Ma) which represent a spectrum of organic sources and ages (Fig. </w:t>
      </w:r>
      <w:r>
        <w:rPr>
          <w:sz w:val="22"/>
          <w:szCs w:val="22"/>
          <w:lang w:val="en-US"/>
        </w:rPr>
        <w:t>1</w:t>
      </w:r>
      <w:r w:rsidRPr="00CD16BA">
        <w:rPr>
          <w:sz w:val="22"/>
          <w:szCs w:val="22"/>
          <w:lang w:val="en-US"/>
        </w:rPr>
        <w:t xml:space="preserve"> main text; Supplementary Table 2). </w:t>
      </w:r>
    </w:p>
    <w:p w14:paraId="1C95C1C2" w14:textId="77777777" w:rsidR="007C424D" w:rsidRPr="00CD16BA" w:rsidRDefault="007C424D" w:rsidP="0039267A">
      <w:pPr>
        <w:spacing w:after="160" w:line="259" w:lineRule="auto"/>
        <w:jc w:val="both"/>
        <w:rPr>
          <w:sz w:val="22"/>
          <w:szCs w:val="22"/>
          <w:lang w:val="en-US"/>
        </w:rPr>
      </w:pPr>
      <w:r w:rsidRPr="00CD16BA">
        <w:rPr>
          <w:sz w:val="22"/>
          <w:szCs w:val="22"/>
          <w:lang w:val="en-US"/>
        </w:rPr>
        <w:t xml:space="preserve">The C 1s NEXAFS spectra of our GPS present in the experimental solutions </w:t>
      </w:r>
      <w:r w:rsidRPr="00CD16BA">
        <w:rPr>
          <w:rFonts w:cs="Lucida Grande"/>
          <w:sz w:val="22"/>
          <w:szCs w:val="22"/>
        </w:rPr>
        <w:t xml:space="preserve">(Fig. </w:t>
      </w:r>
      <w:r>
        <w:rPr>
          <w:rFonts w:cs="Lucida Grande"/>
          <w:sz w:val="22"/>
          <w:szCs w:val="22"/>
        </w:rPr>
        <w:t>1</w:t>
      </w:r>
      <w:r w:rsidRPr="00CD16BA">
        <w:rPr>
          <w:rFonts w:cs="Lucida Grande"/>
          <w:sz w:val="22"/>
          <w:szCs w:val="22"/>
        </w:rPr>
        <w:t>a main text</w:t>
      </w:r>
      <w:r w:rsidRPr="00CD16BA">
        <w:rPr>
          <w:sz w:val="22"/>
          <w:szCs w:val="22"/>
          <w:lang w:val="en-US"/>
        </w:rPr>
        <w:t xml:space="preserve">) show three broad peaks in regions corresponding to </w:t>
      </w:r>
      <w:r w:rsidRPr="00CD16BA">
        <w:rPr>
          <w:rFonts w:cs="Lucida Grande"/>
          <w:sz w:val="22"/>
          <w:szCs w:val="22"/>
        </w:rPr>
        <w:t>(Supplementary Table 3)</w:t>
      </w:r>
      <w:r w:rsidRPr="00CD16BA">
        <w:rPr>
          <w:sz w:val="22"/>
          <w:szCs w:val="22"/>
          <w:lang w:val="en-US"/>
        </w:rPr>
        <w:t>:</w:t>
      </w:r>
    </w:p>
    <w:p w14:paraId="383701F9" w14:textId="77777777" w:rsidR="007C424D" w:rsidRPr="00CD16BA" w:rsidRDefault="007C424D" w:rsidP="0039267A">
      <w:pPr>
        <w:spacing w:after="160" w:line="259" w:lineRule="auto"/>
        <w:jc w:val="both"/>
        <w:rPr>
          <w:sz w:val="22"/>
          <w:szCs w:val="22"/>
          <w:lang w:val="en-US"/>
        </w:rPr>
      </w:pPr>
      <w:r w:rsidRPr="00CD16BA">
        <w:rPr>
          <w:i/>
          <w:iCs/>
          <w:sz w:val="22"/>
          <w:szCs w:val="22"/>
          <w:lang w:val="en-US"/>
        </w:rPr>
        <w:t>aromatic C</w:t>
      </w:r>
      <w:r w:rsidRPr="00CD16BA">
        <w:rPr>
          <w:sz w:val="22"/>
          <w:szCs w:val="22"/>
          <w:lang w:val="en-US"/>
        </w:rPr>
        <w:t xml:space="preserve"> (C region 1: comprising C 1s </w:t>
      </w:r>
      <w:r w:rsidRPr="00CD16BA">
        <w:rPr>
          <w:rFonts w:cs="Lucida Grande"/>
          <w:sz w:val="22"/>
          <w:szCs w:val="22"/>
        </w:rPr>
        <w:t xml:space="preserve">π* transitions associated with C=C at </w:t>
      </w:r>
      <w:r w:rsidRPr="00CD16BA">
        <w:rPr>
          <w:sz w:val="22"/>
          <w:szCs w:val="22"/>
          <w:lang w:val="en-US"/>
        </w:rPr>
        <w:t xml:space="preserve">284.9 – 285.5 eV); </w:t>
      </w:r>
    </w:p>
    <w:p w14:paraId="315386C6" w14:textId="77777777" w:rsidR="007C424D" w:rsidRPr="00CD16BA" w:rsidRDefault="007C424D" w:rsidP="0039267A">
      <w:pPr>
        <w:spacing w:after="160" w:line="259" w:lineRule="auto"/>
        <w:jc w:val="both"/>
        <w:rPr>
          <w:rFonts w:cs="Lucida Grande"/>
          <w:sz w:val="22"/>
          <w:szCs w:val="22"/>
        </w:rPr>
      </w:pPr>
      <w:r w:rsidRPr="00CD16BA">
        <w:rPr>
          <w:i/>
          <w:iCs/>
          <w:sz w:val="22"/>
          <w:szCs w:val="22"/>
          <w:lang w:val="en-US"/>
        </w:rPr>
        <w:t>aromatic, aromatic N-substituted, ketonic, carbonyl and/or phenolic C</w:t>
      </w:r>
      <w:r w:rsidRPr="00CD16BA">
        <w:rPr>
          <w:sz w:val="22"/>
          <w:szCs w:val="22"/>
          <w:lang w:val="en-US"/>
        </w:rPr>
        <w:t xml:space="preserve"> (C region 2: comprising C 1s </w:t>
      </w:r>
      <w:r w:rsidRPr="00CD16BA">
        <w:rPr>
          <w:rFonts w:cs="Lucida Grande"/>
          <w:sz w:val="22"/>
          <w:szCs w:val="22"/>
        </w:rPr>
        <w:t xml:space="preserve">π* transitions associated with aromatic and aromatic N-substituted C=C, C=O, C-N, C=N at 286 – 286.5 eV, and with aromatic, ketonic, carbonyl and phenolic C=O, R-(C=O)-R’, C=C-OH at 286.5 – 287.4 eV); </w:t>
      </w:r>
    </w:p>
    <w:p w14:paraId="6C66212F" w14:textId="77777777" w:rsidR="007C424D" w:rsidRPr="00CD16BA" w:rsidRDefault="007C424D" w:rsidP="0039267A">
      <w:pPr>
        <w:spacing w:after="160" w:line="259" w:lineRule="auto"/>
        <w:jc w:val="both"/>
        <w:rPr>
          <w:rFonts w:cs="Lucida Grande"/>
          <w:sz w:val="22"/>
          <w:szCs w:val="22"/>
        </w:rPr>
      </w:pPr>
      <w:r w:rsidRPr="00CD16BA">
        <w:rPr>
          <w:rFonts w:cs="Lucida Grande"/>
          <w:i/>
          <w:iCs/>
          <w:sz w:val="22"/>
          <w:szCs w:val="22"/>
        </w:rPr>
        <w:t>carboxyl, carbonyl and/or amide C</w:t>
      </w:r>
      <w:r w:rsidRPr="00CD16BA">
        <w:rPr>
          <w:rFonts w:cs="Lucida Grande"/>
          <w:sz w:val="22"/>
          <w:szCs w:val="22"/>
        </w:rPr>
        <w:t xml:space="preserve"> (C region 3: </w:t>
      </w:r>
      <w:r w:rsidRPr="00CD16BA">
        <w:rPr>
          <w:sz w:val="22"/>
          <w:szCs w:val="22"/>
          <w:lang w:val="en-US"/>
        </w:rPr>
        <w:t xml:space="preserve">comprising C 1s </w:t>
      </w:r>
      <w:r w:rsidRPr="00CD16BA">
        <w:rPr>
          <w:rFonts w:cs="Lucida Grande"/>
          <w:sz w:val="22"/>
          <w:szCs w:val="22"/>
        </w:rPr>
        <w:t xml:space="preserve">π* transitions associated with R-COOH, COO, C=O, </w:t>
      </w:r>
      <w:r w:rsidRPr="00CD16BA">
        <w:rPr>
          <w:rFonts w:cstheme="minorHAnsi"/>
          <w:sz w:val="22"/>
          <w:szCs w:val="22"/>
        </w:rPr>
        <w:t>NH</w:t>
      </w:r>
      <w:r w:rsidRPr="00CD16BA">
        <w:rPr>
          <w:rFonts w:cstheme="minorHAnsi"/>
          <w:sz w:val="22"/>
          <w:szCs w:val="22"/>
          <w:vertAlign w:val="subscript"/>
        </w:rPr>
        <w:t>2</w:t>
      </w:r>
      <w:r w:rsidRPr="00CD16BA">
        <w:rPr>
          <w:rFonts w:cstheme="minorHAnsi"/>
          <w:sz w:val="22"/>
          <w:szCs w:val="22"/>
        </w:rPr>
        <w:t>-C=O, R-(NH</w:t>
      </w:r>
      <w:r w:rsidRPr="00CD16BA">
        <w:rPr>
          <w:rFonts w:cstheme="minorHAnsi"/>
          <w:sz w:val="22"/>
          <w:szCs w:val="22"/>
          <w:vertAlign w:val="subscript"/>
        </w:rPr>
        <w:t>2</w:t>
      </w:r>
      <w:r w:rsidRPr="00CD16BA">
        <w:rPr>
          <w:rFonts w:cstheme="minorHAnsi"/>
          <w:sz w:val="22"/>
          <w:szCs w:val="22"/>
        </w:rPr>
        <w:t xml:space="preserve">)-R’ </w:t>
      </w:r>
      <w:r w:rsidRPr="00CD16BA">
        <w:rPr>
          <w:rFonts w:cs="Lucida Grande"/>
          <w:sz w:val="22"/>
          <w:szCs w:val="22"/>
        </w:rPr>
        <w:t xml:space="preserve">at 287.7 – 289.0 eV). </w:t>
      </w:r>
    </w:p>
    <w:p w14:paraId="2513FE50" w14:textId="77777777" w:rsidR="007C424D" w:rsidRPr="00CD16BA" w:rsidRDefault="007C424D" w:rsidP="0039267A">
      <w:pPr>
        <w:spacing w:after="160" w:line="259" w:lineRule="auto"/>
        <w:jc w:val="both"/>
        <w:rPr>
          <w:rFonts w:cs="Lucida Grande"/>
          <w:sz w:val="22"/>
          <w:szCs w:val="22"/>
        </w:rPr>
      </w:pPr>
      <w:r w:rsidRPr="00CD16BA">
        <w:rPr>
          <w:rFonts w:cs="Lucida Grande"/>
          <w:sz w:val="22"/>
          <w:szCs w:val="22"/>
        </w:rPr>
        <w:t xml:space="preserve">The N 1s NEXAFS spectra of our GPS (Fig. </w:t>
      </w:r>
      <w:r>
        <w:rPr>
          <w:rFonts w:cs="Lucida Grande"/>
          <w:sz w:val="22"/>
          <w:szCs w:val="22"/>
        </w:rPr>
        <w:t>1</w:t>
      </w:r>
      <w:r w:rsidRPr="00CD16BA">
        <w:rPr>
          <w:rFonts w:cs="Lucida Grande"/>
          <w:sz w:val="22"/>
          <w:szCs w:val="22"/>
        </w:rPr>
        <w:t xml:space="preserve">b main text) show two broad peaks in regions corresponding to </w:t>
      </w:r>
      <w:r w:rsidRPr="00CD16BA">
        <w:rPr>
          <w:sz w:val="22"/>
          <w:szCs w:val="22"/>
          <w:lang w:val="en-US"/>
        </w:rPr>
        <w:t>(</w:t>
      </w:r>
      <w:r w:rsidRPr="00CD16BA">
        <w:rPr>
          <w:rFonts w:cs="Lucida Grande"/>
          <w:sz w:val="22"/>
          <w:szCs w:val="22"/>
        </w:rPr>
        <w:t>Supplementary</w:t>
      </w:r>
      <w:r w:rsidRPr="00CD16BA">
        <w:rPr>
          <w:sz w:val="22"/>
          <w:szCs w:val="22"/>
          <w:lang w:val="en-US"/>
        </w:rPr>
        <w:t xml:space="preserve"> Table 4)</w:t>
      </w:r>
      <w:r w:rsidRPr="00CD16BA">
        <w:rPr>
          <w:rFonts w:cs="Lucida Grande"/>
          <w:sz w:val="22"/>
          <w:szCs w:val="22"/>
        </w:rPr>
        <w:t>:</w:t>
      </w:r>
    </w:p>
    <w:p w14:paraId="0B100ED2" w14:textId="77777777" w:rsidR="007C424D" w:rsidRPr="00CD16BA" w:rsidRDefault="007C424D" w:rsidP="0039267A">
      <w:pPr>
        <w:spacing w:after="160" w:line="259" w:lineRule="auto"/>
        <w:jc w:val="both"/>
        <w:rPr>
          <w:rFonts w:cs="Lucida Grande"/>
          <w:sz w:val="22"/>
          <w:szCs w:val="22"/>
        </w:rPr>
      </w:pPr>
      <w:r w:rsidRPr="00CD16BA">
        <w:rPr>
          <w:rFonts w:cs="Lucida Grande"/>
          <w:i/>
          <w:iCs/>
          <w:sz w:val="22"/>
          <w:szCs w:val="22"/>
        </w:rPr>
        <w:t>aromatic N</w:t>
      </w:r>
      <w:r w:rsidRPr="00CD16BA">
        <w:rPr>
          <w:rFonts w:cs="Lucida Grande"/>
          <w:sz w:val="22"/>
          <w:szCs w:val="22"/>
        </w:rPr>
        <w:t xml:space="preserve"> (N region 1: comprising N 1s π* transitions associated with pyridinic, </w:t>
      </w:r>
      <w:proofErr w:type="spellStart"/>
      <w:r w:rsidRPr="00CD16BA">
        <w:rPr>
          <w:rFonts w:cs="Lucida Grande"/>
          <w:sz w:val="22"/>
          <w:szCs w:val="22"/>
        </w:rPr>
        <w:t>pyrazinic</w:t>
      </w:r>
      <w:proofErr w:type="spellEnd"/>
      <w:r w:rsidRPr="00CD16BA">
        <w:rPr>
          <w:rFonts w:cs="Lucida Grande"/>
          <w:sz w:val="22"/>
          <w:szCs w:val="22"/>
        </w:rPr>
        <w:t xml:space="preserve"> and </w:t>
      </w:r>
      <w:proofErr w:type="spellStart"/>
      <w:r w:rsidRPr="00CD16BA">
        <w:rPr>
          <w:rFonts w:cs="Lucida Grande"/>
          <w:sz w:val="22"/>
          <w:szCs w:val="22"/>
        </w:rPr>
        <w:t>pyramidinic</w:t>
      </w:r>
      <w:proofErr w:type="spellEnd"/>
      <w:r w:rsidRPr="00CD16BA">
        <w:rPr>
          <w:rFonts w:cs="Lucida Grande"/>
          <w:sz w:val="22"/>
          <w:szCs w:val="22"/>
        </w:rPr>
        <w:t xml:space="preserve"> N=C at 398.6 – 402.2 eV, and with pyrrolic, </w:t>
      </w:r>
      <w:proofErr w:type="spellStart"/>
      <w:r w:rsidRPr="00CD16BA">
        <w:rPr>
          <w:rFonts w:cs="Lucida Grande"/>
          <w:sz w:val="22"/>
          <w:szCs w:val="22"/>
        </w:rPr>
        <w:t>pyrazolic</w:t>
      </w:r>
      <w:proofErr w:type="spellEnd"/>
      <w:r w:rsidRPr="00CD16BA">
        <w:rPr>
          <w:rFonts w:cs="Lucida Grande"/>
          <w:sz w:val="22"/>
          <w:szCs w:val="22"/>
        </w:rPr>
        <w:t xml:space="preserve"> and </w:t>
      </w:r>
      <w:proofErr w:type="spellStart"/>
      <w:r w:rsidRPr="00CD16BA">
        <w:rPr>
          <w:rFonts w:cs="Lucida Grande"/>
          <w:sz w:val="22"/>
          <w:szCs w:val="22"/>
        </w:rPr>
        <w:t>imadazolic</w:t>
      </w:r>
      <w:proofErr w:type="spellEnd"/>
      <w:r w:rsidRPr="00CD16BA">
        <w:rPr>
          <w:rFonts w:cs="Lucida Grande"/>
          <w:sz w:val="22"/>
          <w:szCs w:val="22"/>
        </w:rPr>
        <w:t xml:space="preserve"> N-C at 400 – 403.5 eV);</w:t>
      </w:r>
    </w:p>
    <w:p w14:paraId="021533E8" w14:textId="77777777" w:rsidR="007C424D" w:rsidRPr="00CD16BA" w:rsidRDefault="007C424D" w:rsidP="0039267A">
      <w:pPr>
        <w:spacing w:after="160" w:line="259" w:lineRule="auto"/>
        <w:jc w:val="both"/>
        <w:rPr>
          <w:rFonts w:cs="Lucida Grande"/>
          <w:sz w:val="22"/>
          <w:szCs w:val="22"/>
          <w:lang w:val="pt-BR"/>
        </w:rPr>
      </w:pPr>
      <w:r w:rsidRPr="00CD16BA">
        <w:rPr>
          <w:rFonts w:cs="Lucida Grande"/>
          <w:i/>
          <w:iCs/>
          <w:sz w:val="22"/>
          <w:szCs w:val="22"/>
          <w:lang w:val="pt-BR"/>
        </w:rPr>
        <w:t>amino N</w:t>
      </w:r>
      <w:r w:rsidRPr="00CD16BA">
        <w:rPr>
          <w:rFonts w:cs="Lucida Grande"/>
          <w:sz w:val="22"/>
          <w:szCs w:val="22"/>
          <w:lang w:val="pt-BR"/>
        </w:rPr>
        <w:t xml:space="preserve"> (N </w:t>
      </w:r>
      <w:proofErr w:type="spellStart"/>
      <w:r w:rsidRPr="00CD16BA">
        <w:rPr>
          <w:rFonts w:cs="Lucida Grande"/>
          <w:sz w:val="22"/>
          <w:szCs w:val="22"/>
          <w:lang w:val="pt-BR"/>
        </w:rPr>
        <w:t>region</w:t>
      </w:r>
      <w:proofErr w:type="spellEnd"/>
      <w:r w:rsidRPr="00CD16BA">
        <w:rPr>
          <w:rFonts w:cs="Lucida Grande"/>
          <w:sz w:val="22"/>
          <w:szCs w:val="22"/>
          <w:lang w:val="pt-BR"/>
        </w:rPr>
        <w:t xml:space="preserve"> 2: </w:t>
      </w:r>
      <w:proofErr w:type="spellStart"/>
      <w:r w:rsidRPr="00CD16BA">
        <w:rPr>
          <w:rFonts w:cs="Lucida Grande"/>
          <w:sz w:val="22"/>
          <w:szCs w:val="22"/>
          <w:lang w:val="pt-BR"/>
        </w:rPr>
        <w:t>comprising</w:t>
      </w:r>
      <w:proofErr w:type="spellEnd"/>
      <w:r w:rsidRPr="00CD16BA">
        <w:rPr>
          <w:rFonts w:cs="Lucida Grande"/>
          <w:sz w:val="22"/>
          <w:szCs w:val="22"/>
          <w:lang w:val="pt-BR"/>
        </w:rPr>
        <w:t xml:space="preserve"> N 1s </w:t>
      </w:r>
      <w:r w:rsidRPr="00CD16BA">
        <w:rPr>
          <w:rFonts w:cs="Lucida Grande"/>
          <w:sz w:val="22"/>
          <w:szCs w:val="22"/>
        </w:rPr>
        <w:t>σ</w:t>
      </w:r>
      <w:r w:rsidRPr="00CD16BA">
        <w:rPr>
          <w:rFonts w:cs="Lucida Grande"/>
          <w:sz w:val="22"/>
          <w:szCs w:val="22"/>
          <w:lang w:val="pt-BR"/>
        </w:rPr>
        <w:t xml:space="preserve">* </w:t>
      </w:r>
      <w:proofErr w:type="spellStart"/>
      <w:r w:rsidRPr="00CD16BA">
        <w:rPr>
          <w:rFonts w:cs="Lucida Grande"/>
          <w:sz w:val="22"/>
          <w:szCs w:val="22"/>
          <w:lang w:val="pt-BR"/>
        </w:rPr>
        <w:t>transitions</w:t>
      </w:r>
      <w:proofErr w:type="spellEnd"/>
      <w:r w:rsidRPr="00CD16BA">
        <w:rPr>
          <w:rFonts w:cs="Lucida Grande"/>
          <w:sz w:val="22"/>
          <w:szCs w:val="22"/>
          <w:lang w:val="pt-BR"/>
        </w:rPr>
        <w:t xml:space="preserve"> </w:t>
      </w:r>
      <w:proofErr w:type="spellStart"/>
      <w:r w:rsidRPr="00CD16BA">
        <w:rPr>
          <w:rFonts w:cs="Lucida Grande"/>
          <w:sz w:val="22"/>
          <w:szCs w:val="22"/>
          <w:lang w:val="pt-BR"/>
        </w:rPr>
        <w:t>associated</w:t>
      </w:r>
      <w:proofErr w:type="spellEnd"/>
      <w:r w:rsidRPr="00CD16BA">
        <w:rPr>
          <w:rFonts w:cs="Lucida Grande"/>
          <w:sz w:val="22"/>
          <w:szCs w:val="22"/>
          <w:lang w:val="pt-BR"/>
        </w:rPr>
        <w:t xml:space="preserve"> </w:t>
      </w:r>
      <w:proofErr w:type="spellStart"/>
      <w:r w:rsidRPr="00CD16BA">
        <w:rPr>
          <w:rFonts w:cs="Lucida Grande"/>
          <w:sz w:val="22"/>
          <w:szCs w:val="22"/>
          <w:lang w:val="pt-BR"/>
        </w:rPr>
        <w:t>with</w:t>
      </w:r>
      <w:proofErr w:type="spellEnd"/>
      <w:r w:rsidRPr="00CD16BA">
        <w:rPr>
          <w:rFonts w:cs="Lucida Grande"/>
          <w:sz w:val="22"/>
          <w:szCs w:val="22"/>
          <w:lang w:val="pt-BR"/>
        </w:rPr>
        <w:t xml:space="preserve"> N-C, N-H </w:t>
      </w:r>
      <w:proofErr w:type="spellStart"/>
      <w:r w:rsidRPr="00CD16BA">
        <w:rPr>
          <w:rFonts w:cs="Lucida Grande"/>
          <w:sz w:val="22"/>
          <w:szCs w:val="22"/>
          <w:lang w:val="pt-BR"/>
        </w:rPr>
        <w:t>at</w:t>
      </w:r>
      <w:proofErr w:type="spellEnd"/>
      <w:r w:rsidRPr="00CD16BA">
        <w:rPr>
          <w:rFonts w:cs="Lucida Grande"/>
          <w:sz w:val="22"/>
          <w:szCs w:val="22"/>
          <w:lang w:val="pt-BR"/>
        </w:rPr>
        <w:t xml:space="preserve"> 405.5 – 409.7 </w:t>
      </w:r>
      <w:proofErr w:type="spellStart"/>
      <w:r w:rsidRPr="00CD16BA">
        <w:rPr>
          <w:rFonts w:cs="Lucida Grande"/>
          <w:sz w:val="22"/>
          <w:szCs w:val="22"/>
          <w:lang w:val="pt-BR"/>
        </w:rPr>
        <w:t>eV</w:t>
      </w:r>
      <w:proofErr w:type="spellEnd"/>
      <w:r w:rsidRPr="00CD16BA">
        <w:rPr>
          <w:rFonts w:cs="Lucida Grande"/>
          <w:sz w:val="22"/>
          <w:szCs w:val="22"/>
          <w:lang w:val="pt-BR"/>
        </w:rPr>
        <w:t xml:space="preserve">) </w:t>
      </w:r>
      <w:r w:rsidRPr="00CD16BA">
        <w:rPr>
          <w:sz w:val="22"/>
          <w:szCs w:val="22"/>
          <w:lang w:val="pt-BR"/>
        </w:rPr>
        <w:t xml:space="preserve"> . </w:t>
      </w:r>
    </w:p>
    <w:p w14:paraId="027505CE" w14:textId="77777777" w:rsidR="007C424D" w:rsidRPr="00CD16BA" w:rsidRDefault="007C424D" w:rsidP="0039267A">
      <w:pPr>
        <w:spacing w:after="160" w:line="259" w:lineRule="auto"/>
        <w:jc w:val="both"/>
        <w:rPr>
          <w:sz w:val="22"/>
          <w:szCs w:val="22"/>
          <w:lang w:val="en-US"/>
        </w:rPr>
      </w:pPr>
      <w:r w:rsidRPr="00CD16BA">
        <w:rPr>
          <w:sz w:val="22"/>
          <w:szCs w:val="22"/>
          <w:lang w:val="en-US"/>
        </w:rPr>
        <w:t>End products of the Maillard reaction are very complex and not yet completely characterised</w:t>
      </w:r>
      <w:r w:rsidRPr="00D57B17">
        <w:rPr>
          <w:noProof/>
          <w:sz w:val="22"/>
          <w:szCs w:val="22"/>
          <w:vertAlign w:val="superscript"/>
          <w:lang w:val="en-US"/>
        </w:rPr>
        <w:t>4</w:t>
      </w:r>
      <w:r w:rsidRPr="00CD16BA">
        <w:rPr>
          <w:sz w:val="22"/>
          <w:szCs w:val="22"/>
          <w:lang w:val="en-US"/>
        </w:rPr>
        <w:t>, but are reported to contain aromatic C compounds in the form of furans (heterocyclic 5-membered aromatic rings, containing 4 C and 1 O) consistent with C region 1, carbonyl compounds (C=O) consistent with C region 2, and a variety of heterocyclic N-substituted aromatic rings, including pyridines (heterocyclic 6-membered aromatic rings, containing 5 C and 1 N), pyrazines (heterocyclic 6-membered aromatic rings, containing 4 C and 2 N) and pyrroles (heterocyclic 5-membered aromatic rings, containing 4 C and 1 N) all consistent with the presence of one broad or multiple more defined peaks in N region 1</w:t>
      </w:r>
      <w:r w:rsidRPr="00D57B17">
        <w:rPr>
          <w:noProof/>
          <w:sz w:val="22"/>
          <w:szCs w:val="22"/>
          <w:vertAlign w:val="superscript"/>
          <w:lang w:val="en-US"/>
        </w:rPr>
        <w:t>4-7</w:t>
      </w:r>
      <w:r w:rsidRPr="00CD16BA">
        <w:rPr>
          <w:sz w:val="22"/>
          <w:szCs w:val="22"/>
          <w:lang w:val="en-US"/>
        </w:rPr>
        <w:t xml:space="preserve">. </w:t>
      </w:r>
    </w:p>
    <w:p w14:paraId="5E6C5DFE" w14:textId="77777777" w:rsidR="007C424D" w:rsidRPr="00CD16BA" w:rsidRDefault="007C424D" w:rsidP="0039267A">
      <w:pPr>
        <w:spacing w:after="160" w:line="259" w:lineRule="auto"/>
        <w:jc w:val="both"/>
        <w:rPr>
          <w:sz w:val="22"/>
          <w:szCs w:val="22"/>
          <w:lang w:val="en-US"/>
        </w:rPr>
      </w:pPr>
      <w:r w:rsidRPr="00CD16BA">
        <w:rPr>
          <w:sz w:val="22"/>
          <w:szCs w:val="22"/>
          <w:lang w:val="en-US"/>
        </w:rPr>
        <w:t xml:space="preserve">We therefore assign peaks or significant spectral content in C region 1 and 2 to aromatic C and carbonyl compounds, respectively. Similarly we assign peaks or significant spectral content in N region 1 to heterocyclic N compounds. The C peaks in C region 3 (carboxylic, carbonyl and/or amide C) and the N peaks in N region 2 (amino N) likely reflect structural features (i.e., carboxyl C and amino N) retained in the GPS from the glycine reactant. Crucially, the C peaks in regions 1 and 2 and the N peaks in region 1, reflect increased complexity and do not appear in the glucose and glycine reactants. </w:t>
      </w:r>
    </w:p>
    <w:p w14:paraId="7E5EC5E9" w14:textId="77777777" w:rsidR="007C424D" w:rsidRPr="00CD16BA" w:rsidRDefault="007C424D" w:rsidP="0039267A">
      <w:pPr>
        <w:spacing w:after="160" w:line="259" w:lineRule="auto"/>
        <w:jc w:val="both"/>
        <w:rPr>
          <w:sz w:val="22"/>
          <w:szCs w:val="22"/>
          <w:lang w:val="en-US"/>
        </w:rPr>
      </w:pPr>
      <w:r w:rsidRPr="00CD16BA">
        <w:rPr>
          <w:sz w:val="22"/>
          <w:szCs w:val="22"/>
          <w:lang w:val="en-US"/>
        </w:rPr>
        <w:lastRenderedPageBreak/>
        <w:t>The C spectral fingerprint of our GPS in solution (Fig. 2a main text) closely resembles the C spectroscopic signature of dissolved OC, which also exhibits strong peaks in the C spectral regions expected for OC transformation products formed via the</w:t>
      </w:r>
      <w:r w:rsidRPr="00CD16BA">
        <w:rPr>
          <w:lang w:val="en-US"/>
        </w:rPr>
        <w:t xml:space="preserve"> </w:t>
      </w:r>
      <w:r w:rsidRPr="00CD16BA">
        <w:rPr>
          <w:sz w:val="22"/>
          <w:szCs w:val="22"/>
          <w:lang w:val="en-US"/>
        </w:rPr>
        <w:t xml:space="preserve">Maillard reaction (Fig. </w:t>
      </w:r>
      <w:r>
        <w:rPr>
          <w:sz w:val="22"/>
          <w:szCs w:val="22"/>
          <w:lang w:val="en-US"/>
        </w:rPr>
        <w:t>1</w:t>
      </w:r>
      <w:r w:rsidRPr="00CD16BA">
        <w:rPr>
          <w:sz w:val="22"/>
          <w:szCs w:val="22"/>
          <w:lang w:val="en-US"/>
        </w:rPr>
        <w:t xml:space="preserve">c main text). We were unable to collect high quality N NEXAFS for the dissolved organic sample. </w:t>
      </w:r>
    </w:p>
    <w:p w14:paraId="14DB82BE" w14:textId="77777777" w:rsidR="007C424D" w:rsidRPr="00CD16BA" w:rsidRDefault="007C424D" w:rsidP="0039267A">
      <w:pPr>
        <w:spacing w:after="160" w:line="259" w:lineRule="auto"/>
        <w:jc w:val="both"/>
        <w:rPr>
          <w:sz w:val="22"/>
          <w:szCs w:val="22"/>
          <w:lang w:val="en-US"/>
        </w:rPr>
      </w:pPr>
      <w:r w:rsidRPr="00CD16BA">
        <w:rPr>
          <w:sz w:val="22"/>
          <w:szCs w:val="22"/>
          <w:lang w:val="en-US"/>
        </w:rPr>
        <w:t xml:space="preserve">The C and N spectral fingerprints for our GPS associated with ferrihydrite (Fig. </w:t>
      </w:r>
      <w:r>
        <w:rPr>
          <w:sz w:val="22"/>
          <w:szCs w:val="22"/>
          <w:lang w:val="en-US"/>
        </w:rPr>
        <w:t>1</w:t>
      </w:r>
      <w:r w:rsidRPr="00CD16BA">
        <w:rPr>
          <w:sz w:val="22"/>
          <w:szCs w:val="22"/>
          <w:lang w:val="en-US"/>
        </w:rPr>
        <w:t>a, b main text) closely resemble the C and N spectroscopic signatures of continental margin sediment</w:t>
      </w:r>
      <w:r w:rsidRPr="00CD16BA">
        <w:rPr>
          <w:lang w:val="en-US"/>
        </w:rPr>
        <w:t xml:space="preserve">, </w:t>
      </w:r>
      <w:r w:rsidRPr="00CD16BA">
        <w:rPr>
          <w:sz w:val="22"/>
          <w:szCs w:val="22"/>
          <w:lang w:val="en-US"/>
        </w:rPr>
        <w:t xml:space="preserve">which also exhibit peaks or significant spectral content in the spectral regions expected for OC transformation products formed via the Maillard reaction (Fig. </w:t>
      </w:r>
      <w:r>
        <w:rPr>
          <w:sz w:val="22"/>
          <w:szCs w:val="22"/>
          <w:lang w:val="en-US"/>
        </w:rPr>
        <w:t>1</w:t>
      </w:r>
      <w:r w:rsidRPr="00CD16BA">
        <w:rPr>
          <w:sz w:val="22"/>
          <w:szCs w:val="22"/>
          <w:lang w:val="en-US"/>
        </w:rPr>
        <w:t>c, d</w:t>
      </w:r>
      <w:r>
        <w:rPr>
          <w:sz w:val="22"/>
          <w:szCs w:val="22"/>
          <w:lang w:val="en-US"/>
        </w:rPr>
        <w:t xml:space="preserve"> main text</w:t>
      </w:r>
      <w:r w:rsidRPr="00CD16BA">
        <w:rPr>
          <w:sz w:val="22"/>
          <w:szCs w:val="22"/>
          <w:lang w:val="en-US"/>
        </w:rPr>
        <w:t xml:space="preserve">). The C spectral fingerprint for GPS associated with ferrihydrite shows a marked amplitude dampening of the carbonyl peak (C region 2) and a shift of the carboxyl peak (C region 3) to lower energy, compared to our GPS in solution (Fig. </w:t>
      </w:r>
      <w:r>
        <w:rPr>
          <w:sz w:val="22"/>
          <w:szCs w:val="22"/>
          <w:lang w:val="en-US"/>
        </w:rPr>
        <w:t>1</w:t>
      </w:r>
      <w:r w:rsidRPr="00CD16BA">
        <w:rPr>
          <w:sz w:val="22"/>
          <w:szCs w:val="22"/>
          <w:lang w:val="en-US"/>
        </w:rPr>
        <w:t>a main text). Deconvolution of the carbonyl and carboxyl peak is complicated by the dominance of the latter, and it is therefore inconclusive as to whether the carbonyl peak has also been broadened and/or shifted into the carboxyl peak. Either way, a dampening, broadening and/or shifting of the carbonyl and carboxyl peaks indicate that the C=O and COOH functional groups are interacting with the mineral surface</w:t>
      </w:r>
      <w:r w:rsidRPr="00D57B17">
        <w:rPr>
          <w:noProof/>
          <w:sz w:val="22"/>
          <w:szCs w:val="22"/>
          <w:vertAlign w:val="superscript"/>
          <w:lang w:val="en-US"/>
        </w:rPr>
        <w:t>8</w:t>
      </w:r>
      <w:r w:rsidRPr="00CD16BA">
        <w:rPr>
          <w:sz w:val="22"/>
          <w:szCs w:val="22"/>
          <w:lang w:val="en-US"/>
        </w:rPr>
        <w:t>. Complex organics (ciprofloxacin and norfloxacin) are reported to sorb to Fe (oxyhydr)oxides through ligand exchange between the oxygens of the carbonyl and carboxyl groups and the oxygens of mineral –</w:t>
      </w:r>
      <w:proofErr w:type="spellStart"/>
      <w:r w:rsidRPr="00CD16BA">
        <w:rPr>
          <w:sz w:val="22"/>
          <w:szCs w:val="22"/>
          <w:lang w:val="en-US"/>
        </w:rPr>
        <w:t>FeOH</w:t>
      </w:r>
      <w:proofErr w:type="spellEnd"/>
      <w:r w:rsidRPr="00CD16BA">
        <w:rPr>
          <w:sz w:val="22"/>
          <w:szCs w:val="22"/>
          <w:lang w:val="en-US"/>
        </w:rPr>
        <w:t xml:space="preserve"> sorption sites</w:t>
      </w:r>
      <w:r w:rsidRPr="00D57B17">
        <w:rPr>
          <w:noProof/>
          <w:sz w:val="22"/>
          <w:szCs w:val="22"/>
          <w:vertAlign w:val="superscript"/>
          <w:lang w:val="en-US"/>
        </w:rPr>
        <w:t>9,10</w:t>
      </w:r>
      <w:r w:rsidRPr="00CD16BA">
        <w:rPr>
          <w:sz w:val="22"/>
          <w:szCs w:val="22"/>
          <w:lang w:val="en-US"/>
        </w:rPr>
        <w:t>. The carboxyl-mineral bonds may also result in a broadening of the carbonyl peak as a result of the electron-withdrawing nature of the carboxyl-iron bonds, as is shown to occur with other similarly complex organic molecules (</w:t>
      </w:r>
      <w:proofErr w:type="spellStart"/>
      <w:r w:rsidRPr="00CD16BA">
        <w:rPr>
          <w:sz w:val="22"/>
          <w:szCs w:val="22"/>
          <w:lang w:val="en-US"/>
        </w:rPr>
        <w:t>gatifloxacin</w:t>
      </w:r>
      <w:proofErr w:type="spellEnd"/>
      <w:r w:rsidRPr="00CD16BA">
        <w:rPr>
          <w:sz w:val="22"/>
          <w:szCs w:val="22"/>
          <w:lang w:val="en-US"/>
        </w:rPr>
        <w:t xml:space="preserve"> and ciprofloxacin)</w:t>
      </w:r>
      <w:r w:rsidRPr="00D57B17">
        <w:rPr>
          <w:noProof/>
          <w:sz w:val="22"/>
          <w:szCs w:val="22"/>
          <w:vertAlign w:val="superscript"/>
          <w:lang w:val="en-US"/>
        </w:rPr>
        <w:t xml:space="preserve"> 11,12</w:t>
      </w:r>
      <w:r w:rsidRPr="00CD16BA">
        <w:rPr>
          <w:sz w:val="22"/>
          <w:szCs w:val="22"/>
          <w:lang w:val="en-US"/>
        </w:rPr>
        <w:t>. Alternatively, electrostatic interactions such as hydrogen bonding or ion-dipole interactions are shown to occur between the ketone group and the hydroxylated surfaces of clay minerals</w:t>
      </w:r>
      <w:r w:rsidRPr="00D57B17">
        <w:rPr>
          <w:noProof/>
          <w:sz w:val="22"/>
          <w:szCs w:val="22"/>
          <w:vertAlign w:val="superscript"/>
          <w:lang w:val="en-US"/>
        </w:rPr>
        <w:t>13,14</w:t>
      </w:r>
      <w:r w:rsidRPr="00CD16BA">
        <w:rPr>
          <w:sz w:val="22"/>
          <w:szCs w:val="22"/>
          <w:lang w:val="en-US"/>
        </w:rPr>
        <w:t>. Interactions such as these would weaken the C=O bond, which is shown to shift the carbonyl peak in Fourier transform infrared (FTIR) spectroscopy</w:t>
      </w:r>
      <w:r w:rsidRPr="00D57B17">
        <w:rPr>
          <w:noProof/>
          <w:sz w:val="22"/>
          <w:szCs w:val="22"/>
          <w:vertAlign w:val="superscript"/>
          <w:lang w:val="en-US"/>
        </w:rPr>
        <w:t>14</w:t>
      </w:r>
      <w:r w:rsidRPr="00CD16BA">
        <w:rPr>
          <w:sz w:val="22"/>
          <w:szCs w:val="22"/>
          <w:lang w:val="en-US"/>
        </w:rPr>
        <w:t xml:space="preserve">. </w:t>
      </w:r>
    </w:p>
    <w:p w14:paraId="443379AE" w14:textId="77777777" w:rsidR="007C424D" w:rsidRPr="00CD16BA" w:rsidRDefault="007C424D" w:rsidP="0039267A">
      <w:pPr>
        <w:spacing w:after="160" w:line="259" w:lineRule="auto"/>
        <w:jc w:val="both"/>
        <w:rPr>
          <w:sz w:val="22"/>
          <w:szCs w:val="22"/>
        </w:rPr>
      </w:pPr>
      <w:r w:rsidRPr="00CD16BA">
        <w:rPr>
          <w:sz w:val="22"/>
          <w:szCs w:val="22"/>
          <w:lang w:val="en-US"/>
        </w:rPr>
        <w:t xml:space="preserve">The N spectral fingerprint for our GPS associated with ferrihydrite also shows a marked amplitude dampening of the aromatic peak region (N region 1) and both a dampening and a shift of the amino peak (N region 2) to lower energy, compared to our GPS in solution (Fig. </w:t>
      </w:r>
      <w:r>
        <w:rPr>
          <w:sz w:val="22"/>
          <w:szCs w:val="22"/>
          <w:lang w:val="en-US"/>
        </w:rPr>
        <w:t>1</w:t>
      </w:r>
      <w:r w:rsidRPr="00CD16BA">
        <w:rPr>
          <w:sz w:val="22"/>
          <w:szCs w:val="22"/>
          <w:lang w:val="en-US"/>
        </w:rPr>
        <w:t>b main text). Amino acids are known to interact with metal oxide surfaces via strong electrostatic interactions</w:t>
      </w:r>
      <w:r w:rsidRPr="00D57B17">
        <w:rPr>
          <w:noProof/>
          <w:sz w:val="22"/>
          <w:szCs w:val="22"/>
          <w:vertAlign w:val="superscript"/>
          <w:lang w:val="en-US"/>
        </w:rPr>
        <w:t>15-18</w:t>
      </w:r>
      <w:r w:rsidRPr="00CD16BA">
        <w:rPr>
          <w:sz w:val="22"/>
          <w:szCs w:val="22"/>
          <w:lang w:val="en-US"/>
        </w:rPr>
        <w:t xml:space="preserve"> and similar changes and shifts in the amino peak are observed in FTIR spectra of amino acids </w:t>
      </w:r>
      <w:proofErr w:type="spellStart"/>
      <w:r w:rsidRPr="00CD16BA">
        <w:rPr>
          <w:sz w:val="22"/>
          <w:szCs w:val="22"/>
          <w:lang w:val="en-US"/>
        </w:rPr>
        <w:t>sorbed</w:t>
      </w:r>
      <w:proofErr w:type="spellEnd"/>
      <w:r w:rsidRPr="00CD16BA">
        <w:rPr>
          <w:sz w:val="22"/>
          <w:szCs w:val="22"/>
          <w:lang w:val="en-US"/>
        </w:rPr>
        <w:t xml:space="preserve"> to mineral oxides</w:t>
      </w:r>
      <w:r w:rsidRPr="00D57B17">
        <w:rPr>
          <w:noProof/>
          <w:sz w:val="22"/>
          <w:szCs w:val="22"/>
          <w:vertAlign w:val="superscript"/>
          <w:lang w:val="en-US"/>
        </w:rPr>
        <w:t>19,20</w:t>
      </w:r>
      <w:r w:rsidRPr="00CD16BA">
        <w:rPr>
          <w:sz w:val="22"/>
          <w:szCs w:val="22"/>
          <w:lang w:val="en-US"/>
        </w:rPr>
        <w:t xml:space="preserve">. </w:t>
      </w:r>
      <w:r w:rsidRPr="00CD16BA">
        <w:rPr>
          <w:sz w:val="22"/>
          <w:szCs w:val="22"/>
        </w:rPr>
        <w:t>The concentrations of C and N associated with birnessite are too low to collect NEXAFS (Supplementary Table 1).</w:t>
      </w:r>
    </w:p>
    <w:p w14:paraId="05CFED11" w14:textId="77777777" w:rsidR="007C424D" w:rsidRPr="00CD16BA" w:rsidRDefault="007C424D" w:rsidP="0039267A">
      <w:pPr>
        <w:spacing w:after="160" w:line="259" w:lineRule="auto"/>
        <w:jc w:val="both"/>
        <w:rPr>
          <w:sz w:val="22"/>
          <w:szCs w:val="22"/>
          <w:lang w:val="en-US"/>
        </w:rPr>
      </w:pPr>
      <w:r w:rsidRPr="00CD16BA">
        <w:rPr>
          <w:bCs/>
          <w:sz w:val="22"/>
          <w:szCs w:val="22"/>
          <w:lang w:val="en-US"/>
        </w:rPr>
        <w:t xml:space="preserve">The spectroscopic similarity we show between our GPS, dissolved OC and both total OC and N in continental margin sediments (Fig. </w:t>
      </w:r>
      <w:r>
        <w:rPr>
          <w:bCs/>
          <w:sz w:val="22"/>
          <w:szCs w:val="22"/>
          <w:lang w:val="en-US"/>
        </w:rPr>
        <w:t>1</w:t>
      </w:r>
      <w:r w:rsidRPr="00CD16BA">
        <w:rPr>
          <w:bCs/>
          <w:sz w:val="22"/>
          <w:szCs w:val="22"/>
          <w:lang w:val="en-US"/>
        </w:rPr>
        <w:t xml:space="preserve"> main text), indicates that </w:t>
      </w:r>
      <w:r w:rsidRPr="00CD16BA">
        <w:rPr>
          <w:sz w:val="22"/>
          <w:szCs w:val="22"/>
          <w:lang w:val="en-US"/>
        </w:rPr>
        <w:t>geopolymerisation via a Maillard-type reaction is one viable formation pathway for refractory dissolved OC molecules</w:t>
      </w:r>
      <w:r w:rsidRPr="00D57B17">
        <w:rPr>
          <w:noProof/>
          <w:sz w:val="22"/>
          <w:szCs w:val="22"/>
          <w:vertAlign w:val="superscript"/>
          <w:lang w:val="en-US"/>
        </w:rPr>
        <w:t>21</w:t>
      </w:r>
      <w:r w:rsidRPr="00CD16BA">
        <w:rPr>
          <w:sz w:val="22"/>
          <w:szCs w:val="22"/>
          <w:lang w:val="en-US"/>
        </w:rPr>
        <w:t xml:space="preserve"> and complex humic-like substances</w:t>
      </w:r>
      <w:r w:rsidRPr="00CD16BA">
        <w:rPr>
          <w:sz w:val="22"/>
          <w:szCs w:val="22"/>
          <w:vertAlign w:val="superscript"/>
          <w:lang w:val="en-US"/>
        </w:rPr>
        <w:t xml:space="preserve"> </w:t>
      </w:r>
      <w:r w:rsidRPr="00CD16BA">
        <w:rPr>
          <w:sz w:val="22"/>
          <w:szCs w:val="22"/>
          <w:lang w:val="en-US"/>
        </w:rPr>
        <w:t>in marine sediments</w:t>
      </w:r>
      <w:r w:rsidRPr="00D57B17">
        <w:rPr>
          <w:noProof/>
          <w:sz w:val="22"/>
          <w:szCs w:val="22"/>
          <w:vertAlign w:val="superscript"/>
          <w:lang w:val="en-US"/>
        </w:rPr>
        <w:t>22-24</w:t>
      </w:r>
      <w:r w:rsidRPr="00CD16BA">
        <w:rPr>
          <w:sz w:val="22"/>
          <w:szCs w:val="22"/>
          <w:lang w:val="en-US"/>
        </w:rPr>
        <w:t>; the latter of which show a very similar C NEXAFS spectroscopic chemical fingerprint to our GPS and continental margin sediment samples, most notably with the presence of significant spectral content in C region 2</w:t>
      </w:r>
      <w:r w:rsidRPr="00D57B17">
        <w:rPr>
          <w:noProof/>
          <w:sz w:val="22"/>
          <w:szCs w:val="22"/>
          <w:vertAlign w:val="superscript"/>
          <w:lang w:val="en-US"/>
        </w:rPr>
        <w:t>24</w:t>
      </w:r>
      <w:r w:rsidRPr="00CD16BA">
        <w:rPr>
          <w:sz w:val="22"/>
          <w:szCs w:val="22"/>
          <w:lang w:val="en-US"/>
        </w:rPr>
        <w:t xml:space="preserve">. </w:t>
      </w:r>
      <w:r w:rsidRPr="00CD16BA">
        <w:rPr>
          <w:rFonts w:cs="Lucida Grande"/>
          <w:sz w:val="22"/>
          <w:szCs w:val="22"/>
        </w:rPr>
        <w:t xml:space="preserve">In marine sediments however, </w:t>
      </w:r>
      <w:r w:rsidRPr="00CD16BA">
        <w:rPr>
          <w:sz w:val="22"/>
          <w:szCs w:val="22"/>
          <w:lang w:val="en-US"/>
        </w:rPr>
        <w:t>geopolymerisation</w:t>
      </w:r>
      <w:r w:rsidRPr="00CD16BA">
        <w:rPr>
          <w:rFonts w:cs="Lucida Grande"/>
          <w:sz w:val="22"/>
          <w:szCs w:val="22"/>
        </w:rPr>
        <w:t xml:space="preserve"> is unlikely to constitute the only formation pathway for </w:t>
      </w:r>
      <w:r w:rsidRPr="00CD16BA">
        <w:rPr>
          <w:sz w:val="22"/>
          <w:szCs w:val="22"/>
          <w:lang w:val="en-US"/>
        </w:rPr>
        <w:t>refractory dissolved OC and complex sedimentary OC, and several others possible formation pathways are suggested</w:t>
      </w:r>
      <w:r w:rsidRPr="00D57B17">
        <w:rPr>
          <w:noProof/>
          <w:sz w:val="22"/>
          <w:szCs w:val="22"/>
          <w:vertAlign w:val="superscript"/>
          <w:lang w:val="en-US"/>
        </w:rPr>
        <w:t>2</w:t>
      </w:r>
      <w:r w:rsidRPr="00CD16BA">
        <w:rPr>
          <w:sz w:val="22"/>
          <w:szCs w:val="22"/>
          <w:lang w:val="en-US"/>
        </w:rPr>
        <w:t xml:space="preserve">. </w:t>
      </w:r>
      <w:r w:rsidRPr="00CD16BA">
        <w:rPr>
          <w:rFonts w:cstheme="minorHAnsi"/>
          <w:sz w:val="22"/>
          <w:szCs w:val="22"/>
          <w:lang w:val="en-US"/>
        </w:rPr>
        <w:t>Perhaps most obviously, peaks or significant spectral content in the spectral regions expected for Maillard reaction products (</w:t>
      </w:r>
      <w:r w:rsidRPr="00CD16BA">
        <w:rPr>
          <w:rFonts w:cs="Lucida Grande"/>
          <w:sz w:val="22"/>
          <w:szCs w:val="22"/>
        </w:rPr>
        <w:t xml:space="preserve">C region 2 and N region 1) might also result from the presence of primary biomolecules and their constituent parts. It is worth noting however, that the </w:t>
      </w:r>
      <w:r w:rsidRPr="00CD16BA">
        <w:rPr>
          <w:bCs/>
          <w:sz w:val="22"/>
          <w:szCs w:val="22"/>
          <w:lang w:val="en-US"/>
        </w:rPr>
        <w:t>spectral signatures of</w:t>
      </w:r>
      <w:r w:rsidRPr="00CD16BA">
        <w:rPr>
          <w:sz w:val="22"/>
          <w:szCs w:val="22"/>
          <w:lang w:val="en-US"/>
        </w:rPr>
        <w:t xml:space="preserve"> </w:t>
      </w:r>
      <w:r w:rsidRPr="00CD16BA">
        <w:rPr>
          <w:bCs/>
          <w:sz w:val="22"/>
          <w:szCs w:val="22"/>
          <w:lang w:val="en-US"/>
        </w:rPr>
        <w:t xml:space="preserve">dissolved OC and both sediment OC and N are difficult to construct </w:t>
      </w:r>
      <w:r w:rsidRPr="00CD16BA">
        <w:rPr>
          <w:rFonts w:cstheme="minorHAnsi"/>
          <w:sz w:val="22"/>
          <w:szCs w:val="22"/>
        </w:rPr>
        <w:t>using a combination of only these molecules.</w:t>
      </w:r>
      <w:r w:rsidRPr="00CD16BA">
        <w:rPr>
          <w:sz w:val="22"/>
          <w:szCs w:val="22"/>
          <w:lang w:val="en-US"/>
        </w:rPr>
        <w:t xml:space="preserve"> </w:t>
      </w:r>
      <w:r w:rsidRPr="00CD16BA">
        <w:rPr>
          <w:rFonts w:cs="Lucida Grande"/>
          <w:sz w:val="22"/>
          <w:szCs w:val="22"/>
        </w:rPr>
        <w:t>Significant spectral content in the carbonyl C region (C region 2) is inconsistent with the primary biomolecules (proteins, polysaccharides and lipids)</w:t>
      </w:r>
      <w:r w:rsidRPr="00D57B17">
        <w:rPr>
          <w:rFonts w:cs="Lucida Grande"/>
          <w:noProof/>
          <w:sz w:val="22"/>
          <w:szCs w:val="22"/>
          <w:vertAlign w:val="superscript"/>
        </w:rPr>
        <w:t xml:space="preserve"> 24</w:t>
      </w:r>
      <w:r w:rsidRPr="00CD16BA">
        <w:rPr>
          <w:rFonts w:cs="Lucida Grande"/>
          <w:sz w:val="22"/>
          <w:szCs w:val="22"/>
        </w:rPr>
        <w:t>, and content in both C region 2 and N region 1 is also inconsistent with the most prevalent amino acids in marine sediments (aspartic acid, glycine, alanine)</w:t>
      </w:r>
      <w:r w:rsidRPr="00D57B17">
        <w:rPr>
          <w:rFonts w:cs="Lucida Grande"/>
          <w:noProof/>
          <w:sz w:val="22"/>
          <w:szCs w:val="22"/>
          <w:vertAlign w:val="superscript"/>
        </w:rPr>
        <w:t xml:space="preserve"> 25</w:t>
      </w:r>
      <w:r w:rsidRPr="00CD16BA">
        <w:rPr>
          <w:rFonts w:cs="Lucida Grande"/>
          <w:sz w:val="22"/>
          <w:szCs w:val="22"/>
        </w:rPr>
        <w:t xml:space="preserve"> (Supplementary Fig. </w:t>
      </w:r>
      <w:r>
        <w:rPr>
          <w:rFonts w:cs="Lucida Grande"/>
          <w:sz w:val="22"/>
          <w:szCs w:val="22"/>
        </w:rPr>
        <w:t>2</w:t>
      </w:r>
      <w:r w:rsidRPr="00CD16BA">
        <w:rPr>
          <w:rFonts w:cs="Lucida Grande"/>
          <w:sz w:val="22"/>
          <w:szCs w:val="22"/>
        </w:rPr>
        <w:t xml:space="preserve">c). Some aromatic amino acids (most notably histidine) show </w:t>
      </w:r>
      <w:r w:rsidRPr="00CD16BA">
        <w:rPr>
          <w:rFonts w:cs="Lucida Grande"/>
          <w:sz w:val="22"/>
          <w:szCs w:val="22"/>
        </w:rPr>
        <w:lastRenderedPageBreak/>
        <w:t xml:space="preserve">peaks in C region 2 (Supplementary Fig. </w:t>
      </w:r>
      <w:r>
        <w:rPr>
          <w:rFonts w:cs="Lucida Grande"/>
          <w:sz w:val="22"/>
          <w:szCs w:val="22"/>
        </w:rPr>
        <w:t>2</w:t>
      </w:r>
      <w:r w:rsidRPr="00CD16BA">
        <w:rPr>
          <w:rFonts w:cs="Lucida Grande"/>
          <w:sz w:val="22"/>
          <w:szCs w:val="22"/>
        </w:rPr>
        <w:t xml:space="preserve">c) and N region 1 (Supplementary Fig. </w:t>
      </w:r>
      <w:r>
        <w:rPr>
          <w:rFonts w:cs="Lucida Grande"/>
          <w:sz w:val="22"/>
          <w:szCs w:val="22"/>
        </w:rPr>
        <w:t>2</w:t>
      </w:r>
      <w:r w:rsidRPr="00CD16BA">
        <w:rPr>
          <w:rFonts w:cs="Lucida Grande"/>
          <w:sz w:val="22"/>
          <w:szCs w:val="22"/>
        </w:rPr>
        <w:t xml:space="preserve">d), the latter attributable to </w:t>
      </w:r>
      <w:proofErr w:type="spellStart"/>
      <w:r w:rsidRPr="00CD16BA">
        <w:rPr>
          <w:rFonts w:cs="Lucida Grande"/>
          <w:sz w:val="22"/>
          <w:szCs w:val="22"/>
        </w:rPr>
        <w:t>pyramidinic</w:t>
      </w:r>
      <w:proofErr w:type="spellEnd"/>
      <w:r w:rsidRPr="00CD16BA">
        <w:rPr>
          <w:rFonts w:cs="Lucida Grande"/>
          <w:sz w:val="22"/>
          <w:szCs w:val="22"/>
        </w:rPr>
        <w:t xml:space="preserve"> N</w:t>
      </w:r>
      <w:r w:rsidRPr="00D57B17">
        <w:rPr>
          <w:rFonts w:cs="Lucida Grande"/>
          <w:noProof/>
          <w:sz w:val="22"/>
          <w:szCs w:val="22"/>
          <w:vertAlign w:val="superscript"/>
        </w:rPr>
        <w:t>26</w:t>
      </w:r>
      <w:r w:rsidRPr="00CD16BA">
        <w:rPr>
          <w:rFonts w:cs="Lucida Grande"/>
          <w:sz w:val="22"/>
          <w:szCs w:val="22"/>
        </w:rPr>
        <w:t>, but these do not comprise a significant fraction of the sediment amino acid profile</w:t>
      </w:r>
      <w:r w:rsidRPr="00D57B17">
        <w:rPr>
          <w:rFonts w:cs="Lucida Grande"/>
          <w:noProof/>
          <w:sz w:val="22"/>
          <w:szCs w:val="22"/>
          <w:vertAlign w:val="superscript"/>
        </w:rPr>
        <w:t>25</w:t>
      </w:r>
      <w:r w:rsidRPr="00CD16BA">
        <w:rPr>
          <w:rFonts w:cs="Lucida Grande"/>
          <w:sz w:val="22"/>
          <w:szCs w:val="22"/>
        </w:rPr>
        <w:t xml:space="preserve">. Spectral content in C region 2 and N region 1 may also result from the presence of nucleic acids or nucleic acid fragments, whose nucleobase building blocks contain </w:t>
      </w:r>
      <w:r w:rsidRPr="00CD16BA">
        <w:rPr>
          <w:sz w:val="22"/>
          <w:szCs w:val="22"/>
          <w:lang w:val="en-US"/>
        </w:rPr>
        <w:t xml:space="preserve">carbonyl </w:t>
      </w:r>
      <w:proofErr w:type="spellStart"/>
      <w:r w:rsidRPr="00CD16BA">
        <w:rPr>
          <w:sz w:val="22"/>
          <w:szCs w:val="22"/>
          <w:lang w:val="en-US"/>
        </w:rPr>
        <w:t>C at</w:t>
      </w:r>
      <w:proofErr w:type="spellEnd"/>
      <w:r w:rsidRPr="00CD16BA">
        <w:rPr>
          <w:sz w:val="22"/>
          <w:szCs w:val="22"/>
          <w:lang w:val="en-US"/>
        </w:rPr>
        <w:t xml:space="preserve"> ~286.6 eV that can be shifted up to ~289 eV when N is added to the carbonyl group</w:t>
      </w:r>
      <w:r w:rsidRPr="00BA06B8">
        <w:rPr>
          <w:noProof/>
          <w:sz w:val="22"/>
          <w:szCs w:val="22"/>
          <w:vertAlign w:val="superscript"/>
          <w:lang w:val="en-US"/>
        </w:rPr>
        <w:t>27,28</w:t>
      </w:r>
      <w:r w:rsidRPr="00CD16BA">
        <w:rPr>
          <w:sz w:val="22"/>
          <w:szCs w:val="22"/>
          <w:lang w:val="en-US"/>
        </w:rPr>
        <w:t xml:space="preserve">, and both </w:t>
      </w:r>
      <w:proofErr w:type="spellStart"/>
      <w:r w:rsidRPr="00CD16BA">
        <w:rPr>
          <w:sz w:val="22"/>
          <w:szCs w:val="22"/>
          <w:lang w:val="en-US"/>
        </w:rPr>
        <w:t>pyramidinic</w:t>
      </w:r>
      <w:proofErr w:type="spellEnd"/>
      <w:r w:rsidRPr="00CD16BA">
        <w:rPr>
          <w:sz w:val="22"/>
          <w:szCs w:val="22"/>
          <w:lang w:val="en-US"/>
        </w:rPr>
        <w:t xml:space="preserve"> and </w:t>
      </w:r>
      <w:proofErr w:type="spellStart"/>
      <w:r w:rsidRPr="00CD16BA">
        <w:rPr>
          <w:sz w:val="22"/>
          <w:szCs w:val="22"/>
          <w:lang w:val="en-US"/>
        </w:rPr>
        <w:t>imadazolic</w:t>
      </w:r>
      <w:proofErr w:type="spellEnd"/>
      <w:r w:rsidRPr="00CD16BA">
        <w:rPr>
          <w:sz w:val="22"/>
          <w:szCs w:val="22"/>
          <w:lang w:val="en-US"/>
        </w:rPr>
        <w:t xml:space="preserve"> N that also manifest as peaks in the </w:t>
      </w:r>
      <w:r w:rsidRPr="00CD16BA">
        <w:rPr>
          <w:rFonts w:cs="Lucida Grande"/>
          <w:sz w:val="22"/>
          <w:szCs w:val="22"/>
        </w:rPr>
        <w:t xml:space="preserve">pyridinic, </w:t>
      </w:r>
      <w:proofErr w:type="spellStart"/>
      <w:r w:rsidRPr="00CD16BA">
        <w:rPr>
          <w:rFonts w:cs="Lucida Grande"/>
          <w:sz w:val="22"/>
          <w:szCs w:val="22"/>
        </w:rPr>
        <w:t>pyrazinic</w:t>
      </w:r>
      <w:proofErr w:type="spellEnd"/>
      <w:r w:rsidRPr="00CD16BA">
        <w:rPr>
          <w:rFonts w:cs="Lucida Grande"/>
          <w:sz w:val="22"/>
          <w:szCs w:val="22"/>
        </w:rPr>
        <w:t xml:space="preserve"> and pyrrolic N region</w:t>
      </w:r>
      <w:r w:rsidRPr="00BA06B8">
        <w:rPr>
          <w:rFonts w:cs="Lucida Grande"/>
          <w:noProof/>
          <w:sz w:val="22"/>
          <w:szCs w:val="22"/>
          <w:vertAlign w:val="superscript"/>
        </w:rPr>
        <w:t>29,30</w:t>
      </w:r>
      <w:r w:rsidRPr="00CD16BA">
        <w:rPr>
          <w:rFonts w:cs="Lucida Grande"/>
          <w:sz w:val="22"/>
          <w:szCs w:val="22"/>
        </w:rPr>
        <w:t xml:space="preserve"> (Supplementary Fig. </w:t>
      </w:r>
      <w:r>
        <w:rPr>
          <w:rFonts w:cs="Lucida Grande"/>
          <w:sz w:val="22"/>
          <w:szCs w:val="22"/>
        </w:rPr>
        <w:t>2</w:t>
      </w:r>
      <w:r w:rsidRPr="00CD16BA">
        <w:rPr>
          <w:rFonts w:cs="Lucida Grande"/>
          <w:sz w:val="22"/>
          <w:szCs w:val="22"/>
        </w:rPr>
        <w:t xml:space="preserve">d). Nucleic acids and nucleobases </w:t>
      </w:r>
      <w:r w:rsidRPr="00CD16BA">
        <w:rPr>
          <w:sz w:val="22"/>
          <w:szCs w:val="22"/>
          <w:lang w:val="en-US"/>
        </w:rPr>
        <w:t>are extremely labile however, and their persistence as a significant component of sedimentary organics is unlikely</w:t>
      </w:r>
      <w:r w:rsidRPr="00BA06B8">
        <w:rPr>
          <w:noProof/>
          <w:sz w:val="22"/>
          <w:szCs w:val="22"/>
          <w:vertAlign w:val="superscript"/>
          <w:lang w:val="en-US"/>
        </w:rPr>
        <w:t>31</w:t>
      </w:r>
      <w:r w:rsidRPr="00CD16BA">
        <w:rPr>
          <w:sz w:val="22"/>
          <w:szCs w:val="22"/>
          <w:lang w:val="en-US"/>
        </w:rPr>
        <w:t>. Instead GPS and other geopolymerised complex organics might form from the constituent parts of nucleic acids during abiotic conversion reactions that occur during their decomposition</w:t>
      </w:r>
      <w:r w:rsidRPr="00BA06B8">
        <w:rPr>
          <w:noProof/>
          <w:sz w:val="22"/>
          <w:szCs w:val="22"/>
          <w:vertAlign w:val="superscript"/>
          <w:lang w:val="en-US"/>
        </w:rPr>
        <w:t>23</w:t>
      </w:r>
      <w:r w:rsidRPr="00CD16BA">
        <w:rPr>
          <w:sz w:val="22"/>
          <w:szCs w:val="22"/>
          <w:lang w:val="en-US"/>
        </w:rPr>
        <w:t xml:space="preserve">. </w:t>
      </w:r>
    </w:p>
    <w:p w14:paraId="14C66B63" w14:textId="77777777" w:rsidR="007C424D" w:rsidRPr="00CD16BA" w:rsidRDefault="007C424D" w:rsidP="0039267A">
      <w:pPr>
        <w:spacing w:after="160" w:line="259" w:lineRule="auto"/>
        <w:jc w:val="both"/>
        <w:rPr>
          <w:b/>
          <w:bCs/>
          <w:sz w:val="22"/>
          <w:szCs w:val="22"/>
          <w:lang w:val="en-US"/>
        </w:rPr>
      </w:pPr>
    </w:p>
    <w:p w14:paraId="1B127003" w14:textId="77777777" w:rsidR="007C424D" w:rsidRPr="00CD16BA" w:rsidRDefault="007C424D" w:rsidP="0039267A">
      <w:pPr>
        <w:spacing w:after="160" w:line="259" w:lineRule="auto"/>
        <w:jc w:val="both"/>
        <w:rPr>
          <w:sz w:val="22"/>
          <w:szCs w:val="22"/>
          <w:lang w:val="en-US"/>
        </w:rPr>
      </w:pPr>
      <w:r w:rsidRPr="00CD16BA">
        <w:rPr>
          <w:b/>
          <w:bCs/>
          <w:sz w:val="22"/>
          <w:szCs w:val="22"/>
          <w:lang w:val="en-US"/>
        </w:rPr>
        <w:t xml:space="preserve">Supplementary Note 2: Extended discussion of the application of experimental reaction rates to continental margin sediments: </w:t>
      </w:r>
      <w:r w:rsidRPr="00CD16BA">
        <w:rPr>
          <w:sz w:val="22"/>
          <w:szCs w:val="22"/>
          <w:lang w:val="en-US"/>
        </w:rPr>
        <w:t>It is important to note that our estimate for Fe and Mn mineral-catalysed geopolymerisation in continental margin sediments carries a number of limitations and uncertainties inherent in the application of our experimentally determined GPS production rates to natural sediments. Here we provide a thorough discussion of the primary limitations and uncertainties associated with our scale-up and suggest how further work might address these.</w:t>
      </w:r>
    </w:p>
    <w:p w14:paraId="2D5FDBAA" w14:textId="77777777" w:rsidR="007C424D" w:rsidRPr="00CD16BA" w:rsidRDefault="007C424D" w:rsidP="0039267A">
      <w:pPr>
        <w:spacing w:after="160" w:line="259" w:lineRule="auto"/>
        <w:jc w:val="both"/>
        <w:rPr>
          <w:sz w:val="22"/>
          <w:szCs w:val="22"/>
        </w:rPr>
      </w:pPr>
      <w:r w:rsidRPr="00CD16BA">
        <w:rPr>
          <w:sz w:val="22"/>
          <w:szCs w:val="22"/>
          <w:lang w:val="en-US"/>
        </w:rPr>
        <w:t>To initiate the Maillard reaction in our experiments we use the monomeric reducing sugar glucose and the free amino acid glycine as reactants. We use glucose and glycine as representative moieties for all monomeric reducing sugars and all free amino acids, respectively, because all reducing sugars and free amino acids can take part in the Maillard reaction</w:t>
      </w:r>
      <w:r w:rsidRPr="000B443B">
        <w:rPr>
          <w:noProof/>
          <w:sz w:val="22"/>
          <w:szCs w:val="22"/>
          <w:vertAlign w:val="superscript"/>
          <w:lang w:val="en-US"/>
        </w:rPr>
        <w:t>4,32</w:t>
      </w:r>
      <w:r w:rsidRPr="00CD16BA">
        <w:rPr>
          <w:sz w:val="22"/>
          <w:szCs w:val="22"/>
          <w:lang w:val="en-US"/>
        </w:rPr>
        <w:t>, and we use these representatives at millimolar concentration (50 mmol L</w:t>
      </w:r>
      <w:r w:rsidRPr="00CD16BA">
        <w:rPr>
          <w:sz w:val="22"/>
          <w:szCs w:val="22"/>
          <w:vertAlign w:val="superscript"/>
          <w:lang w:val="en-US"/>
        </w:rPr>
        <w:t>-1</w:t>
      </w:r>
      <w:r w:rsidRPr="00CD16BA">
        <w:rPr>
          <w:sz w:val="22"/>
          <w:szCs w:val="22"/>
          <w:lang w:val="en-US"/>
        </w:rPr>
        <w:t>). Glucose and glycine are commonly present in margin porewaters (</w:t>
      </w:r>
      <w:r w:rsidRPr="00CD16BA">
        <w:rPr>
          <w:sz w:val="22"/>
          <w:szCs w:val="22"/>
        </w:rPr>
        <w:t>glucose is normally the major monomeric sugar</w:t>
      </w:r>
      <w:r w:rsidRPr="000B443B">
        <w:rPr>
          <w:noProof/>
          <w:sz w:val="22"/>
          <w:szCs w:val="22"/>
          <w:vertAlign w:val="superscript"/>
        </w:rPr>
        <w:t>33</w:t>
      </w:r>
      <w:r w:rsidRPr="00CD16BA">
        <w:rPr>
          <w:sz w:val="22"/>
          <w:szCs w:val="22"/>
          <w:vertAlign w:val="superscript"/>
        </w:rPr>
        <w:t xml:space="preserve"> </w:t>
      </w:r>
      <w:r w:rsidRPr="00CD16BA">
        <w:rPr>
          <w:sz w:val="22"/>
          <w:szCs w:val="22"/>
        </w:rPr>
        <w:t>and glycine is one of the most common free amino acids within marine sediments</w:t>
      </w:r>
      <w:r w:rsidRPr="00EF1D61">
        <w:rPr>
          <w:noProof/>
          <w:sz w:val="22"/>
          <w:szCs w:val="22"/>
          <w:vertAlign w:val="superscript"/>
        </w:rPr>
        <w:t>3</w:t>
      </w:r>
      <w:r w:rsidRPr="00CD16BA">
        <w:rPr>
          <w:sz w:val="22"/>
          <w:szCs w:val="22"/>
        </w:rPr>
        <w:t>) but their specific reactivity towards the Maillard reaction may not be representative of other reactant pairings within the monomeric reducing sugar and free amino acid reactant classes, and in margin porewaters glucose and glycine and their respective reactant classes are present at micromolar to sub-micromolar concentration</w:t>
      </w:r>
      <w:r w:rsidRPr="000B443B">
        <w:rPr>
          <w:noProof/>
          <w:sz w:val="22"/>
          <w:szCs w:val="22"/>
          <w:vertAlign w:val="superscript"/>
        </w:rPr>
        <w:t>34-36</w:t>
      </w:r>
      <w:r w:rsidRPr="00CD16BA">
        <w:rPr>
          <w:sz w:val="22"/>
          <w:szCs w:val="22"/>
          <w:lang w:val="en-US"/>
        </w:rPr>
        <w:t>.</w:t>
      </w:r>
      <w:r w:rsidRPr="00CD16BA">
        <w:rPr>
          <w:sz w:val="22"/>
          <w:szCs w:val="22"/>
        </w:rPr>
        <w:t xml:space="preserve"> </w:t>
      </w:r>
      <w:r w:rsidRPr="00CD16BA">
        <w:rPr>
          <w:sz w:val="22"/>
          <w:szCs w:val="22"/>
          <w:lang w:val="en-US"/>
        </w:rPr>
        <w:t xml:space="preserve">Because reaction rates can be a function of reactant properties and concentrations, the application of our experimental GPS production rates, determined using glucose and glycine at elevated concentration, to margin sediments containing a mixture of monomeric reducing sugars and free amino acids at reduced concentration, therefore contains an inherent uncertainty. </w:t>
      </w:r>
    </w:p>
    <w:p w14:paraId="517AC18D" w14:textId="77777777" w:rsidR="007C424D" w:rsidRPr="00CD16BA" w:rsidRDefault="007C424D" w:rsidP="0039267A">
      <w:pPr>
        <w:spacing w:after="160" w:line="259" w:lineRule="auto"/>
        <w:jc w:val="both"/>
        <w:rPr>
          <w:sz w:val="22"/>
          <w:szCs w:val="22"/>
        </w:rPr>
      </w:pPr>
      <w:r w:rsidRPr="00CD16BA">
        <w:rPr>
          <w:sz w:val="22"/>
          <w:szCs w:val="22"/>
          <w:lang w:val="en-US"/>
        </w:rPr>
        <w:t>Determining Maillard reaction kinetics is difficult because the reaction is extremely complex</w:t>
      </w:r>
      <w:r w:rsidRPr="000B443B">
        <w:rPr>
          <w:noProof/>
          <w:sz w:val="22"/>
          <w:szCs w:val="22"/>
          <w:vertAlign w:val="superscript"/>
          <w:lang w:val="en-US"/>
        </w:rPr>
        <w:t>4</w:t>
      </w:r>
      <w:r w:rsidRPr="00CD16BA">
        <w:rPr>
          <w:sz w:val="22"/>
          <w:szCs w:val="22"/>
          <w:lang w:val="en-US"/>
        </w:rPr>
        <w:t xml:space="preserve">. For many reactant pairings, formation of the more stable intermediate and advanced Maillard products are reported to obey </w:t>
      </w:r>
      <w:r w:rsidRPr="00CD16BA">
        <w:rPr>
          <w:sz w:val="22"/>
          <w:szCs w:val="22"/>
        </w:rPr>
        <w:t>zero-order kinetics with respect to the reactants, and colour formation (</w:t>
      </w:r>
      <w:r w:rsidRPr="00CD16BA">
        <w:rPr>
          <w:sz w:val="22"/>
          <w:szCs w:val="22"/>
          <w:lang w:val="en-US"/>
        </w:rPr>
        <w:t>which is the most studied aspect of the Maillard reaction) is also typically modelled as a zero-order reaction</w:t>
      </w:r>
      <w:r w:rsidRPr="00E47E89">
        <w:rPr>
          <w:noProof/>
          <w:sz w:val="22"/>
          <w:szCs w:val="22"/>
          <w:vertAlign w:val="superscript"/>
          <w:lang w:val="en-US"/>
        </w:rPr>
        <w:t>37</w:t>
      </w:r>
      <w:r w:rsidRPr="00CD16BA">
        <w:rPr>
          <w:sz w:val="22"/>
          <w:szCs w:val="22"/>
        </w:rPr>
        <w:t>.</w:t>
      </w:r>
      <w:r w:rsidRPr="00CD16BA">
        <w:rPr>
          <w:sz w:val="22"/>
          <w:szCs w:val="22"/>
          <w:lang w:val="en-US"/>
        </w:rPr>
        <w:t xml:space="preserve"> The occurrence of a zero-order reaction is due to the fact that the concentration of reactants present is usually quite high compared to the concentration of intermediates and advanced products formed, hence the concentration of reactants is essentially constant relative to the products</w:t>
      </w:r>
      <w:r w:rsidRPr="00E47E89">
        <w:rPr>
          <w:noProof/>
          <w:sz w:val="22"/>
          <w:szCs w:val="22"/>
          <w:vertAlign w:val="superscript"/>
          <w:lang w:val="en-US"/>
        </w:rPr>
        <w:t>37</w:t>
      </w:r>
      <w:r w:rsidRPr="00CD16BA">
        <w:rPr>
          <w:sz w:val="22"/>
          <w:szCs w:val="22"/>
        </w:rPr>
        <w:t xml:space="preserve">. In our experiments </w:t>
      </w:r>
      <w:r w:rsidRPr="00CD16BA">
        <w:rPr>
          <w:sz w:val="22"/>
          <w:szCs w:val="22"/>
          <w:lang w:val="en-US"/>
        </w:rPr>
        <w:t>the concentration of glucose and glycine (50 mmol L</w:t>
      </w:r>
      <w:r w:rsidRPr="00CD16BA">
        <w:rPr>
          <w:sz w:val="22"/>
          <w:szCs w:val="22"/>
          <w:vertAlign w:val="superscript"/>
          <w:lang w:val="en-US"/>
        </w:rPr>
        <w:t>-1</w:t>
      </w:r>
      <w:r w:rsidRPr="00CD16BA">
        <w:rPr>
          <w:sz w:val="22"/>
          <w:szCs w:val="22"/>
          <w:lang w:val="en-US"/>
        </w:rPr>
        <w:t>) is very high compared to the concentration of GPS formed (a few nmol L</w:t>
      </w:r>
      <w:r w:rsidRPr="00CD16BA">
        <w:rPr>
          <w:sz w:val="22"/>
          <w:szCs w:val="22"/>
          <w:vertAlign w:val="superscript"/>
          <w:lang w:val="en-US"/>
        </w:rPr>
        <w:t>-1</w:t>
      </w:r>
      <w:r w:rsidRPr="00CD16BA">
        <w:rPr>
          <w:sz w:val="22"/>
          <w:szCs w:val="22"/>
          <w:lang w:val="en-US"/>
        </w:rPr>
        <w:t xml:space="preserve"> GPS, Figure </w:t>
      </w:r>
      <w:r>
        <w:rPr>
          <w:sz w:val="22"/>
          <w:szCs w:val="22"/>
          <w:lang w:val="en-US"/>
        </w:rPr>
        <w:t>2</w:t>
      </w:r>
      <w:r w:rsidRPr="00CD16BA">
        <w:rPr>
          <w:sz w:val="22"/>
          <w:szCs w:val="22"/>
          <w:lang w:val="en-US"/>
        </w:rPr>
        <w:t xml:space="preserve"> main text) and suggests that our glucose and glycine reactant pairing also obeys zero-order kinetics, in which the </w:t>
      </w:r>
      <w:r w:rsidRPr="00CD16BA">
        <w:rPr>
          <w:sz w:val="22"/>
          <w:szCs w:val="22"/>
        </w:rPr>
        <w:t xml:space="preserve">reaction rate is independent of the concentration of reactants, providing a critical threshold concentration of reactants is met. </w:t>
      </w:r>
    </w:p>
    <w:p w14:paraId="6D603249" w14:textId="77777777" w:rsidR="007C424D" w:rsidRPr="00CD16BA" w:rsidRDefault="007C424D" w:rsidP="0039267A">
      <w:pPr>
        <w:spacing w:after="160" w:line="259" w:lineRule="auto"/>
        <w:jc w:val="both"/>
        <w:rPr>
          <w:sz w:val="22"/>
          <w:szCs w:val="22"/>
        </w:rPr>
      </w:pPr>
    </w:p>
    <w:p w14:paraId="1E760239" w14:textId="77777777" w:rsidR="007C424D" w:rsidRPr="00CD16BA" w:rsidRDefault="007C424D" w:rsidP="0039267A">
      <w:pPr>
        <w:spacing w:after="160" w:line="259" w:lineRule="auto"/>
        <w:jc w:val="both"/>
        <w:rPr>
          <w:sz w:val="22"/>
          <w:szCs w:val="22"/>
        </w:rPr>
      </w:pPr>
      <w:r w:rsidRPr="00CD16BA">
        <w:rPr>
          <w:sz w:val="22"/>
          <w:szCs w:val="22"/>
        </w:rPr>
        <w:lastRenderedPageBreak/>
        <w:t xml:space="preserve">The critical threshold concentration of glucose and glycine required to sustain our sum experimental GPS production rate is ~2 micromolar of both glucose and glycine (calculated using the average molecular weight of our GPS </w:t>
      </w:r>
      <w:r w:rsidRPr="00CD16BA">
        <w:rPr>
          <w:sz w:val="22"/>
          <w:szCs w:val="22"/>
          <w:lang w:val="en-US"/>
        </w:rPr>
        <w:t>(27067 g mol</w:t>
      </w:r>
      <w:r w:rsidRPr="00CD16BA">
        <w:rPr>
          <w:sz w:val="22"/>
          <w:szCs w:val="22"/>
          <w:vertAlign w:val="superscript"/>
          <w:lang w:val="en-US"/>
        </w:rPr>
        <w:t>-1</w:t>
      </w:r>
      <w:r w:rsidRPr="00CD16BA">
        <w:rPr>
          <w:sz w:val="22"/>
          <w:szCs w:val="22"/>
        </w:rPr>
        <w:t>; Supplementary Table 5) and considering that glucose (180 g mol</w:t>
      </w:r>
      <w:r w:rsidRPr="00CD16BA">
        <w:rPr>
          <w:sz w:val="22"/>
          <w:szCs w:val="22"/>
          <w:vertAlign w:val="superscript"/>
        </w:rPr>
        <w:t>-1</w:t>
      </w:r>
      <w:r w:rsidRPr="00CD16BA">
        <w:rPr>
          <w:sz w:val="22"/>
          <w:szCs w:val="22"/>
        </w:rPr>
        <w:t>) and glycine (75 g mol</w:t>
      </w:r>
      <w:r w:rsidRPr="00CD16BA">
        <w:rPr>
          <w:sz w:val="22"/>
          <w:szCs w:val="22"/>
          <w:vertAlign w:val="superscript"/>
        </w:rPr>
        <w:t>-1</w:t>
      </w:r>
      <w:r w:rsidRPr="00CD16BA">
        <w:rPr>
          <w:sz w:val="22"/>
          <w:szCs w:val="22"/>
        </w:rPr>
        <w:t>) are combined in a ~1:1 ratio in a GPS unit (Supplementary Table 1) such that a GPS unit equates to ~255 g mol</w:t>
      </w:r>
      <w:r w:rsidRPr="00CD16BA">
        <w:rPr>
          <w:sz w:val="22"/>
          <w:szCs w:val="22"/>
          <w:vertAlign w:val="superscript"/>
        </w:rPr>
        <w:t>-1</w:t>
      </w:r>
      <w:r w:rsidRPr="00CD16BA">
        <w:rPr>
          <w:sz w:val="22"/>
          <w:szCs w:val="22"/>
        </w:rPr>
        <w:t xml:space="preserve">, </w:t>
      </w:r>
      <w:r w:rsidRPr="0039267A">
        <w:rPr>
          <w:sz w:val="22"/>
          <w:szCs w:val="22"/>
        </w:rPr>
        <w:t>(although Fe mineral catalysts have also been shown to catalyse glucose-glucose polymerisation</w:t>
      </w:r>
      <w:r w:rsidRPr="00E47E89">
        <w:rPr>
          <w:noProof/>
          <w:sz w:val="22"/>
          <w:szCs w:val="22"/>
          <w:vertAlign w:val="superscript"/>
        </w:rPr>
        <w:t>38</w:t>
      </w:r>
      <w:r w:rsidRPr="0039267A">
        <w:rPr>
          <w:sz w:val="22"/>
          <w:szCs w:val="22"/>
        </w:rPr>
        <w:t>)</w:t>
      </w:r>
      <w:r>
        <w:rPr>
          <w:sz w:val="22"/>
          <w:szCs w:val="22"/>
        </w:rPr>
        <w:t>,</w:t>
      </w:r>
      <w:r w:rsidRPr="0039267A">
        <w:rPr>
          <w:sz w:val="22"/>
          <w:szCs w:val="22"/>
        </w:rPr>
        <w:t xml:space="preserve"> </w:t>
      </w:r>
      <w:r w:rsidRPr="00CD16BA">
        <w:rPr>
          <w:sz w:val="22"/>
          <w:szCs w:val="22"/>
        </w:rPr>
        <w:t>and every 1 mole of GPS contains ~106 GPS units and thus ~53 moles of both glucose and glycine; therefore our average GPS production rates via Fe and Mn mineral catalysis (15.5 x 10</w:t>
      </w:r>
      <w:r w:rsidRPr="00CD16BA">
        <w:rPr>
          <w:sz w:val="22"/>
          <w:szCs w:val="22"/>
          <w:vertAlign w:val="superscript"/>
        </w:rPr>
        <w:t>-9</w:t>
      </w:r>
      <w:r w:rsidRPr="00CD16BA">
        <w:rPr>
          <w:sz w:val="22"/>
          <w:szCs w:val="22"/>
        </w:rPr>
        <w:t xml:space="preserve"> mol L</w:t>
      </w:r>
      <w:r w:rsidRPr="00CD16BA">
        <w:rPr>
          <w:sz w:val="22"/>
          <w:szCs w:val="22"/>
          <w:vertAlign w:val="superscript"/>
        </w:rPr>
        <w:t>-1</w:t>
      </w:r>
      <w:r w:rsidRPr="00CD16BA">
        <w:rPr>
          <w:sz w:val="22"/>
          <w:szCs w:val="22"/>
        </w:rPr>
        <w:t xml:space="preserve"> yr</w:t>
      </w:r>
      <w:r w:rsidRPr="00CD16BA">
        <w:rPr>
          <w:sz w:val="22"/>
          <w:szCs w:val="22"/>
          <w:vertAlign w:val="superscript"/>
        </w:rPr>
        <w:t>-1</w:t>
      </w:r>
      <w:r w:rsidRPr="00CD16BA">
        <w:rPr>
          <w:sz w:val="22"/>
          <w:szCs w:val="22"/>
        </w:rPr>
        <w:t xml:space="preserve"> for Fe-catalysed and 17.1 x 10</w:t>
      </w:r>
      <w:r w:rsidRPr="00CD16BA">
        <w:rPr>
          <w:sz w:val="22"/>
          <w:szCs w:val="22"/>
          <w:vertAlign w:val="superscript"/>
        </w:rPr>
        <w:t>-9</w:t>
      </w:r>
      <w:r w:rsidRPr="00CD16BA">
        <w:rPr>
          <w:sz w:val="22"/>
          <w:szCs w:val="22"/>
        </w:rPr>
        <w:t xml:space="preserve"> mol L</w:t>
      </w:r>
      <w:r w:rsidRPr="00CD16BA">
        <w:rPr>
          <w:sz w:val="22"/>
          <w:szCs w:val="22"/>
          <w:vertAlign w:val="superscript"/>
        </w:rPr>
        <w:t>-1</w:t>
      </w:r>
      <w:r w:rsidRPr="00CD16BA">
        <w:rPr>
          <w:sz w:val="22"/>
          <w:szCs w:val="22"/>
        </w:rPr>
        <w:t xml:space="preserve"> yr</w:t>
      </w:r>
      <w:r w:rsidRPr="00CD16BA">
        <w:rPr>
          <w:sz w:val="22"/>
          <w:szCs w:val="22"/>
          <w:vertAlign w:val="superscript"/>
        </w:rPr>
        <w:t>-1</w:t>
      </w:r>
      <w:r w:rsidRPr="00CD16BA">
        <w:rPr>
          <w:sz w:val="22"/>
          <w:szCs w:val="22"/>
        </w:rPr>
        <w:t xml:space="preserve"> for Mn-catalysed presented in </w:t>
      </w:r>
      <w:r>
        <w:rPr>
          <w:sz w:val="22"/>
          <w:szCs w:val="22"/>
        </w:rPr>
        <w:t xml:space="preserve">Supplementary </w:t>
      </w:r>
      <w:r w:rsidRPr="00CD16BA">
        <w:rPr>
          <w:sz w:val="22"/>
          <w:szCs w:val="22"/>
        </w:rPr>
        <w:t xml:space="preserve">Table </w:t>
      </w:r>
      <w:r>
        <w:rPr>
          <w:sz w:val="22"/>
          <w:szCs w:val="22"/>
        </w:rPr>
        <w:t>6</w:t>
      </w:r>
      <w:r w:rsidRPr="00CD16BA">
        <w:rPr>
          <w:sz w:val="22"/>
          <w:szCs w:val="22"/>
        </w:rPr>
        <w:t>) require ~8 x 10</w:t>
      </w:r>
      <w:r w:rsidRPr="00CD16BA">
        <w:rPr>
          <w:sz w:val="22"/>
          <w:szCs w:val="22"/>
          <w:vertAlign w:val="superscript"/>
        </w:rPr>
        <w:t>-7</w:t>
      </w:r>
      <w:r w:rsidRPr="00CD16BA">
        <w:rPr>
          <w:sz w:val="22"/>
          <w:szCs w:val="22"/>
        </w:rPr>
        <w:t xml:space="preserve"> mol L</w:t>
      </w:r>
      <w:r w:rsidRPr="00CD16BA">
        <w:rPr>
          <w:sz w:val="22"/>
          <w:szCs w:val="22"/>
          <w:vertAlign w:val="superscript"/>
        </w:rPr>
        <w:t>-1</w:t>
      </w:r>
      <w:r w:rsidRPr="00CD16BA">
        <w:rPr>
          <w:sz w:val="22"/>
          <w:szCs w:val="22"/>
        </w:rPr>
        <w:t xml:space="preserve"> yr</w:t>
      </w:r>
      <w:r w:rsidRPr="00CD16BA">
        <w:rPr>
          <w:sz w:val="22"/>
          <w:szCs w:val="22"/>
          <w:vertAlign w:val="superscript"/>
        </w:rPr>
        <w:t>-1</w:t>
      </w:r>
      <w:r w:rsidRPr="00CD16BA">
        <w:rPr>
          <w:sz w:val="22"/>
          <w:szCs w:val="22"/>
        </w:rPr>
        <w:t xml:space="preserve"> of both glucose and glycine (for Fe-catalysed) and ~9 x 10</w:t>
      </w:r>
      <w:r w:rsidRPr="00CD16BA">
        <w:rPr>
          <w:sz w:val="22"/>
          <w:szCs w:val="22"/>
          <w:vertAlign w:val="superscript"/>
        </w:rPr>
        <w:t>-7</w:t>
      </w:r>
      <w:r w:rsidRPr="00CD16BA">
        <w:rPr>
          <w:sz w:val="22"/>
          <w:szCs w:val="22"/>
        </w:rPr>
        <w:t xml:space="preserve"> mol L</w:t>
      </w:r>
      <w:r w:rsidRPr="00CD16BA">
        <w:rPr>
          <w:sz w:val="22"/>
          <w:szCs w:val="22"/>
          <w:vertAlign w:val="superscript"/>
        </w:rPr>
        <w:t>-1</w:t>
      </w:r>
      <w:r w:rsidRPr="00CD16BA">
        <w:rPr>
          <w:sz w:val="22"/>
          <w:szCs w:val="22"/>
        </w:rPr>
        <w:t xml:space="preserve"> yr</w:t>
      </w:r>
      <w:r w:rsidRPr="00CD16BA">
        <w:rPr>
          <w:sz w:val="22"/>
          <w:szCs w:val="22"/>
          <w:vertAlign w:val="superscript"/>
        </w:rPr>
        <w:t>-1</w:t>
      </w:r>
      <w:r w:rsidRPr="00CD16BA">
        <w:rPr>
          <w:sz w:val="22"/>
          <w:szCs w:val="22"/>
        </w:rPr>
        <w:t xml:space="preserve"> of both glucose and glycine (for Mn-catalysed)). Approximately 2 micromolar probably exceeds the concentration of glucose and almost certainly exceeds the concentration of glycine in typical margin porewaters (field measurements of individual monomeric reducing sugars and free amino acids are extremely scarce but for the available data glycine concentrations are micromolar to sub-micromolar</w:t>
      </w:r>
      <w:r w:rsidRPr="00EF1D61">
        <w:rPr>
          <w:noProof/>
          <w:sz w:val="22"/>
          <w:szCs w:val="22"/>
          <w:vertAlign w:val="superscript"/>
        </w:rPr>
        <w:t>35</w:t>
      </w:r>
      <w:r w:rsidRPr="00CD16BA">
        <w:rPr>
          <w:sz w:val="22"/>
          <w:szCs w:val="22"/>
        </w:rPr>
        <w:t>). It is thus unlikely that our experimental GPS production rates are applicable to margin sediments considering the Maillard reaction of only glucose and glycine. Approximately ~2 micromolar however, is within the range of concentrations reported for the monomeric reducing sugar and free amino acid reactant classes in margin porewaters (field measurements for these reactant classes are particularly scarce in oxic margin sediments within which we postulate our GPS production to occur, but glucose can comprise the majority of dissolved free carbohydrates in oxic margin porewater up to ~6 micromolar</w:t>
      </w:r>
      <w:r w:rsidRPr="00EF1D61">
        <w:rPr>
          <w:noProof/>
          <w:sz w:val="22"/>
          <w:szCs w:val="22"/>
          <w:vertAlign w:val="superscript"/>
        </w:rPr>
        <w:t>34</w:t>
      </w:r>
      <w:r w:rsidRPr="00CD16BA">
        <w:rPr>
          <w:sz w:val="22"/>
          <w:szCs w:val="22"/>
        </w:rPr>
        <w:t xml:space="preserve"> while free amino acids at oxic sites can be up to ~10 micromolar</w:t>
      </w:r>
      <w:r w:rsidRPr="00EF1D61">
        <w:rPr>
          <w:noProof/>
          <w:sz w:val="22"/>
          <w:szCs w:val="22"/>
          <w:vertAlign w:val="superscript"/>
        </w:rPr>
        <w:t>35</w:t>
      </w:r>
      <w:r w:rsidRPr="00CD16BA">
        <w:rPr>
          <w:sz w:val="22"/>
          <w:szCs w:val="22"/>
        </w:rPr>
        <w:t>). We therefore posit that our experimental GPS production rates are applicable to margin sediments considering the Maillard reaction of monomeric reducing sugars and free amino acids, and t</w:t>
      </w:r>
      <w:r w:rsidRPr="00CD16BA">
        <w:rPr>
          <w:sz w:val="22"/>
          <w:szCs w:val="22"/>
          <w:lang w:val="en-US"/>
        </w:rPr>
        <w:t xml:space="preserve">o try and account for natural variability in the specific reactivity of different reactant pairings </w:t>
      </w:r>
      <w:r w:rsidRPr="00CD16BA">
        <w:rPr>
          <w:sz w:val="22"/>
          <w:szCs w:val="22"/>
        </w:rPr>
        <w:t>within these reactant classes, we include a range of Maillard reaction activation energies for a range of different reactant pairings (including reducing sugars, amino acids and proteins)</w:t>
      </w:r>
      <w:r w:rsidRPr="00CD16BA">
        <w:rPr>
          <w:noProof/>
          <w:sz w:val="22"/>
          <w:szCs w:val="22"/>
          <w:vertAlign w:val="superscript"/>
        </w:rPr>
        <w:t xml:space="preserve"> </w:t>
      </w:r>
      <w:r>
        <w:rPr>
          <w:noProof/>
          <w:sz w:val="22"/>
          <w:szCs w:val="22"/>
          <w:vertAlign w:val="superscript"/>
        </w:rPr>
        <w:t>37</w:t>
      </w:r>
      <w:r w:rsidRPr="00CD16BA">
        <w:rPr>
          <w:sz w:val="22"/>
          <w:szCs w:val="22"/>
        </w:rPr>
        <w:t>, which we increase by plus/minus one standard deviation in our Monte Carlo approach to further account for natural variability (</w:t>
      </w:r>
      <w:r>
        <w:rPr>
          <w:sz w:val="22"/>
          <w:szCs w:val="22"/>
        </w:rPr>
        <w:t xml:space="preserve">see </w:t>
      </w:r>
      <w:r w:rsidRPr="00CD16BA">
        <w:rPr>
          <w:sz w:val="22"/>
          <w:szCs w:val="22"/>
        </w:rPr>
        <w:t>Methods).</w:t>
      </w:r>
    </w:p>
    <w:p w14:paraId="3040072B" w14:textId="77777777" w:rsidR="007C424D" w:rsidRPr="00CD16BA" w:rsidRDefault="007C424D" w:rsidP="0039267A">
      <w:pPr>
        <w:spacing w:after="160" w:line="259" w:lineRule="auto"/>
        <w:jc w:val="both"/>
        <w:rPr>
          <w:sz w:val="22"/>
          <w:szCs w:val="22"/>
          <w:lang w:val="en-US"/>
        </w:rPr>
      </w:pPr>
      <w:r w:rsidRPr="00CD16BA">
        <w:rPr>
          <w:sz w:val="22"/>
          <w:szCs w:val="22"/>
          <w:lang w:val="en-US"/>
        </w:rPr>
        <w:t xml:space="preserve">To </w:t>
      </w:r>
      <w:proofErr w:type="spellStart"/>
      <w:r w:rsidRPr="00CD16BA">
        <w:rPr>
          <w:sz w:val="22"/>
          <w:szCs w:val="22"/>
          <w:lang w:val="en-US"/>
        </w:rPr>
        <w:t>catalyse</w:t>
      </w:r>
      <w:proofErr w:type="spellEnd"/>
      <w:r w:rsidRPr="00CD16BA">
        <w:rPr>
          <w:sz w:val="22"/>
          <w:szCs w:val="22"/>
          <w:lang w:val="en-US"/>
        </w:rPr>
        <w:t xml:space="preserve"> the Maillard reaction in our experiments we use synthetic ferrihydrite and birnessite. Whilst ferrihydrite and birnessite are present in oxygenated surficial margin sediments</w:t>
      </w:r>
      <w:r w:rsidRPr="00EF1D61">
        <w:rPr>
          <w:noProof/>
          <w:sz w:val="22"/>
          <w:szCs w:val="22"/>
          <w:vertAlign w:val="superscript"/>
          <w:lang w:val="en-US"/>
        </w:rPr>
        <w:t>15</w:t>
      </w:r>
      <w:r w:rsidRPr="00CD16BA">
        <w:rPr>
          <w:sz w:val="22"/>
          <w:szCs w:val="22"/>
          <w:lang w:val="en-US"/>
        </w:rPr>
        <w:t>, our synthetic versions may not be representative of the concentrations and reactivities of ferrihydrite and birnessite present in these settings. Because our experimental GPS production rates are a function of catalyst concentration, their application to margin sediments therefore contains an inherent uncertainty. Determining the concentration of ferrihydrite in sediments is difficult because the Fe (oxyhydr)oxide fraction is most usually targeted using the dithionite extraction, which isolates poorly crystalline phases like ferrihydrite as well as more crystalline Fe oxides, which might be less catalytically reactive</w:t>
      </w:r>
      <w:r w:rsidRPr="00EF1D61">
        <w:rPr>
          <w:noProof/>
          <w:sz w:val="22"/>
          <w:szCs w:val="22"/>
          <w:vertAlign w:val="superscript"/>
          <w:lang w:val="en-US"/>
        </w:rPr>
        <w:t>39</w:t>
      </w:r>
      <w:r w:rsidRPr="00CD16BA">
        <w:rPr>
          <w:sz w:val="22"/>
          <w:szCs w:val="22"/>
          <w:lang w:val="en-US"/>
        </w:rPr>
        <w:t xml:space="preserve">.  To our knowledge </w:t>
      </w:r>
      <w:r w:rsidRPr="00CD16BA">
        <w:rPr>
          <w:sz w:val="22"/>
          <w:szCs w:val="22"/>
        </w:rPr>
        <w:t xml:space="preserve">there are no down core global data sets for Fe extracted using a weaker treatment, such as Fe extracted by hydroxylamine-HCL, which is likely more suitable for constraining the concentration of ferrihydrite. </w:t>
      </w:r>
      <w:r w:rsidRPr="00CD16BA">
        <w:rPr>
          <w:sz w:val="22"/>
          <w:szCs w:val="22"/>
          <w:lang w:val="en-US"/>
        </w:rPr>
        <w:t>Determining the concentration of birnessite in sediments is similarly difficult.</w:t>
      </w:r>
      <w:r w:rsidRPr="00CD16BA">
        <w:rPr>
          <w:sz w:val="22"/>
          <w:szCs w:val="22"/>
        </w:rPr>
        <w:t xml:space="preserve"> </w:t>
      </w:r>
      <w:r w:rsidRPr="00CD16BA">
        <w:rPr>
          <w:sz w:val="22"/>
          <w:szCs w:val="22"/>
          <w:lang w:val="en-US"/>
        </w:rPr>
        <w:t xml:space="preserve">In our experiments </w:t>
      </w:r>
      <w:r w:rsidRPr="00CD16BA">
        <w:rPr>
          <w:sz w:val="22"/>
          <w:szCs w:val="22"/>
        </w:rPr>
        <w:t xml:space="preserve">to try and approximate the concentration of ferrihydrite within margin sediments (i.e., within the OPD used for our scale-up – maximum 1.10 cm, average 0.66 cm) we consider </w:t>
      </w:r>
      <w:r w:rsidRPr="00CD16BA">
        <w:rPr>
          <w:rFonts w:cstheme="minorHAnsi"/>
          <w:sz w:val="22"/>
          <w:szCs w:val="22"/>
        </w:rPr>
        <w:t xml:space="preserve">that, hypothetically, if all dithionite extractable Fe in margin sediments (0.73 </w:t>
      </w:r>
      <w:proofErr w:type="spellStart"/>
      <w:r w:rsidRPr="00CD16BA">
        <w:rPr>
          <w:rFonts w:cstheme="minorHAnsi"/>
          <w:sz w:val="22"/>
          <w:szCs w:val="22"/>
        </w:rPr>
        <w:t>wt</w:t>
      </w:r>
      <w:proofErr w:type="spellEnd"/>
      <w:r w:rsidRPr="00CD16BA">
        <w:rPr>
          <w:rFonts w:cstheme="minorHAnsi"/>
          <w:sz w:val="22"/>
          <w:szCs w:val="22"/>
        </w:rPr>
        <w:t>% Fe</w:t>
      </w:r>
      <w:r w:rsidRPr="00EF1D61">
        <w:rPr>
          <w:rFonts w:cstheme="minorHAnsi"/>
          <w:noProof/>
          <w:sz w:val="22"/>
          <w:szCs w:val="22"/>
          <w:vertAlign w:val="superscript"/>
        </w:rPr>
        <w:t>40</w:t>
      </w:r>
      <w:r w:rsidRPr="00CD16BA">
        <w:rPr>
          <w:rFonts w:eastAsia="Times New Roman" w:cstheme="minorHAnsi"/>
          <w:sz w:val="22"/>
          <w:szCs w:val="22"/>
          <w:bdr w:val="none" w:sz="0" w:space="0" w:color="auto" w:frame="1"/>
          <w:shd w:val="clear" w:color="auto" w:fill="FFFFFF"/>
          <w:lang w:eastAsia="en-GB"/>
        </w:rPr>
        <w:t>)</w:t>
      </w:r>
      <w:r w:rsidRPr="00CD16BA">
        <w:rPr>
          <w:rFonts w:cstheme="minorHAnsi"/>
          <w:sz w:val="22"/>
          <w:szCs w:val="22"/>
        </w:rPr>
        <w:t xml:space="preserve"> was ferrihydrite, this would equate to ~6.9 g L</w:t>
      </w:r>
      <w:r w:rsidRPr="00CD16BA">
        <w:rPr>
          <w:rFonts w:cstheme="minorHAnsi"/>
          <w:sz w:val="22"/>
          <w:szCs w:val="22"/>
          <w:vertAlign w:val="superscript"/>
        </w:rPr>
        <w:t>-1</w:t>
      </w:r>
      <w:r w:rsidRPr="00CD16BA">
        <w:rPr>
          <w:rFonts w:cstheme="minorHAnsi"/>
          <w:sz w:val="22"/>
          <w:szCs w:val="22"/>
        </w:rPr>
        <w:t xml:space="preserve"> ferrihydrite within these settings (</w:t>
      </w:r>
      <w:r w:rsidRPr="00CD16BA">
        <w:rPr>
          <w:sz w:val="22"/>
          <w:szCs w:val="22"/>
          <w:lang w:val="en-US"/>
        </w:rPr>
        <w:t xml:space="preserve">calculated using a </w:t>
      </w:r>
      <w:r w:rsidRPr="00CD16BA">
        <w:rPr>
          <w:sz w:val="22"/>
          <w:szCs w:val="22"/>
        </w:rPr>
        <w:t>typical porosity of margin sediments of ~0.8 and thus a sediment-porewater ratio of  ~</w:t>
      </w:r>
      <w:r w:rsidRPr="00CD16BA">
        <w:rPr>
          <w:rFonts w:eastAsia="Times New Roman" w:cstheme="minorHAnsi"/>
          <w:sz w:val="22"/>
          <w:szCs w:val="22"/>
          <w:lang w:eastAsia="en-GB"/>
        </w:rPr>
        <w:t>0.2:0.8</w:t>
      </w:r>
      <w:r w:rsidRPr="00EF1D61">
        <w:rPr>
          <w:rFonts w:eastAsia="Times New Roman" w:cstheme="minorHAnsi"/>
          <w:noProof/>
          <w:sz w:val="22"/>
          <w:szCs w:val="22"/>
          <w:vertAlign w:val="superscript"/>
          <w:lang w:eastAsia="en-GB"/>
        </w:rPr>
        <w:t>41,42</w:t>
      </w:r>
      <w:r w:rsidRPr="00CD16BA">
        <w:rPr>
          <w:rFonts w:eastAsia="Times New Roman" w:cstheme="minorHAnsi"/>
          <w:sz w:val="22"/>
          <w:szCs w:val="22"/>
          <w:lang w:eastAsia="en-GB"/>
        </w:rPr>
        <w:t>, equating to</w:t>
      </w:r>
      <w:r w:rsidRPr="00CD16BA">
        <w:rPr>
          <w:rFonts w:eastAsia="Times New Roman"/>
          <w:sz w:val="22"/>
          <w:szCs w:val="22"/>
          <w:lang w:eastAsia="en-GB"/>
        </w:rPr>
        <w:t xml:space="preserve"> 250 cm</w:t>
      </w:r>
      <w:r w:rsidRPr="00CD16BA">
        <w:rPr>
          <w:rFonts w:eastAsia="Times New Roman"/>
          <w:sz w:val="22"/>
          <w:szCs w:val="22"/>
          <w:vertAlign w:val="superscript"/>
          <w:lang w:eastAsia="en-GB"/>
        </w:rPr>
        <w:t>3</w:t>
      </w:r>
      <w:r w:rsidRPr="00CD16BA">
        <w:rPr>
          <w:rFonts w:eastAsia="Times New Roman"/>
          <w:sz w:val="22"/>
          <w:szCs w:val="22"/>
          <w:lang w:eastAsia="en-GB"/>
        </w:rPr>
        <w:t xml:space="preserve"> of sediment per 1 L of porewater; </w:t>
      </w:r>
      <w:r w:rsidRPr="00CD16BA">
        <w:rPr>
          <w:sz w:val="22"/>
          <w:szCs w:val="22"/>
          <w:lang w:val="en-US"/>
        </w:rPr>
        <w:t xml:space="preserve">a </w:t>
      </w:r>
      <w:r w:rsidRPr="00CD16BA">
        <w:rPr>
          <w:rFonts w:eastAsia="Times New Roman"/>
          <w:sz w:val="22"/>
          <w:szCs w:val="22"/>
          <w:lang w:eastAsia="en-GB"/>
        </w:rPr>
        <w:t xml:space="preserve">typical </w:t>
      </w:r>
      <w:r w:rsidRPr="00CD16BA">
        <w:rPr>
          <w:rFonts w:eastAsia="Times New Roman" w:cstheme="minorHAnsi"/>
          <w:sz w:val="22"/>
          <w:szCs w:val="22"/>
          <w:lang w:eastAsia="en-GB"/>
        </w:rPr>
        <w:t xml:space="preserve">density of dry shelf sediment of </w:t>
      </w:r>
      <w:r w:rsidRPr="00CD16BA">
        <w:rPr>
          <w:rFonts w:eastAsia="Times New Roman"/>
          <w:sz w:val="22"/>
          <w:szCs w:val="22"/>
          <w:lang w:eastAsia="en-GB"/>
        </w:rPr>
        <w:t xml:space="preserve">~2.7 </w:t>
      </w:r>
      <w:proofErr w:type="spellStart"/>
      <w:r w:rsidRPr="00CD16BA">
        <w:rPr>
          <w:rFonts w:eastAsia="Times New Roman"/>
          <w:sz w:val="22"/>
          <w:szCs w:val="22"/>
          <w:lang w:eastAsia="en-GB"/>
        </w:rPr>
        <w:t>gdw</w:t>
      </w:r>
      <w:proofErr w:type="spellEnd"/>
      <w:r w:rsidRPr="00CD16BA">
        <w:rPr>
          <w:rFonts w:eastAsia="Times New Roman"/>
          <w:sz w:val="22"/>
          <w:szCs w:val="22"/>
          <w:lang w:eastAsia="en-GB"/>
        </w:rPr>
        <w:t xml:space="preserve"> cm</w:t>
      </w:r>
      <w:r w:rsidRPr="00CD16BA">
        <w:rPr>
          <w:rFonts w:eastAsia="Times New Roman"/>
          <w:sz w:val="22"/>
          <w:szCs w:val="22"/>
          <w:vertAlign w:val="superscript"/>
          <w:lang w:eastAsia="en-GB"/>
        </w:rPr>
        <w:t>-3</w:t>
      </w:r>
      <w:r w:rsidRPr="00CD16BA">
        <w:rPr>
          <w:rFonts w:eastAsia="Times New Roman"/>
          <w:sz w:val="22"/>
          <w:szCs w:val="22"/>
          <w:lang w:eastAsia="en-GB"/>
        </w:rPr>
        <w:t xml:space="preserve"> and thus ~675 </w:t>
      </w:r>
      <w:proofErr w:type="spellStart"/>
      <w:r w:rsidRPr="00CD16BA">
        <w:rPr>
          <w:rFonts w:eastAsia="Times New Roman"/>
          <w:sz w:val="22"/>
          <w:szCs w:val="22"/>
          <w:lang w:eastAsia="en-GB"/>
        </w:rPr>
        <w:t>gdw</w:t>
      </w:r>
      <w:proofErr w:type="spellEnd"/>
      <w:r w:rsidRPr="00CD16BA">
        <w:rPr>
          <w:rFonts w:eastAsia="Times New Roman"/>
          <w:sz w:val="22"/>
          <w:szCs w:val="22"/>
          <w:lang w:eastAsia="en-GB"/>
        </w:rPr>
        <w:t xml:space="preserve"> of sediment per 1 L of porewater; </w:t>
      </w:r>
      <w:r w:rsidRPr="00CD16BA">
        <w:rPr>
          <w:rFonts w:eastAsia="Times New Roman" w:cstheme="minorHAnsi"/>
          <w:sz w:val="22"/>
          <w:szCs w:val="22"/>
          <w:bdr w:val="none" w:sz="0" w:space="0" w:color="auto" w:frame="1"/>
          <w:shd w:val="clear" w:color="auto" w:fill="FFFFFF"/>
          <w:lang w:eastAsia="zh-TW"/>
        </w:rPr>
        <w:t xml:space="preserve">a dithionite-extractable Fe concentration of 0.73 </w:t>
      </w:r>
      <w:proofErr w:type="spellStart"/>
      <w:r w:rsidRPr="00CD16BA">
        <w:rPr>
          <w:rFonts w:eastAsia="Times New Roman" w:cstheme="minorHAnsi"/>
          <w:sz w:val="22"/>
          <w:szCs w:val="22"/>
          <w:bdr w:val="none" w:sz="0" w:space="0" w:color="auto" w:frame="1"/>
          <w:shd w:val="clear" w:color="auto" w:fill="FFFFFF"/>
          <w:lang w:eastAsia="zh-TW"/>
        </w:rPr>
        <w:t>wt</w:t>
      </w:r>
      <w:proofErr w:type="spellEnd"/>
      <w:r w:rsidRPr="00CD16BA">
        <w:rPr>
          <w:rFonts w:eastAsia="Times New Roman" w:cstheme="minorHAnsi"/>
          <w:sz w:val="22"/>
          <w:szCs w:val="22"/>
          <w:bdr w:val="none" w:sz="0" w:space="0" w:color="auto" w:frame="1"/>
          <w:shd w:val="clear" w:color="auto" w:fill="FFFFFF"/>
          <w:lang w:eastAsia="zh-TW"/>
        </w:rPr>
        <w:t>% for margin sediments</w:t>
      </w:r>
      <w:r w:rsidRPr="00E66947">
        <w:rPr>
          <w:rFonts w:eastAsia="Times New Roman" w:cstheme="minorHAnsi"/>
          <w:noProof/>
          <w:sz w:val="22"/>
          <w:szCs w:val="22"/>
          <w:bdr w:val="none" w:sz="0" w:space="0" w:color="auto" w:frame="1"/>
          <w:shd w:val="clear" w:color="auto" w:fill="FFFFFF"/>
          <w:vertAlign w:val="superscript"/>
          <w:lang w:eastAsia="zh-TW"/>
        </w:rPr>
        <w:t>40</w:t>
      </w:r>
      <w:r w:rsidRPr="00CD16BA">
        <w:rPr>
          <w:rFonts w:eastAsia="Times New Roman" w:cstheme="minorHAnsi"/>
          <w:sz w:val="22"/>
          <w:szCs w:val="22"/>
          <w:bdr w:val="none" w:sz="0" w:space="0" w:color="auto" w:frame="1"/>
          <w:shd w:val="clear" w:color="auto" w:fill="FFFFFF"/>
          <w:lang w:eastAsia="zh-TW"/>
        </w:rPr>
        <w:t xml:space="preserve"> and thus a hypothetical (assuming all Fe is ferrihydrite) </w:t>
      </w:r>
      <w:r w:rsidRPr="00CD16BA">
        <w:rPr>
          <w:rFonts w:eastAsia="Times New Roman" w:cstheme="minorHAnsi"/>
          <w:sz w:val="22"/>
          <w:szCs w:val="22"/>
          <w:lang w:eastAsia="zh-TW"/>
        </w:rPr>
        <w:t xml:space="preserve">solid-solution ratio of </w:t>
      </w:r>
      <w:r w:rsidRPr="00CD16BA">
        <w:rPr>
          <w:rFonts w:eastAsia="Times New Roman" w:cstheme="minorHAnsi"/>
          <w:sz w:val="22"/>
          <w:szCs w:val="22"/>
          <w:bdr w:val="none" w:sz="0" w:space="0" w:color="auto" w:frame="1"/>
          <w:shd w:val="clear" w:color="auto" w:fill="FFFFFF"/>
          <w:lang w:eastAsia="zh-TW"/>
        </w:rPr>
        <w:t>ferrihydrite</w:t>
      </w:r>
      <w:r w:rsidRPr="00CD16BA">
        <w:rPr>
          <w:rFonts w:eastAsia="Times New Roman" w:cstheme="minorHAnsi"/>
          <w:sz w:val="22"/>
          <w:szCs w:val="22"/>
          <w:lang w:eastAsia="zh-TW"/>
        </w:rPr>
        <w:t xml:space="preserve"> in typical margin sediments of ~</w:t>
      </w:r>
      <w:r w:rsidRPr="00CD16BA">
        <w:rPr>
          <w:rFonts w:eastAsia="Times New Roman" w:cstheme="minorHAnsi"/>
          <w:bCs/>
          <w:sz w:val="22"/>
          <w:szCs w:val="22"/>
          <w:lang w:eastAsia="zh-TW"/>
        </w:rPr>
        <w:t>6.9 g L</w:t>
      </w:r>
      <w:r w:rsidRPr="00CD16BA">
        <w:rPr>
          <w:rFonts w:eastAsia="Times New Roman" w:cstheme="minorHAnsi"/>
          <w:bCs/>
          <w:sz w:val="22"/>
          <w:szCs w:val="22"/>
          <w:vertAlign w:val="superscript"/>
          <w:lang w:eastAsia="zh-TW"/>
        </w:rPr>
        <w:t>-1</w:t>
      </w:r>
      <w:r w:rsidRPr="00CD16BA">
        <w:rPr>
          <w:rFonts w:eastAsia="Times New Roman" w:cstheme="minorHAnsi"/>
          <w:bCs/>
          <w:sz w:val="22"/>
          <w:szCs w:val="22"/>
          <w:lang w:eastAsia="zh-TW"/>
        </w:rPr>
        <w:t xml:space="preserve"> (based on a generic formula of Fe</w:t>
      </w:r>
      <w:r w:rsidRPr="00CD16BA">
        <w:rPr>
          <w:rFonts w:eastAsia="Times New Roman" w:cstheme="minorHAnsi"/>
          <w:bCs/>
          <w:sz w:val="22"/>
          <w:szCs w:val="22"/>
          <w:vertAlign w:val="subscript"/>
          <w:lang w:eastAsia="zh-TW"/>
        </w:rPr>
        <w:t>2</w:t>
      </w:r>
      <w:r w:rsidRPr="00CD16BA">
        <w:rPr>
          <w:rFonts w:eastAsia="Times New Roman" w:cstheme="minorHAnsi"/>
          <w:bCs/>
          <w:sz w:val="22"/>
          <w:szCs w:val="22"/>
          <w:lang w:eastAsia="zh-TW"/>
        </w:rPr>
        <w:t>O</w:t>
      </w:r>
      <w:r w:rsidRPr="00CD16BA">
        <w:rPr>
          <w:rFonts w:eastAsia="Times New Roman" w:cstheme="minorHAnsi"/>
          <w:bCs/>
          <w:sz w:val="22"/>
          <w:szCs w:val="22"/>
          <w:vertAlign w:val="subscript"/>
          <w:lang w:eastAsia="zh-TW"/>
        </w:rPr>
        <w:t>3</w:t>
      </w:r>
      <w:r w:rsidRPr="00CD16BA">
        <w:rPr>
          <w:rFonts w:eastAsia="Times New Roman" w:cstheme="minorHAnsi"/>
          <w:bCs/>
          <w:sz w:val="22"/>
          <w:szCs w:val="22"/>
          <w:lang w:eastAsia="en-GB"/>
        </w:rPr>
        <w:sym w:font="Symbol" w:char="F0D7"/>
      </w:r>
      <w:r w:rsidRPr="00CD16BA">
        <w:rPr>
          <w:rFonts w:eastAsia="Times New Roman" w:cstheme="minorHAnsi"/>
          <w:bCs/>
          <w:sz w:val="22"/>
          <w:szCs w:val="22"/>
          <w:lang w:eastAsia="zh-TW"/>
        </w:rPr>
        <w:t>0.5H</w:t>
      </w:r>
      <w:r w:rsidRPr="00CD16BA">
        <w:rPr>
          <w:rFonts w:eastAsia="Times New Roman" w:cstheme="minorHAnsi"/>
          <w:bCs/>
          <w:sz w:val="22"/>
          <w:szCs w:val="22"/>
          <w:vertAlign w:val="subscript"/>
          <w:lang w:eastAsia="zh-TW"/>
        </w:rPr>
        <w:t>2</w:t>
      </w:r>
      <w:r w:rsidRPr="00CD16BA">
        <w:rPr>
          <w:rFonts w:eastAsia="Times New Roman" w:cstheme="minorHAnsi"/>
          <w:bCs/>
          <w:sz w:val="22"/>
          <w:szCs w:val="22"/>
          <w:lang w:eastAsia="zh-TW"/>
        </w:rPr>
        <w:t>O)).</w:t>
      </w:r>
      <w:r w:rsidRPr="00CD16BA">
        <w:rPr>
          <w:rFonts w:eastAsia="Times New Roman" w:cstheme="minorHAnsi"/>
          <w:sz w:val="22"/>
          <w:szCs w:val="22"/>
          <w:bdr w:val="none" w:sz="0" w:space="0" w:color="auto" w:frame="1"/>
          <w:shd w:val="clear" w:color="auto" w:fill="FFFFFF"/>
          <w:lang w:eastAsia="zh-TW"/>
        </w:rPr>
        <w:t xml:space="preserve"> </w:t>
      </w:r>
      <w:r w:rsidRPr="00CD16BA">
        <w:rPr>
          <w:rFonts w:eastAsia="Times New Roman" w:cstheme="minorHAnsi"/>
          <w:sz w:val="22"/>
          <w:szCs w:val="22"/>
          <w:bdr w:val="none" w:sz="0" w:space="0" w:color="auto" w:frame="1"/>
          <w:shd w:val="clear" w:color="auto" w:fill="FFFFFF"/>
          <w:lang w:eastAsia="zh-TW"/>
        </w:rPr>
        <w:lastRenderedPageBreak/>
        <w:t xml:space="preserve">Then given that only some fraction of dithionite extractable Fe is ferrihydrite within margin sediments, we use </w:t>
      </w:r>
      <w:r w:rsidRPr="00CD16BA">
        <w:rPr>
          <w:sz w:val="22"/>
          <w:szCs w:val="22"/>
          <w:lang w:val="en-US"/>
        </w:rPr>
        <w:t>our ferrihydrite catalyst over a concentration range (0.5 – 2.5 g L</w:t>
      </w:r>
      <w:r w:rsidRPr="00CD16BA">
        <w:rPr>
          <w:sz w:val="22"/>
          <w:szCs w:val="22"/>
          <w:vertAlign w:val="superscript"/>
          <w:lang w:val="en-US"/>
        </w:rPr>
        <w:t>-1</w:t>
      </w:r>
      <w:r w:rsidRPr="00CD16BA">
        <w:rPr>
          <w:sz w:val="22"/>
          <w:szCs w:val="22"/>
          <w:lang w:val="en-US"/>
        </w:rPr>
        <w:t xml:space="preserve">) that approximates the low end of dithionite extractable Fe within these settings. </w:t>
      </w:r>
      <w:r w:rsidRPr="00CD16BA">
        <w:rPr>
          <w:sz w:val="22"/>
          <w:szCs w:val="22"/>
        </w:rPr>
        <w:t>To approximate the concentration of birnessite within margin sediments</w:t>
      </w:r>
      <w:r w:rsidRPr="00CD16BA" w:rsidDel="008F0D16">
        <w:rPr>
          <w:sz w:val="22"/>
          <w:szCs w:val="22"/>
        </w:rPr>
        <w:t xml:space="preserve"> </w:t>
      </w:r>
      <w:r w:rsidRPr="00CD16BA">
        <w:rPr>
          <w:sz w:val="22"/>
          <w:szCs w:val="22"/>
        </w:rPr>
        <w:t xml:space="preserve">we consider that, if </w:t>
      </w:r>
      <w:r>
        <w:rPr>
          <w:sz w:val="22"/>
          <w:szCs w:val="22"/>
        </w:rPr>
        <w:t>the majority of ascorbic acid extractable Mn in surface oxic margin sediments</w:t>
      </w:r>
      <w:r w:rsidRPr="00CD16BA">
        <w:rPr>
          <w:sz w:val="22"/>
          <w:szCs w:val="22"/>
        </w:rPr>
        <w:t xml:space="preserve"> (</w:t>
      </w:r>
      <w:r w:rsidRPr="00CD16BA">
        <w:rPr>
          <w:rFonts w:eastAsia="Times New Roman" w:cstheme="minorHAnsi"/>
          <w:sz w:val="22"/>
          <w:szCs w:val="22"/>
          <w:bdr w:val="none" w:sz="0" w:space="0" w:color="auto" w:frame="1"/>
          <w:shd w:val="clear" w:color="auto" w:fill="FFFFFF"/>
          <w:lang w:eastAsia="zh-TW"/>
        </w:rPr>
        <w:t>0.</w:t>
      </w:r>
      <w:r>
        <w:rPr>
          <w:rFonts w:eastAsia="Times New Roman" w:cstheme="minorHAnsi"/>
          <w:sz w:val="22"/>
          <w:szCs w:val="22"/>
          <w:bdr w:val="none" w:sz="0" w:space="0" w:color="auto" w:frame="1"/>
          <w:shd w:val="clear" w:color="auto" w:fill="FFFFFF"/>
          <w:lang w:eastAsia="zh-TW"/>
        </w:rPr>
        <w:t>2</w:t>
      </w:r>
      <w:r w:rsidRPr="00CD16BA">
        <w:rPr>
          <w:rFonts w:eastAsia="Times New Roman" w:cstheme="minorHAnsi"/>
          <w:sz w:val="22"/>
          <w:szCs w:val="22"/>
          <w:bdr w:val="none" w:sz="0" w:space="0" w:color="auto" w:frame="1"/>
          <w:shd w:val="clear" w:color="auto" w:fill="FFFFFF"/>
          <w:lang w:eastAsia="zh-TW"/>
        </w:rPr>
        <w:t xml:space="preserve"> – </w:t>
      </w:r>
      <w:r>
        <w:rPr>
          <w:rFonts w:eastAsia="Times New Roman" w:cstheme="minorHAnsi"/>
          <w:sz w:val="22"/>
          <w:szCs w:val="22"/>
          <w:bdr w:val="none" w:sz="0" w:space="0" w:color="auto" w:frame="1"/>
          <w:shd w:val="clear" w:color="auto" w:fill="FFFFFF"/>
          <w:lang w:eastAsia="zh-TW"/>
        </w:rPr>
        <w:t>0.5</w:t>
      </w:r>
      <w:r w:rsidRPr="00CD16BA">
        <w:rPr>
          <w:rFonts w:eastAsia="Times New Roman" w:cstheme="minorHAnsi"/>
          <w:sz w:val="22"/>
          <w:szCs w:val="22"/>
          <w:bdr w:val="none" w:sz="0" w:space="0" w:color="auto" w:frame="1"/>
          <w:shd w:val="clear" w:color="auto" w:fill="FFFFFF"/>
          <w:lang w:eastAsia="zh-TW"/>
        </w:rPr>
        <w:t xml:space="preserve"> </w:t>
      </w:r>
      <w:proofErr w:type="spellStart"/>
      <w:r w:rsidRPr="00CD16BA">
        <w:rPr>
          <w:rFonts w:eastAsia="Times New Roman" w:cstheme="minorHAnsi"/>
          <w:sz w:val="22"/>
          <w:szCs w:val="22"/>
          <w:bdr w:val="none" w:sz="0" w:space="0" w:color="auto" w:frame="1"/>
          <w:shd w:val="clear" w:color="auto" w:fill="FFFFFF"/>
          <w:lang w:eastAsia="zh-TW"/>
        </w:rPr>
        <w:t>wt</w:t>
      </w:r>
      <w:proofErr w:type="spellEnd"/>
      <w:r w:rsidRPr="00CD16BA">
        <w:rPr>
          <w:rFonts w:eastAsia="Times New Roman" w:cstheme="minorHAnsi"/>
          <w:sz w:val="22"/>
          <w:szCs w:val="22"/>
          <w:bdr w:val="none" w:sz="0" w:space="0" w:color="auto" w:frame="1"/>
          <w:shd w:val="clear" w:color="auto" w:fill="FFFFFF"/>
          <w:lang w:eastAsia="zh-TW"/>
        </w:rPr>
        <w:t>% Mn</w:t>
      </w:r>
      <w:r w:rsidRPr="00CD16BA">
        <w:rPr>
          <w:rFonts w:eastAsia="Times New Roman" w:cstheme="minorHAnsi"/>
          <w:sz w:val="22"/>
          <w:szCs w:val="22"/>
          <w:bdr w:val="none" w:sz="0" w:space="0" w:color="auto" w:frame="1"/>
          <w:shd w:val="clear" w:color="auto" w:fill="FFFFFF"/>
          <w:lang w:eastAsia="en-GB"/>
        </w:rPr>
        <w:t>)</w:t>
      </w:r>
      <w:r w:rsidRPr="001A3033">
        <w:rPr>
          <w:rFonts w:eastAsia="Times New Roman" w:cstheme="minorHAnsi"/>
          <w:noProof/>
          <w:sz w:val="22"/>
          <w:szCs w:val="22"/>
          <w:bdr w:val="none" w:sz="0" w:space="0" w:color="auto" w:frame="1"/>
          <w:shd w:val="clear" w:color="auto" w:fill="FFFFFF"/>
          <w:vertAlign w:val="superscript"/>
          <w:lang w:eastAsia="en-GB"/>
        </w:rPr>
        <w:t xml:space="preserve"> 43</w:t>
      </w:r>
      <w:r w:rsidRPr="00CD16BA">
        <w:rPr>
          <w:rFonts w:eastAsia="Times New Roman" w:cstheme="minorHAnsi"/>
          <w:sz w:val="22"/>
          <w:szCs w:val="22"/>
          <w:bdr w:val="none" w:sz="0" w:space="0" w:color="auto" w:frame="1"/>
          <w:shd w:val="clear" w:color="auto" w:fill="FFFFFF"/>
          <w:lang w:eastAsia="en-GB"/>
        </w:rPr>
        <w:t xml:space="preserve"> </w:t>
      </w:r>
      <w:r>
        <w:rPr>
          <w:rFonts w:eastAsia="Times New Roman" w:cstheme="minorHAnsi"/>
          <w:sz w:val="22"/>
          <w:szCs w:val="22"/>
          <w:bdr w:val="none" w:sz="0" w:space="0" w:color="auto" w:frame="1"/>
          <w:shd w:val="clear" w:color="auto" w:fill="FFFFFF"/>
          <w:lang w:eastAsia="en-GB"/>
        </w:rPr>
        <w:t>i</w:t>
      </w:r>
      <w:r w:rsidRPr="00CD16BA">
        <w:rPr>
          <w:rFonts w:eastAsia="Times New Roman" w:cstheme="minorHAnsi"/>
          <w:sz w:val="22"/>
          <w:szCs w:val="22"/>
          <w:bdr w:val="none" w:sz="0" w:space="0" w:color="auto" w:frame="1"/>
          <w:shd w:val="clear" w:color="auto" w:fill="FFFFFF"/>
          <w:lang w:eastAsia="en-GB"/>
        </w:rPr>
        <w:t xml:space="preserve">s birnessite </w:t>
      </w:r>
      <w:r w:rsidRPr="001A3033">
        <w:rPr>
          <w:rFonts w:eastAsia="Times New Roman" w:cstheme="minorHAnsi"/>
          <w:sz w:val="22"/>
          <w:szCs w:val="22"/>
          <w:bdr w:val="none" w:sz="0" w:space="0" w:color="auto" w:frame="1"/>
          <w:shd w:val="clear" w:color="auto" w:fill="FFFFFF"/>
          <w:lang w:eastAsia="en-GB"/>
        </w:rPr>
        <w:t>(where birnessite has the generic formula: Na</w:t>
      </w:r>
      <w:r w:rsidRPr="001A3033">
        <w:rPr>
          <w:rFonts w:eastAsia="Times New Roman" w:cstheme="minorHAnsi"/>
          <w:sz w:val="22"/>
          <w:szCs w:val="22"/>
          <w:bdr w:val="none" w:sz="0" w:space="0" w:color="auto" w:frame="1"/>
          <w:shd w:val="clear" w:color="auto" w:fill="FFFFFF"/>
          <w:vertAlign w:val="subscript"/>
          <w:lang w:eastAsia="en-GB"/>
        </w:rPr>
        <w:t>0.7</w:t>
      </w:r>
      <w:r w:rsidRPr="001A3033">
        <w:rPr>
          <w:rFonts w:eastAsia="Times New Roman" w:cstheme="minorHAnsi"/>
          <w:sz w:val="22"/>
          <w:szCs w:val="22"/>
          <w:bdr w:val="none" w:sz="0" w:space="0" w:color="auto" w:frame="1"/>
          <w:shd w:val="clear" w:color="auto" w:fill="FFFFFF"/>
          <w:lang w:eastAsia="en-GB"/>
        </w:rPr>
        <w:t>Ca</w:t>
      </w:r>
      <w:r w:rsidRPr="001A3033">
        <w:rPr>
          <w:rFonts w:eastAsia="Times New Roman" w:cstheme="minorHAnsi"/>
          <w:sz w:val="22"/>
          <w:szCs w:val="22"/>
          <w:bdr w:val="none" w:sz="0" w:space="0" w:color="auto" w:frame="1"/>
          <w:shd w:val="clear" w:color="auto" w:fill="FFFFFF"/>
          <w:vertAlign w:val="subscript"/>
          <w:lang w:eastAsia="en-GB"/>
        </w:rPr>
        <w:t>0.3</w:t>
      </w:r>
      <w:r w:rsidRPr="001A3033">
        <w:rPr>
          <w:rFonts w:eastAsia="Times New Roman" w:cstheme="minorHAnsi"/>
          <w:sz w:val="22"/>
          <w:szCs w:val="22"/>
          <w:bdr w:val="none" w:sz="0" w:space="0" w:color="auto" w:frame="1"/>
          <w:shd w:val="clear" w:color="auto" w:fill="FFFFFF"/>
          <w:lang w:eastAsia="en-GB"/>
        </w:rPr>
        <w:t>Mn</w:t>
      </w:r>
      <w:r w:rsidRPr="001A3033">
        <w:rPr>
          <w:rFonts w:eastAsia="Times New Roman" w:cstheme="minorHAnsi"/>
          <w:sz w:val="22"/>
          <w:szCs w:val="22"/>
          <w:bdr w:val="none" w:sz="0" w:space="0" w:color="auto" w:frame="1"/>
          <w:shd w:val="clear" w:color="auto" w:fill="FFFFFF"/>
          <w:vertAlign w:val="subscript"/>
          <w:lang w:eastAsia="en-GB"/>
        </w:rPr>
        <w:t>7</w:t>
      </w:r>
      <w:r w:rsidRPr="001A3033">
        <w:rPr>
          <w:rFonts w:eastAsia="Times New Roman" w:cstheme="minorHAnsi"/>
          <w:sz w:val="22"/>
          <w:szCs w:val="22"/>
          <w:bdr w:val="none" w:sz="0" w:space="0" w:color="auto" w:frame="1"/>
          <w:shd w:val="clear" w:color="auto" w:fill="FFFFFF"/>
          <w:lang w:eastAsia="en-GB"/>
        </w:rPr>
        <w:t>O</w:t>
      </w:r>
      <w:r w:rsidRPr="001A3033">
        <w:rPr>
          <w:rFonts w:eastAsia="Times New Roman" w:cstheme="minorHAnsi"/>
          <w:sz w:val="22"/>
          <w:szCs w:val="22"/>
          <w:bdr w:val="none" w:sz="0" w:space="0" w:color="auto" w:frame="1"/>
          <w:shd w:val="clear" w:color="auto" w:fill="FFFFFF"/>
          <w:vertAlign w:val="subscript"/>
          <w:lang w:eastAsia="en-GB"/>
        </w:rPr>
        <w:t>14</w:t>
      </w:r>
      <w:r w:rsidRPr="001A3033">
        <w:rPr>
          <w:rFonts w:eastAsia="Times New Roman" w:cstheme="minorHAnsi"/>
          <w:sz w:val="22"/>
          <w:szCs w:val="22"/>
          <w:bdr w:val="none" w:sz="0" w:space="0" w:color="auto" w:frame="1"/>
          <w:shd w:val="clear" w:color="auto" w:fill="FFFFFF"/>
          <w:lang w:eastAsia="en-GB"/>
        </w:rPr>
        <w:t>·2.8H</w:t>
      </w:r>
      <w:r w:rsidRPr="001A3033">
        <w:rPr>
          <w:rFonts w:eastAsia="Times New Roman" w:cstheme="minorHAnsi"/>
          <w:sz w:val="22"/>
          <w:szCs w:val="22"/>
          <w:bdr w:val="none" w:sz="0" w:space="0" w:color="auto" w:frame="1"/>
          <w:shd w:val="clear" w:color="auto" w:fill="FFFFFF"/>
          <w:vertAlign w:val="subscript"/>
          <w:lang w:eastAsia="en-GB"/>
        </w:rPr>
        <w:t>2</w:t>
      </w:r>
      <w:r w:rsidRPr="001A3033">
        <w:rPr>
          <w:rFonts w:eastAsia="Times New Roman" w:cstheme="minorHAnsi"/>
          <w:sz w:val="22"/>
          <w:szCs w:val="22"/>
          <w:bdr w:val="none" w:sz="0" w:space="0" w:color="auto" w:frame="1"/>
          <w:shd w:val="clear" w:color="auto" w:fill="FFFFFF"/>
          <w:lang w:eastAsia="en-GB"/>
        </w:rPr>
        <w:t>O),</w:t>
      </w:r>
      <w:r w:rsidRPr="00CD16BA">
        <w:rPr>
          <w:rFonts w:eastAsia="Times New Roman" w:cstheme="minorHAnsi"/>
          <w:sz w:val="22"/>
          <w:szCs w:val="22"/>
          <w:bdr w:val="none" w:sz="0" w:space="0" w:color="auto" w:frame="1"/>
          <w:shd w:val="clear" w:color="auto" w:fill="FFFFFF"/>
          <w:lang w:eastAsia="en-GB"/>
        </w:rPr>
        <w:t xml:space="preserve"> this would equate to </w:t>
      </w:r>
      <w:r w:rsidRPr="00CD16BA">
        <w:rPr>
          <w:rFonts w:eastAsia="Times New Roman" w:cstheme="minorHAnsi"/>
          <w:sz w:val="22"/>
          <w:szCs w:val="22"/>
          <w:lang w:eastAsia="en-GB"/>
        </w:rPr>
        <w:t>~</w:t>
      </w:r>
      <w:r>
        <w:rPr>
          <w:rFonts w:eastAsia="Times New Roman" w:cstheme="minorHAnsi"/>
          <w:bCs/>
          <w:sz w:val="22"/>
          <w:szCs w:val="22"/>
          <w:lang w:eastAsia="en-GB"/>
        </w:rPr>
        <w:t>2.1</w:t>
      </w:r>
      <w:r w:rsidRPr="00CD16BA">
        <w:rPr>
          <w:rFonts w:eastAsia="Times New Roman" w:cstheme="minorHAnsi"/>
          <w:bCs/>
          <w:sz w:val="22"/>
          <w:szCs w:val="22"/>
          <w:lang w:eastAsia="en-GB"/>
        </w:rPr>
        <w:t xml:space="preserve"> </w:t>
      </w:r>
      <w:r w:rsidRPr="00CD16BA">
        <w:rPr>
          <w:rFonts w:eastAsia="Times New Roman" w:cstheme="minorHAnsi"/>
          <w:sz w:val="22"/>
          <w:szCs w:val="22"/>
          <w:bdr w:val="none" w:sz="0" w:space="0" w:color="auto" w:frame="1"/>
          <w:shd w:val="clear" w:color="auto" w:fill="FFFFFF"/>
          <w:lang w:eastAsia="zh-TW"/>
        </w:rPr>
        <w:t>–</w:t>
      </w:r>
      <w:r w:rsidRPr="00CD16BA">
        <w:rPr>
          <w:rFonts w:eastAsia="Times New Roman" w:cstheme="minorHAnsi"/>
          <w:bCs/>
          <w:sz w:val="22"/>
          <w:szCs w:val="22"/>
          <w:lang w:eastAsia="en-GB"/>
        </w:rPr>
        <w:t xml:space="preserve"> </w:t>
      </w:r>
      <w:r>
        <w:rPr>
          <w:rFonts w:eastAsia="Times New Roman" w:cstheme="minorHAnsi"/>
          <w:bCs/>
          <w:sz w:val="22"/>
          <w:szCs w:val="22"/>
          <w:lang w:eastAsia="en-GB"/>
        </w:rPr>
        <w:t>5.9</w:t>
      </w:r>
      <w:r w:rsidRPr="00CD16BA">
        <w:rPr>
          <w:rFonts w:eastAsia="Times New Roman" w:cstheme="minorHAnsi"/>
          <w:bCs/>
          <w:sz w:val="22"/>
          <w:szCs w:val="22"/>
          <w:lang w:eastAsia="en-GB"/>
        </w:rPr>
        <w:t xml:space="preserve"> g L</w:t>
      </w:r>
      <w:r w:rsidRPr="00CD16BA">
        <w:rPr>
          <w:rFonts w:eastAsia="Times New Roman" w:cstheme="minorHAnsi"/>
          <w:bCs/>
          <w:sz w:val="22"/>
          <w:szCs w:val="22"/>
          <w:vertAlign w:val="superscript"/>
          <w:lang w:eastAsia="en-GB"/>
        </w:rPr>
        <w:t>-1</w:t>
      </w:r>
      <w:r w:rsidRPr="00CD16BA">
        <w:rPr>
          <w:rFonts w:eastAsia="Times New Roman" w:cstheme="minorHAnsi"/>
          <w:bCs/>
          <w:sz w:val="22"/>
          <w:szCs w:val="22"/>
          <w:lang w:eastAsia="en-GB"/>
        </w:rPr>
        <w:t xml:space="preserve"> birnessite within these settings</w:t>
      </w:r>
      <w:r w:rsidRPr="00CD16BA">
        <w:rPr>
          <w:rFonts w:eastAsia="Times New Roman" w:cstheme="minorHAnsi"/>
          <w:sz w:val="22"/>
          <w:szCs w:val="22"/>
          <w:bdr w:val="none" w:sz="0" w:space="0" w:color="auto" w:frame="1"/>
          <w:shd w:val="clear" w:color="auto" w:fill="FFFFFF"/>
          <w:lang w:eastAsia="en-GB"/>
        </w:rPr>
        <w:t xml:space="preserve">. Then to facilitate comparison with the ferrihydrite experiments we also use our birnessite catalyst </w:t>
      </w:r>
      <w:r w:rsidRPr="00CD16BA">
        <w:rPr>
          <w:sz w:val="22"/>
          <w:szCs w:val="22"/>
          <w:lang w:val="en-US"/>
        </w:rPr>
        <w:t>over a concentration range (0.5 – 2.5 g L</w:t>
      </w:r>
      <w:r w:rsidRPr="00CD16BA">
        <w:rPr>
          <w:sz w:val="22"/>
          <w:szCs w:val="22"/>
          <w:vertAlign w:val="superscript"/>
          <w:lang w:val="en-US"/>
        </w:rPr>
        <w:t>-1</w:t>
      </w:r>
      <w:r w:rsidRPr="00CD16BA">
        <w:rPr>
          <w:sz w:val="22"/>
          <w:szCs w:val="22"/>
          <w:lang w:val="en-US"/>
        </w:rPr>
        <w:t xml:space="preserve">) that approximates the low end of Mn concentrations within margin sediments.  </w:t>
      </w:r>
    </w:p>
    <w:p w14:paraId="235FDAE2" w14:textId="77777777" w:rsidR="007C424D" w:rsidRPr="00CD16BA" w:rsidRDefault="007C424D" w:rsidP="0039267A">
      <w:pPr>
        <w:spacing w:after="160" w:line="259" w:lineRule="auto"/>
        <w:jc w:val="both"/>
        <w:rPr>
          <w:sz w:val="22"/>
          <w:szCs w:val="22"/>
        </w:rPr>
      </w:pPr>
      <w:r w:rsidRPr="00CD16BA">
        <w:rPr>
          <w:sz w:val="22"/>
          <w:szCs w:val="22"/>
        </w:rPr>
        <w:t xml:space="preserve">Further </w:t>
      </w:r>
      <w:r w:rsidRPr="00CD16BA">
        <w:rPr>
          <w:rFonts w:eastAsia="Times New Roman" w:cstheme="minorHAnsi"/>
          <w:sz w:val="22"/>
          <w:szCs w:val="22"/>
          <w:bdr w:val="none" w:sz="0" w:space="0" w:color="auto" w:frame="1"/>
          <w:shd w:val="clear" w:color="auto" w:fill="FFFFFF"/>
          <w:lang w:eastAsia="en-GB"/>
        </w:rPr>
        <w:t xml:space="preserve">variability in ferrihydrite and birnessite concentrations and reactivities exist within oxygenated surficial margin sediments, for example, due to variations in oxygen concentrations within the oxic layer and the transformation of these poorly crystalline phases to more crystalline oxides with time before their burial below the oxic layer. The latter scenario is potentially mitigated to some extent because </w:t>
      </w:r>
      <w:r w:rsidRPr="00CD16BA">
        <w:rPr>
          <w:sz w:val="22"/>
          <w:szCs w:val="22"/>
          <w:lang w:val="en-US"/>
        </w:rPr>
        <w:t>the sedimentary redox cycling of Fe during early diagenesis is estimated to occur hundreds of times prior to burial below the redoxcline and might therefore maintain mineral reactivity</w:t>
      </w:r>
      <w:r w:rsidRPr="00EF5BA1">
        <w:rPr>
          <w:noProof/>
          <w:sz w:val="22"/>
          <w:szCs w:val="22"/>
          <w:vertAlign w:val="superscript"/>
          <w:lang w:val="en-US"/>
        </w:rPr>
        <w:t>44</w:t>
      </w:r>
      <w:r w:rsidRPr="00CD16BA">
        <w:rPr>
          <w:sz w:val="22"/>
          <w:szCs w:val="22"/>
          <w:lang w:val="en-US"/>
        </w:rPr>
        <w:t xml:space="preserve">. </w:t>
      </w:r>
      <w:r w:rsidRPr="00CD16BA">
        <w:rPr>
          <w:rFonts w:eastAsia="Times New Roman" w:cstheme="minorHAnsi"/>
          <w:sz w:val="22"/>
          <w:szCs w:val="22"/>
          <w:bdr w:val="none" w:sz="0" w:space="0" w:color="auto" w:frame="1"/>
          <w:shd w:val="clear" w:color="auto" w:fill="FFFFFF"/>
          <w:lang w:eastAsia="en-GB"/>
        </w:rPr>
        <w:t>In our scale-up to try and account for natural variability in the concentration and reactivity of our ferrihydrite and birnessite catalysts, we increase the range of our experimental GPS production rates, initially determined over our experimental catalyst concentration ranges, by plus/minus one standard deviation in our Monte Carlo approach (Methods main text).</w:t>
      </w:r>
    </w:p>
    <w:p w14:paraId="2F5CD6E9" w14:textId="77777777" w:rsidR="007C424D" w:rsidRPr="00CD16BA" w:rsidRDefault="007C424D" w:rsidP="0039267A">
      <w:pPr>
        <w:spacing w:after="160" w:line="259" w:lineRule="auto"/>
        <w:jc w:val="both"/>
        <w:rPr>
          <w:sz w:val="22"/>
          <w:szCs w:val="22"/>
          <w:lang w:val="en-US"/>
        </w:rPr>
      </w:pPr>
      <w:r w:rsidRPr="00CD16BA">
        <w:rPr>
          <w:sz w:val="22"/>
          <w:szCs w:val="22"/>
        </w:rPr>
        <w:t xml:space="preserve">Given our discussion of the primary limitations and uncertainties associated with our scale-up above, we present our scale-up as </w:t>
      </w:r>
      <w:r w:rsidRPr="00CD16BA">
        <w:rPr>
          <w:rFonts w:ascii="Calibri" w:eastAsia="Times New Roman" w:hAnsi="Calibri" w:cs="Calibri"/>
          <w:sz w:val="22"/>
          <w:szCs w:val="22"/>
          <w:shd w:val="clear" w:color="auto" w:fill="FFFFFF"/>
          <w:lang w:eastAsia="en-GB"/>
        </w:rPr>
        <w:t xml:space="preserve">a first attempt to estimate the potential scale and significance of GPS production in </w:t>
      </w:r>
      <w:r w:rsidRPr="00CD16BA">
        <w:rPr>
          <w:sz w:val="22"/>
          <w:szCs w:val="22"/>
          <w:lang w:val="en-US"/>
        </w:rPr>
        <w:t>oxygenated surface sediments on the continental margins.</w:t>
      </w:r>
      <w:r w:rsidRPr="00CD16BA">
        <w:rPr>
          <w:sz w:val="22"/>
          <w:szCs w:val="22"/>
        </w:rPr>
        <w:t xml:space="preserve"> </w:t>
      </w:r>
      <w:r w:rsidRPr="00CD16BA">
        <w:rPr>
          <w:sz w:val="22"/>
          <w:szCs w:val="22"/>
          <w:lang w:val="en-US"/>
        </w:rPr>
        <w:t>Each of the input variables to our scale-up are evidence-based but subject to debate, and their globally applicable ranges will ultimately only be resolved with further experimentation and/or field measurements. We suggest than in the first instance experimental efforts should focus on using</w:t>
      </w:r>
      <w:r w:rsidRPr="00CD16BA">
        <w:rPr>
          <w:rFonts w:cstheme="minorHAnsi"/>
          <w:sz w:val="22"/>
          <w:szCs w:val="22"/>
          <w:lang w:val="en-US"/>
        </w:rPr>
        <w:t xml:space="preserve"> reducing sugar and amino acid reactant moieties (including polymeric forms)</w:t>
      </w:r>
      <w:r w:rsidRPr="00CD16BA">
        <w:rPr>
          <w:sz w:val="22"/>
          <w:szCs w:val="22"/>
          <w:lang w:val="en-US"/>
        </w:rPr>
        <w:t xml:space="preserve"> at different concentrations and with different reactivity towards the Maillard reaction, and using other Fe oxide catalysts at different concentrations and with different crystallinity to constrain their catalytic activity. Field measurements could try to extend the available data for monomeric reducing sugar and free amino acid concentrations in margin porewaters, and more routinely use a weaker extraction treatment to more suitably target ferrihydrite in margin sediments. These data should help refine future estimates of GPS production in margin sediments and might decrease or increase the scale and significance of GPS production in these settings and thus the contribution of Fe and Mn minerals to the global carbon cycle. </w:t>
      </w:r>
    </w:p>
    <w:p w14:paraId="17AD7513" w14:textId="77777777" w:rsidR="007C424D" w:rsidRPr="00CD16BA" w:rsidRDefault="007C424D" w:rsidP="0039267A">
      <w:pPr>
        <w:spacing w:after="160" w:line="259" w:lineRule="auto"/>
        <w:jc w:val="both"/>
        <w:rPr>
          <w:b/>
          <w:bCs/>
          <w:sz w:val="22"/>
          <w:szCs w:val="22"/>
          <w:lang w:val="en-US"/>
        </w:rPr>
      </w:pPr>
    </w:p>
    <w:p w14:paraId="747117DD" w14:textId="77777777" w:rsidR="007C424D" w:rsidRPr="00CD16BA" w:rsidRDefault="007C424D" w:rsidP="0039267A">
      <w:pPr>
        <w:spacing w:after="160" w:line="259" w:lineRule="auto"/>
        <w:jc w:val="both"/>
        <w:rPr>
          <w:b/>
          <w:bCs/>
          <w:sz w:val="22"/>
          <w:szCs w:val="22"/>
          <w:lang w:val="en-US"/>
        </w:rPr>
      </w:pPr>
      <w:r w:rsidRPr="00CD16BA">
        <w:rPr>
          <w:b/>
          <w:bCs/>
          <w:sz w:val="22"/>
          <w:szCs w:val="22"/>
          <w:lang w:val="en-US"/>
        </w:rPr>
        <w:t>Supplementary Note 3: Effects of changes to the long-term organic carbon burial rate on Earth’s surface environment</w:t>
      </w:r>
      <w:r w:rsidRPr="00CD16BA">
        <w:rPr>
          <w:b/>
          <w:sz w:val="22"/>
          <w:szCs w:val="22"/>
          <w:lang w:val="en-US"/>
        </w:rPr>
        <w:t>:</w:t>
      </w:r>
      <w:r w:rsidRPr="00CD16BA">
        <w:rPr>
          <w:b/>
          <w:bCs/>
          <w:sz w:val="22"/>
          <w:szCs w:val="22"/>
          <w:lang w:val="en-US"/>
        </w:rPr>
        <w:t xml:space="preserve"> </w:t>
      </w:r>
      <w:r w:rsidRPr="00CD16BA">
        <w:rPr>
          <w:sz w:val="22"/>
          <w:szCs w:val="22"/>
          <w:lang w:val="en-US"/>
        </w:rPr>
        <w:t xml:space="preserve">In this study we estimate that 4.05 </w:t>
      </w:r>
      <w:r w:rsidRPr="00CD16BA">
        <w:rPr>
          <w:rFonts w:cstheme="minorHAnsi"/>
          <w:b/>
          <w:bCs/>
          <w:sz w:val="22"/>
          <w:szCs w:val="22"/>
          <w:lang w:val="en-US"/>
        </w:rPr>
        <w:sym w:font="Symbol" w:char="F0B1"/>
      </w:r>
      <w:r w:rsidRPr="00CD16BA">
        <w:rPr>
          <w:rFonts w:cstheme="minorHAnsi"/>
          <w:b/>
          <w:bCs/>
          <w:sz w:val="22"/>
          <w:szCs w:val="22"/>
          <w:lang w:val="en-US"/>
        </w:rPr>
        <w:t xml:space="preserve"> </w:t>
      </w:r>
      <w:r w:rsidRPr="00CD16BA">
        <w:rPr>
          <w:rFonts w:cstheme="minorHAnsi"/>
          <w:sz w:val="22"/>
          <w:szCs w:val="22"/>
          <w:lang w:val="en-US"/>
        </w:rPr>
        <w:t>0.55</w:t>
      </w:r>
      <w:r w:rsidRPr="00CD16BA">
        <w:rPr>
          <w:rFonts w:cstheme="minorHAnsi"/>
          <w:b/>
          <w:bCs/>
          <w:sz w:val="22"/>
          <w:szCs w:val="22"/>
          <w:lang w:val="en-US"/>
        </w:rPr>
        <w:t xml:space="preserve"> </w:t>
      </w:r>
      <w:proofErr w:type="spellStart"/>
      <w:r w:rsidRPr="00CD16BA">
        <w:rPr>
          <w:sz w:val="22"/>
          <w:szCs w:val="22"/>
          <w:lang w:val="en-US"/>
        </w:rPr>
        <w:t>Tg</w:t>
      </w:r>
      <w:proofErr w:type="spellEnd"/>
      <w:r w:rsidRPr="00CD16BA">
        <w:rPr>
          <w:sz w:val="22"/>
          <w:szCs w:val="22"/>
          <w:lang w:val="en-US"/>
        </w:rPr>
        <w:t xml:space="preserve"> C Yr</w:t>
      </w:r>
      <w:r w:rsidRPr="00CD16BA">
        <w:rPr>
          <w:sz w:val="22"/>
          <w:szCs w:val="22"/>
          <w:vertAlign w:val="superscript"/>
          <w:lang w:val="en-US"/>
        </w:rPr>
        <w:t>-1</w:t>
      </w:r>
      <w:r w:rsidRPr="00CD16BA">
        <w:rPr>
          <w:sz w:val="22"/>
          <w:szCs w:val="22"/>
          <w:lang w:val="en-US"/>
        </w:rPr>
        <w:t xml:space="preserve"> of global OC burial may be attributed to GPS formation, and thus may be controlled by mechanisms which are different to those commonly assumed for OC preservation. To explore what this might mean for the evolution of Earth’s surface conditions over geological time, we run the SCION (Spatial Continuous Integration) Earth Evolution Model</w:t>
      </w:r>
      <w:r w:rsidRPr="00EF5BA1">
        <w:rPr>
          <w:noProof/>
          <w:sz w:val="22"/>
          <w:szCs w:val="22"/>
          <w:vertAlign w:val="superscript"/>
          <w:lang w:val="en-US"/>
        </w:rPr>
        <w:t>45</w:t>
      </w:r>
      <w:r w:rsidRPr="00CD16BA">
        <w:rPr>
          <w:sz w:val="22"/>
          <w:szCs w:val="22"/>
          <w:lang w:val="en-US"/>
        </w:rPr>
        <w:t>. SCION reconstructs long-term climate and biogeochemistry, in order to explore the processes which have regulated Earth’s surface conditions over the Phanerozoic Eon (the last ~540 million years). It is an extension of the COPSE</w:t>
      </w:r>
      <w:r w:rsidRPr="00EF5BA1">
        <w:rPr>
          <w:noProof/>
          <w:sz w:val="22"/>
          <w:szCs w:val="22"/>
          <w:vertAlign w:val="superscript"/>
          <w:lang w:val="en-US"/>
        </w:rPr>
        <w:t>46</w:t>
      </w:r>
      <w:r w:rsidRPr="00CD16BA">
        <w:rPr>
          <w:sz w:val="22"/>
          <w:szCs w:val="22"/>
          <w:lang w:val="en-US"/>
        </w:rPr>
        <w:t xml:space="preserve"> and GEOCARB</w:t>
      </w:r>
      <w:r w:rsidRPr="00EF5BA1">
        <w:rPr>
          <w:noProof/>
          <w:sz w:val="22"/>
          <w:szCs w:val="22"/>
          <w:vertAlign w:val="superscript"/>
          <w:lang w:val="en-US"/>
        </w:rPr>
        <w:t>47</w:t>
      </w:r>
      <w:r w:rsidRPr="00CD16BA">
        <w:rPr>
          <w:sz w:val="22"/>
          <w:szCs w:val="22"/>
          <w:lang w:val="en-US"/>
        </w:rPr>
        <w:t xml:space="preserve"> models which uses a climate component based on GEOCLIM</w:t>
      </w:r>
      <w:r w:rsidRPr="00EF5BA1">
        <w:rPr>
          <w:noProof/>
          <w:sz w:val="22"/>
          <w:szCs w:val="22"/>
          <w:vertAlign w:val="superscript"/>
          <w:lang w:val="en-US"/>
        </w:rPr>
        <w:t>48</w:t>
      </w:r>
      <w:r w:rsidRPr="00CD16BA">
        <w:rPr>
          <w:sz w:val="22"/>
          <w:szCs w:val="22"/>
          <w:lang w:val="en-US"/>
        </w:rPr>
        <w:t>. For full description of the model and comparisons to the geological record see Mills et al</w:t>
      </w:r>
      <w:r w:rsidRPr="00EF5BA1">
        <w:rPr>
          <w:noProof/>
          <w:sz w:val="22"/>
          <w:szCs w:val="22"/>
          <w:vertAlign w:val="superscript"/>
          <w:lang w:val="en-US"/>
        </w:rPr>
        <w:t>45</w:t>
      </w:r>
      <w:r w:rsidRPr="00CD16BA">
        <w:rPr>
          <w:sz w:val="22"/>
          <w:szCs w:val="22"/>
          <w:lang w:val="en-US"/>
        </w:rPr>
        <w:t xml:space="preserve">. </w:t>
      </w:r>
    </w:p>
    <w:p w14:paraId="31AD81CE" w14:textId="77777777" w:rsidR="007C424D" w:rsidRPr="00CD16BA" w:rsidRDefault="007C424D" w:rsidP="0039267A">
      <w:pPr>
        <w:spacing w:after="160" w:line="259" w:lineRule="auto"/>
        <w:jc w:val="both"/>
        <w:rPr>
          <w:bCs/>
          <w:sz w:val="22"/>
          <w:szCs w:val="22"/>
        </w:rPr>
      </w:pPr>
      <w:r w:rsidRPr="00CD16BA">
        <w:rPr>
          <w:bCs/>
          <w:sz w:val="22"/>
          <w:szCs w:val="22"/>
        </w:rPr>
        <w:lastRenderedPageBreak/>
        <w:t>Here we make a simple modification to SCION by splitting the OC preservation (= burial) flux into two fluxes. We assume that some fraction of OC preservation is driven by GPS formation, while the remainder follows the original model and is related to marine new production and sediment bioturbation. The total OC burial rate at the present day is therefore unchanged. To explore what effects the changes in GPS preservation over geological time might have, we run the model under a constant 5-fold increase or decrease in GPS preservation. This represents the likely maximum changes to the delivery of Fe to the oceans over Phanerozoic time, based on changes at subduction, ridge and rift boundaries (approx. 0.5 - 5 x present day</w:t>
      </w:r>
      <w:r w:rsidRPr="00EF5BA1">
        <w:rPr>
          <w:bCs/>
          <w:noProof/>
          <w:sz w:val="22"/>
          <w:szCs w:val="22"/>
          <w:vertAlign w:val="superscript"/>
        </w:rPr>
        <w:t>49</w:t>
      </w:r>
      <w:r w:rsidRPr="00CD16BA">
        <w:rPr>
          <w:bCs/>
          <w:sz w:val="22"/>
          <w:szCs w:val="22"/>
        </w:rPr>
        <w:t>; or global erosion rates (approx. 0.2 – 1 x present day</w:t>
      </w:r>
      <w:r w:rsidRPr="00EF5BA1">
        <w:rPr>
          <w:bCs/>
          <w:noProof/>
          <w:sz w:val="22"/>
          <w:szCs w:val="22"/>
          <w:vertAlign w:val="superscript"/>
        </w:rPr>
        <w:t>50</w:t>
      </w:r>
      <w:r w:rsidRPr="00CD16BA">
        <w:rPr>
          <w:bCs/>
          <w:sz w:val="22"/>
          <w:szCs w:val="22"/>
        </w:rPr>
        <w:t>).</w:t>
      </w:r>
    </w:p>
    <w:p w14:paraId="685993E0" w14:textId="77777777" w:rsidR="007C424D" w:rsidRPr="00CD16BA" w:rsidRDefault="007C424D" w:rsidP="0039267A">
      <w:pPr>
        <w:spacing w:after="160" w:line="259" w:lineRule="auto"/>
        <w:jc w:val="both"/>
        <w:rPr>
          <w:bCs/>
          <w:sz w:val="22"/>
          <w:szCs w:val="22"/>
        </w:rPr>
      </w:pPr>
      <w:r w:rsidRPr="00CD16BA">
        <w:rPr>
          <w:bCs/>
          <w:sz w:val="22"/>
          <w:szCs w:val="22"/>
        </w:rPr>
        <w:t xml:space="preserve">The model results are shown in Supplementary Fig. </w:t>
      </w:r>
      <w:r>
        <w:rPr>
          <w:bCs/>
          <w:sz w:val="22"/>
          <w:szCs w:val="22"/>
        </w:rPr>
        <w:t>3</w:t>
      </w:r>
      <w:r w:rsidRPr="00CD16BA">
        <w:rPr>
          <w:bCs/>
          <w:sz w:val="22"/>
          <w:szCs w:val="22"/>
        </w:rPr>
        <w:t>. When OC preservation is increased, atmospheric O</w:t>
      </w:r>
      <w:r w:rsidRPr="00CD16BA">
        <w:rPr>
          <w:bCs/>
          <w:sz w:val="22"/>
          <w:szCs w:val="22"/>
          <w:vertAlign w:val="subscript"/>
        </w:rPr>
        <w:t>2</w:t>
      </w:r>
      <w:r w:rsidRPr="00CD16BA">
        <w:rPr>
          <w:bCs/>
          <w:sz w:val="22"/>
          <w:szCs w:val="22"/>
        </w:rPr>
        <w:t xml:space="preserve"> concentration is substantially higher in the model. This is because greater rates of OC burial result in greater net accumulation of oxygen. Carbon dioxide is also generally higher in this scenario because a higher O</w:t>
      </w:r>
      <w:r w:rsidRPr="00CD16BA">
        <w:rPr>
          <w:bCs/>
          <w:sz w:val="22"/>
          <w:szCs w:val="22"/>
          <w:vertAlign w:val="subscript"/>
        </w:rPr>
        <w:t>2</w:t>
      </w:r>
      <w:r w:rsidRPr="00CD16BA">
        <w:rPr>
          <w:bCs/>
          <w:sz w:val="22"/>
          <w:szCs w:val="22"/>
        </w:rPr>
        <w:t xml:space="preserve"> abundance results in a greater rate of continental OC oxidation, and limits the terrestrial biosphere through photorespiration and wildfire activity. Decreases in OC preservation have the opposite effect, but are less powerful because total OC preservation cannot be reduced by more than the entire GPS fraction. These changes can be more powerful between about 400 Ma and 150 Ma, where the largely arid supercontinent Pangaea weakened the silicate weathering feedback and resulted in poorer climate regulation. Before Devonian time the changes to the CO</w:t>
      </w:r>
      <w:r w:rsidRPr="00CD16BA">
        <w:rPr>
          <w:bCs/>
          <w:sz w:val="22"/>
          <w:szCs w:val="22"/>
          <w:vertAlign w:val="subscript"/>
        </w:rPr>
        <w:t>2</w:t>
      </w:r>
      <w:r w:rsidRPr="00CD16BA">
        <w:rPr>
          <w:bCs/>
          <w:sz w:val="22"/>
          <w:szCs w:val="22"/>
        </w:rPr>
        <w:t xml:space="preserve"> greenhouse and temperature are minimised due to the lack of a productive terrestrial biosphere, but O</w:t>
      </w:r>
      <w:r w:rsidRPr="00CD16BA">
        <w:rPr>
          <w:bCs/>
          <w:sz w:val="22"/>
          <w:szCs w:val="22"/>
          <w:vertAlign w:val="subscript"/>
        </w:rPr>
        <w:t>2</w:t>
      </w:r>
      <w:r w:rsidRPr="00CD16BA">
        <w:rPr>
          <w:bCs/>
          <w:sz w:val="22"/>
          <w:szCs w:val="22"/>
        </w:rPr>
        <w:t xml:space="preserve"> remains highly variable.</w:t>
      </w:r>
    </w:p>
    <w:p w14:paraId="4F8AE29F" w14:textId="77777777" w:rsidR="007C424D" w:rsidRPr="00CD16BA" w:rsidRDefault="007C424D" w:rsidP="0039267A">
      <w:pPr>
        <w:spacing w:after="160" w:line="259" w:lineRule="auto"/>
        <w:jc w:val="both"/>
        <w:rPr>
          <w:bCs/>
          <w:sz w:val="22"/>
          <w:szCs w:val="22"/>
        </w:rPr>
      </w:pPr>
      <w:r w:rsidRPr="00CD16BA">
        <w:rPr>
          <w:bCs/>
          <w:sz w:val="22"/>
          <w:szCs w:val="22"/>
        </w:rPr>
        <w:t xml:space="preserve">Our analysis here demonstrates that changing OC preservation independently of other processes can cause major changes in a long-term model of the global carbon cycle, even when other stabilizing feedbacks are considered. Moreover considering previously unrecognised variations in GPS preservation means that </w:t>
      </w:r>
      <w:r w:rsidRPr="00CD16BA">
        <w:rPr>
          <w:sz w:val="22"/>
          <w:szCs w:val="22"/>
        </w:rPr>
        <w:t>the mismatches between the model and the proxy record can potentially be better reconciled. For example, the modified model better matches the higher temperatures and oxygen levels suggested by proxies for the Mesozoic, indicating that high rates of hydrothermal Fe input (due to higher seafloor production</w:t>
      </w:r>
      <w:r w:rsidRPr="00EF5BA1">
        <w:rPr>
          <w:noProof/>
          <w:sz w:val="22"/>
          <w:szCs w:val="22"/>
          <w:vertAlign w:val="superscript"/>
        </w:rPr>
        <w:t>51</w:t>
      </w:r>
      <w:r w:rsidRPr="00CD16BA">
        <w:rPr>
          <w:sz w:val="22"/>
          <w:szCs w:val="22"/>
        </w:rPr>
        <w:t xml:space="preserve">) may have played a role in raising organic carbon burial rates, oxygen concentrations and surface temperatures during this time. </w:t>
      </w:r>
      <w:r w:rsidRPr="00CD16BA">
        <w:rPr>
          <w:bCs/>
          <w:sz w:val="22"/>
          <w:szCs w:val="22"/>
        </w:rPr>
        <w:t>This preliminary analysis indicates that the greatest GPS-driven change to the Earth system may be achieved when hydrothermal or continental Fe fluxes are greatly elevated</w:t>
      </w:r>
      <w:r w:rsidRPr="00CD16BA">
        <w:rPr>
          <w:sz w:val="22"/>
          <w:szCs w:val="22"/>
        </w:rPr>
        <w:t>.</w:t>
      </w:r>
      <w:r w:rsidRPr="00CD16BA">
        <w:rPr>
          <w:bCs/>
          <w:sz w:val="22"/>
          <w:szCs w:val="22"/>
        </w:rPr>
        <w:t xml:space="preserve"> This is especially intriguing during the Precambrian where hydrothermal fluxes may have been 10 or even 100 times greater than the present day</w:t>
      </w:r>
      <w:r w:rsidRPr="00EF5BA1">
        <w:rPr>
          <w:bCs/>
          <w:noProof/>
          <w:sz w:val="22"/>
          <w:szCs w:val="22"/>
          <w:vertAlign w:val="superscript"/>
        </w:rPr>
        <w:t>52-54</w:t>
      </w:r>
      <w:r w:rsidRPr="00CD16BA">
        <w:rPr>
          <w:bCs/>
          <w:sz w:val="22"/>
          <w:szCs w:val="22"/>
        </w:rPr>
        <w:t>, and thus much greater Fe-promoted preservation of OC may have helped maintain relatively high atmospheric O</w:t>
      </w:r>
      <w:r w:rsidRPr="00CD16BA">
        <w:rPr>
          <w:bCs/>
          <w:sz w:val="22"/>
          <w:szCs w:val="22"/>
          <w:vertAlign w:val="subscript"/>
        </w:rPr>
        <w:t>2</w:t>
      </w:r>
      <w:r w:rsidRPr="00CD16BA">
        <w:rPr>
          <w:bCs/>
          <w:sz w:val="22"/>
          <w:szCs w:val="22"/>
        </w:rPr>
        <w:t xml:space="preserve"> levels despite the less productive</w:t>
      </w:r>
      <w:r w:rsidRPr="00EF5BA1">
        <w:rPr>
          <w:bCs/>
          <w:noProof/>
          <w:sz w:val="22"/>
          <w:szCs w:val="22"/>
          <w:vertAlign w:val="superscript"/>
        </w:rPr>
        <w:t>55,56</w:t>
      </w:r>
      <w:r w:rsidRPr="00CD16BA">
        <w:rPr>
          <w:bCs/>
          <w:sz w:val="22"/>
          <w:szCs w:val="22"/>
        </w:rPr>
        <w:t xml:space="preserve"> primitive biosphere.</w:t>
      </w:r>
    </w:p>
    <w:p w14:paraId="1E24DD55" w14:textId="77777777" w:rsidR="007C424D" w:rsidRPr="00CD16BA" w:rsidRDefault="007C424D" w:rsidP="0039267A">
      <w:pPr>
        <w:spacing w:after="160" w:line="259" w:lineRule="auto"/>
        <w:jc w:val="both"/>
        <w:rPr>
          <w:bCs/>
          <w:sz w:val="22"/>
          <w:szCs w:val="22"/>
        </w:rPr>
        <w:sectPr w:rsidR="007C424D" w:rsidRPr="00CD16BA" w:rsidSect="00880743">
          <w:pgSz w:w="11900" w:h="16840"/>
          <w:pgMar w:top="1440" w:right="1440" w:bottom="1440" w:left="1440" w:header="708" w:footer="708" w:gutter="0"/>
          <w:cols w:space="708"/>
          <w:docGrid w:linePitch="360"/>
        </w:sectPr>
      </w:pPr>
      <w:r w:rsidRPr="00CD16BA">
        <w:rPr>
          <w:rFonts w:cs="Times New Roman"/>
          <w:sz w:val="22"/>
          <w:szCs w:val="22"/>
        </w:rPr>
        <w:br/>
      </w:r>
    </w:p>
    <w:p w14:paraId="074BCB1E" w14:textId="77777777" w:rsidR="007C424D" w:rsidRPr="00CD16BA" w:rsidRDefault="007C424D" w:rsidP="0039267A">
      <w:pPr>
        <w:jc w:val="both"/>
        <w:rPr>
          <w:rFonts w:cstheme="minorHAnsi"/>
          <w:sz w:val="22"/>
          <w:szCs w:val="22"/>
        </w:rPr>
      </w:pPr>
      <w:r w:rsidRPr="00CD16BA">
        <w:rPr>
          <w:b/>
          <w:bCs/>
          <w:sz w:val="22"/>
          <w:szCs w:val="22"/>
        </w:rPr>
        <w:lastRenderedPageBreak/>
        <w:t>Supplementary Table 1.</w:t>
      </w:r>
      <w:r w:rsidRPr="00CD16BA">
        <w:rPr>
          <w:rFonts w:cstheme="minorHAnsi"/>
          <w:sz w:val="22"/>
          <w:szCs w:val="22"/>
        </w:rPr>
        <w:t xml:space="preserve"> Bulk elemental analyses. Analyses of </w:t>
      </w:r>
      <w:r w:rsidRPr="00CD16BA">
        <w:rPr>
          <w:rFonts w:cstheme="minorHAnsi"/>
          <w:sz w:val="22"/>
          <w:szCs w:val="22"/>
          <w:lang w:val="en-US"/>
        </w:rPr>
        <w:t>C and N for the experimental solutions (dialyte) from the dissolved Fe and Mn catalyst batch experiments, and the experimental solutions (dialyte) and solid residue (after centrifugation) from the Fe and Mn mineral catalyst batch experiments, after 28 days reaction time at 10</w:t>
      </w:r>
      <w:r w:rsidRPr="00CD16BA">
        <w:rPr>
          <w:rFonts w:cstheme="minorHAnsi"/>
          <w:sz w:val="22"/>
          <w:szCs w:val="22"/>
          <w:vertAlign w:val="superscript"/>
          <w:lang w:val="en-US"/>
        </w:rPr>
        <w:t>o</w:t>
      </w:r>
      <w:r w:rsidRPr="00CD16BA">
        <w:rPr>
          <w:rFonts w:cstheme="minorHAnsi"/>
          <w:sz w:val="22"/>
          <w:szCs w:val="22"/>
          <w:lang w:val="en-US"/>
        </w:rPr>
        <w:t xml:space="preserve">C. Uncertainty is shown as one standard error of the mean (1SEM), with all measurements performed in triplicate (n = 3); B.D. = below detection. </w:t>
      </w:r>
    </w:p>
    <w:p w14:paraId="01BBEB16" w14:textId="77777777" w:rsidR="007C424D" w:rsidRPr="00CD16BA" w:rsidRDefault="007C424D" w:rsidP="0039267A">
      <w:pPr>
        <w:jc w:val="both"/>
        <w:rPr>
          <w:sz w:val="22"/>
          <w:szCs w:val="22"/>
          <w:lang w:val="en-US"/>
        </w:rPr>
      </w:pPr>
    </w:p>
    <w:p w14:paraId="21364C6A" w14:textId="77777777" w:rsidR="007C424D" w:rsidRPr="00CD16BA" w:rsidRDefault="007C424D" w:rsidP="0039267A">
      <w:pPr>
        <w:jc w:val="both"/>
        <w:rPr>
          <w:sz w:val="22"/>
          <w:szCs w:val="22"/>
          <w:lang w:val="en-US"/>
        </w:rPr>
      </w:pPr>
      <w:r w:rsidRPr="00CD16BA">
        <w:rPr>
          <w:sz w:val="22"/>
          <w:szCs w:val="22"/>
          <w:lang w:val="en-US"/>
        </w:rPr>
        <w:t xml:space="preserve">The C/N ratio of our GPS </w:t>
      </w:r>
      <w:r w:rsidRPr="00CD16BA">
        <w:rPr>
          <w:sz w:val="22"/>
          <w:szCs w:val="22"/>
          <w:shd w:val="clear" w:color="auto" w:fill="FFFFFF" w:themeFill="background1"/>
          <w:lang w:val="en-US"/>
        </w:rPr>
        <w:t>(mean C/N 9.7) shows it is consistent with dissolved porewater organic matter (C/N ~7 – 20)</w:t>
      </w:r>
      <w:r w:rsidRPr="00CD16BA">
        <w:rPr>
          <w:noProof/>
          <w:sz w:val="22"/>
          <w:szCs w:val="22"/>
          <w:shd w:val="clear" w:color="auto" w:fill="FFFFFF" w:themeFill="background1"/>
          <w:vertAlign w:val="superscript"/>
          <w:lang w:val="en-US"/>
        </w:rPr>
        <w:t xml:space="preserve"> </w:t>
      </w:r>
      <w:r>
        <w:rPr>
          <w:noProof/>
          <w:sz w:val="22"/>
          <w:szCs w:val="22"/>
          <w:shd w:val="clear" w:color="auto" w:fill="FFFFFF" w:themeFill="background1"/>
          <w:vertAlign w:val="superscript"/>
          <w:lang w:val="en-US"/>
        </w:rPr>
        <w:t>3</w:t>
      </w:r>
      <w:r w:rsidRPr="00CD16BA">
        <w:rPr>
          <w:sz w:val="22"/>
          <w:szCs w:val="22"/>
          <w:shd w:val="clear" w:color="auto" w:fill="FFFFFF" w:themeFill="background1"/>
          <w:lang w:val="en-US"/>
        </w:rPr>
        <w:t xml:space="preserve"> and bulk organic matter (C/N ~10 – 13)</w:t>
      </w:r>
      <w:r w:rsidRPr="00CD16BA">
        <w:rPr>
          <w:noProof/>
          <w:sz w:val="22"/>
          <w:szCs w:val="22"/>
          <w:shd w:val="clear" w:color="auto" w:fill="FFFFFF" w:themeFill="background1"/>
          <w:vertAlign w:val="superscript"/>
          <w:lang w:val="en-US"/>
        </w:rPr>
        <w:t xml:space="preserve"> </w:t>
      </w:r>
      <w:r>
        <w:rPr>
          <w:noProof/>
          <w:sz w:val="22"/>
          <w:szCs w:val="22"/>
          <w:shd w:val="clear" w:color="auto" w:fill="FFFFFF" w:themeFill="background1"/>
          <w:vertAlign w:val="superscript"/>
          <w:lang w:val="en-US"/>
        </w:rPr>
        <w:t>57</w:t>
      </w:r>
      <w:r w:rsidRPr="00CD16BA">
        <w:rPr>
          <w:sz w:val="22"/>
          <w:szCs w:val="22"/>
          <w:shd w:val="clear" w:color="auto" w:fill="FFFFFF" w:themeFill="background1"/>
          <w:lang w:val="en-US"/>
        </w:rPr>
        <w:t xml:space="preserve"> in margin sediments and open ocean surface marine sediments (C/N ~8 – 12)</w:t>
      </w:r>
      <w:r w:rsidRPr="00CD16BA">
        <w:rPr>
          <w:noProof/>
          <w:sz w:val="22"/>
          <w:szCs w:val="22"/>
          <w:shd w:val="clear" w:color="auto" w:fill="FFFFFF" w:themeFill="background1"/>
          <w:vertAlign w:val="superscript"/>
          <w:lang w:val="en-US"/>
        </w:rPr>
        <w:t xml:space="preserve"> </w:t>
      </w:r>
      <w:r>
        <w:rPr>
          <w:noProof/>
          <w:sz w:val="22"/>
          <w:szCs w:val="22"/>
          <w:shd w:val="clear" w:color="auto" w:fill="FFFFFF" w:themeFill="background1"/>
          <w:vertAlign w:val="superscript"/>
          <w:lang w:val="en-US"/>
        </w:rPr>
        <w:t>3</w:t>
      </w:r>
      <w:r w:rsidRPr="00CD16BA">
        <w:rPr>
          <w:sz w:val="22"/>
          <w:szCs w:val="22"/>
          <w:shd w:val="clear" w:color="auto" w:fill="FFFFFF" w:themeFill="background1"/>
          <w:lang w:val="en-US"/>
        </w:rPr>
        <w:t xml:space="preserve">. The mean </w:t>
      </w:r>
      <w:r w:rsidRPr="00CD16BA">
        <w:rPr>
          <w:sz w:val="22"/>
          <w:szCs w:val="22"/>
          <w:lang w:val="en-US"/>
        </w:rPr>
        <w:t xml:space="preserve">GPS C/N suggests that glucose (C= 6; N= 0) and glycine (C= 2; N= 1) are combined into GPS in a ~1:1 ratio. It should be noted that the C/N ratio of the residues reflects both GPS, and also any unreacted glucose and/or glycine that are associated with the mineral particles. </w:t>
      </w:r>
    </w:p>
    <w:p w14:paraId="3B1E3270" w14:textId="77777777" w:rsidR="007C424D" w:rsidRPr="00CD16BA" w:rsidRDefault="007C424D" w:rsidP="0039267A">
      <w:pPr>
        <w:rPr>
          <w:rFonts w:cstheme="minorHAnsi"/>
          <w:sz w:val="22"/>
          <w:szCs w:val="22"/>
          <w:lang w:val="en-US"/>
        </w:rPr>
      </w:pPr>
    </w:p>
    <w:tbl>
      <w:tblPr>
        <w:tblW w:w="11976" w:type="dxa"/>
        <w:jc w:val="center"/>
        <w:tblLook w:val="04A0" w:firstRow="1" w:lastRow="0" w:firstColumn="1" w:lastColumn="0" w:noHBand="0" w:noVBand="1"/>
      </w:tblPr>
      <w:tblGrid>
        <w:gridCol w:w="473"/>
        <w:gridCol w:w="1795"/>
        <w:gridCol w:w="2127"/>
        <w:gridCol w:w="1001"/>
        <w:gridCol w:w="1316"/>
        <w:gridCol w:w="1316"/>
        <w:gridCol w:w="1316"/>
        <w:gridCol w:w="1316"/>
        <w:gridCol w:w="1316"/>
      </w:tblGrid>
      <w:tr w:rsidR="007C424D" w:rsidRPr="00CD16BA" w14:paraId="7128B512" w14:textId="77777777" w:rsidTr="00EF5BA1">
        <w:trPr>
          <w:trHeight w:val="260"/>
          <w:jc w:val="center"/>
        </w:trPr>
        <w:tc>
          <w:tcPr>
            <w:tcW w:w="473" w:type="dxa"/>
            <w:tcBorders>
              <w:top w:val="single" w:sz="12" w:space="0" w:color="000000"/>
              <w:bottom w:val="single" w:sz="12" w:space="0" w:color="000000"/>
            </w:tcBorders>
            <w:shd w:val="clear" w:color="auto" w:fill="auto"/>
            <w:noWrap/>
            <w:vAlign w:val="bottom"/>
            <w:hideMark/>
          </w:tcPr>
          <w:p w14:paraId="1081B873" w14:textId="77777777" w:rsidR="007C424D" w:rsidRPr="00CD16BA" w:rsidRDefault="007C424D" w:rsidP="0039267A">
            <w:pPr>
              <w:rPr>
                <w:rFonts w:eastAsia="Times New Roman" w:cstheme="minorHAnsi"/>
                <w:b/>
                <w:bCs/>
                <w:lang w:eastAsia="en-GB"/>
              </w:rPr>
            </w:pPr>
          </w:p>
        </w:tc>
        <w:tc>
          <w:tcPr>
            <w:tcW w:w="1795" w:type="dxa"/>
            <w:tcBorders>
              <w:top w:val="single" w:sz="12" w:space="0" w:color="000000"/>
              <w:bottom w:val="single" w:sz="12" w:space="0" w:color="000000"/>
            </w:tcBorders>
            <w:shd w:val="clear" w:color="auto" w:fill="auto"/>
            <w:noWrap/>
            <w:vAlign w:val="center"/>
            <w:hideMark/>
          </w:tcPr>
          <w:p w14:paraId="5B8DCB5F"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Catalyst</w:t>
            </w:r>
          </w:p>
        </w:tc>
        <w:tc>
          <w:tcPr>
            <w:tcW w:w="2127" w:type="dxa"/>
            <w:tcBorders>
              <w:top w:val="single" w:sz="12" w:space="0" w:color="000000"/>
              <w:bottom w:val="single" w:sz="12" w:space="0" w:color="000000"/>
            </w:tcBorders>
            <w:shd w:val="clear" w:color="auto" w:fill="auto"/>
            <w:noWrap/>
            <w:vAlign w:val="center"/>
            <w:hideMark/>
          </w:tcPr>
          <w:p w14:paraId="69BFF32C"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Catalyst Concentration</w:t>
            </w:r>
          </w:p>
        </w:tc>
        <w:tc>
          <w:tcPr>
            <w:tcW w:w="1001" w:type="dxa"/>
            <w:tcBorders>
              <w:top w:val="single" w:sz="12" w:space="0" w:color="000000"/>
              <w:bottom w:val="single" w:sz="12" w:space="0" w:color="000000"/>
            </w:tcBorders>
            <w:shd w:val="clear" w:color="auto" w:fill="auto"/>
            <w:noWrap/>
            <w:vAlign w:val="center"/>
            <w:hideMark/>
          </w:tcPr>
          <w:p w14:paraId="03E0BBE6" w14:textId="77777777" w:rsidR="007C424D" w:rsidRPr="00CD16BA" w:rsidRDefault="007C424D" w:rsidP="0039267A">
            <w:pPr>
              <w:jc w:val="center"/>
              <w:rPr>
                <w:rFonts w:eastAsia="Times New Roman" w:cstheme="minorHAnsi"/>
                <w:b/>
                <w:bCs/>
                <w:sz w:val="20"/>
                <w:szCs w:val="20"/>
                <w:lang w:eastAsia="en-GB"/>
              </w:rPr>
            </w:pPr>
          </w:p>
        </w:tc>
        <w:tc>
          <w:tcPr>
            <w:tcW w:w="1316" w:type="dxa"/>
            <w:tcBorders>
              <w:top w:val="single" w:sz="12" w:space="0" w:color="000000"/>
              <w:bottom w:val="single" w:sz="12" w:space="0" w:color="000000"/>
            </w:tcBorders>
            <w:shd w:val="clear" w:color="auto" w:fill="auto"/>
            <w:noWrap/>
            <w:vAlign w:val="center"/>
            <w:hideMark/>
          </w:tcPr>
          <w:p w14:paraId="5F952305"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C (%)</w:t>
            </w:r>
          </w:p>
        </w:tc>
        <w:tc>
          <w:tcPr>
            <w:tcW w:w="1316" w:type="dxa"/>
            <w:tcBorders>
              <w:top w:val="single" w:sz="12" w:space="0" w:color="000000"/>
              <w:bottom w:val="single" w:sz="12" w:space="0" w:color="000000"/>
            </w:tcBorders>
            <w:shd w:val="clear" w:color="auto" w:fill="auto"/>
            <w:noWrap/>
            <w:vAlign w:val="center"/>
            <w:hideMark/>
          </w:tcPr>
          <w:p w14:paraId="776D670E"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1SEM</w:t>
            </w:r>
          </w:p>
        </w:tc>
        <w:tc>
          <w:tcPr>
            <w:tcW w:w="1316" w:type="dxa"/>
            <w:tcBorders>
              <w:top w:val="single" w:sz="12" w:space="0" w:color="000000"/>
              <w:bottom w:val="single" w:sz="12" w:space="0" w:color="000000"/>
            </w:tcBorders>
            <w:shd w:val="clear" w:color="auto" w:fill="auto"/>
            <w:noWrap/>
            <w:vAlign w:val="center"/>
            <w:hideMark/>
          </w:tcPr>
          <w:p w14:paraId="3B178809"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N (%)</w:t>
            </w:r>
          </w:p>
        </w:tc>
        <w:tc>
          <w:tcPr>
            <w:tcW w:w="1316" w:type="dxa"/>
            <w:tcBorders>
              <w:top w:val="single" w:sz="12" w:space="0" w:color="000000"/>
              <w:bottom w:val="single" w:sz="12" w:space="0" w:color="000000"/>
            </w:tcBorders>
            <w:shd w:val="clear" w:color="auto" w:fill="auto"/>
            <w:noWrap/>
            <w:vAlign w:val="center"/>
            <w:hideMark/>
          </w:tcPr>
          <w:p w14:paraId="10CA962B"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1SEM</w:t>
            </w:r>
          </w:p>
        </w:tc>
        <w:tc>
          <w:tcPr>
            <w:tcW w:w="1316" w:type="dxa"/>
            <w:tcBorders>
              <w:top w:val="single" w:sz="12" w:space="0" w:color="000000"/>
              <w:bottom w:val="single" w:sz="12" w:space="0" w:color="000000"/>
            </w:tcBorders>
            <w:shd w:val="clear" w:color="auto" w:fill="auto"/>
            <w:noWrap/>
            <w:vAlign w:val="center"/>
            <w:hideMark/>
          </w:tcPr>
          <w:p w14:paraId="46EF9B61"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C/N</w:t>
            </w:r>
          </w:p>
        </w:tc>
      </w:tr>
      <w:tr w:rsidR="007C424D" w:rsidRPr="00CD16BA" w14:paraId="43495515" w14:textId="77777777" w:rsidTr="00EF5BA1">
        <w:trPr>
          <w:trHeight w:val="260"/>
          <w:jc w:val="center"/>
        </w:trPr>
        <w:tc>
          <w:tcPr>
            <w:tcW w:w="473" w:type="dxa"/>
            <w:tcBorders>
              <w:top w:val="single" w:sz="12" w:space="0" w:color="000000"/>
              <w:bottom w:val="single" w:sz="4" w:space="0" w:color="000000"/>
            </w:tcBorders>
            <w:shd w:val="clear" w:color="auto" w:fill="auto"/>
            <w:noWrap/>
            <w:vAlign w:val="bottom"/>
            <w:hideMark/>
          </w:tcPr>
          <w:p w14:paraId="41B775C4" w14:textId="77777777" w:rsidR="007C424D" w:rsidRPr="00CD16BA" w:rsidRDefault="007C424D" w:rsidP="0039267A">
            <w:pPr>
              <w:rPr>
                <w:rFonts w:eastAsia="Times New Roman" w:cstheme="minorHAnsi"/>
                <w:sz w:val="20"/>
                <w:szCs w:val="20"/>
                <w:lang w:eastAsia="en-GB"/>
              </w:rPr>
            </w:pPr>
          </w:p>
        </w:tc>
        <w:tc>
          <w:tcPr>
            <w:tcW w:w="1795" w:type="dxa"/>
            <w:tcBorders>
              <w:top w:val="single" w:sz="12" w:space="0" w:color="000000"/>
              <w:bottom w:val="single" w:sz="4" w:space="0" w:color="000000"/>
            </w:tcBorders>
            <w:shd w:val="clear" w:color="auto" w:fill="auto"/>
            <w:noWrap/>
            <w:vAlign w:val="center"/>
            <w:hideMark/>
          </w:tcPr>
          <w:p w14:paraId="362DAE5B"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None</w:t>
            </w:r>
          </w:p>
        </w:tc>
        <w:tc>
          <w:tcPr>
            <w:tcW w:w="2127" w:type="dxa"/>
            <w:tcBorders>
              <w:top w:val="single" w:sz="12" w:space="0" w:color="000000"/>
              <w:bottom w:val="single" w:sz="4" w:space="0" w:color="000000"/>
            </w:tcBorders>
            <w:shd w:val="clear" w:color="auto" w:fill="auto"/>
            <w:noWrap/>
            <w:vAlign w:val="center"/>
            <w:hideMark/>
          </w:tcPr>
          <w:p w14:paraId="11869DD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N/A</w:t>
            </w:r>
          </w:p>
        </w:tc>
        <w:tc>
          <w:tcPr>
            <w:tcW w:w="1001" w:type="dxa"/>
            <w:tcBorders>
              <w:top w:val="single" w:sz="12" w:space="0" w:color="000000"/>
              <w:bottom w:val="single" w:sz="4" w:space="0" w:color="000000"/>
            </w:tcBorders>
            <w:shd w:val="clear" w:color="auto" w:fill="auto"/>
            <w:noWrap/>
            <w:vAlign w:val="center"/>
            <w:hideMark/>
          </w:tcPr>
          <w:p w14:paraId="7462379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tcBorders>
              <w:top w:val="single" w:sz="12" w:space="0" w:color="000000"/>
              <w:bottom w:val="single" w:sz="4" w:space="0" w:color="000000"/>
            </w:tcBorders>
            <w:shd w:val="clear" w:color="auto" w:fill="auto"/>
            <w:noWrap/>
            <w:vAlign w:val="center"/>
            <w:hideMark/>
          </w:tcPr>
          <w:p w14:paraId="76FA962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33.49</w:t>
            </w:r>
          </w:p>
        </w:tc>
        <w:tc>
          <w:tcPr>
            <w:tcW w:w="1316" w:type="dxa"/>
            <w:tcBorders>
              <w:top w:val="single" w:sz="12" w:space="0" w:color="000000"/>
              <w:bottom w:val="single" w:sz="4" w:space="0" w:color="000000"/>
            </w:tcBorders>
            <w:shd w:val="clear" w:color="auto" w:fill="auto"/>
            <w:noWrap/>
            <w:vAlign w:val="center"/>
            <w:hideMark/>
          </w:tcPr>
          <w:p w14:paraId="0660611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2.88</w:t>
            </w:r>
          </w:p>
        </w:tc>
        <w:tc>
          <w:tcPr>
            <w:tcW w:w="1316" w:type="dxa"/>
            <w:tcBorders>
              <w:top w:val="single" w:sz="12" w:space="0" w:color="000000"/>
              <w:bottom w:val="single" w:sz="4" w:space="0" w:color="000000"/>
            </w:tcBorders>
            <w:shd w:val="clear" w:color="auto" w:fill="auto"/>
            <w:noWrap/>
            <w:vAlign w:val="center"/>
            <w:hideMark/>
          </w:tcPr>
          <w:p w14:paraId="3A7A7FDC"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2.18</w:t>
            </w:r>
          </w:p>
        </w:tc>
        <w:tc>
          <w:tcPr>
            <w:tcW w:w="1316" w:type="dxa"/>
            <w:tcBorders>
              <w:top w:val="single" w:sz="12" w:space="0" w:color="000000"/>
              <w:bottom w:val="single" w:sz="4" w:space="0" w:color="000000"/>
            </w:tcBorders>
            <w:shd w:val="clear" w:color="auto" w:fill="auto"/>
            <w:noWrap/>
            <w:vAlign w:val="center"/>
            <w:hideMark/>
          </w:tcPr>
          <w:p w14:paraId="0887EB1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0.26</w:t>
            </w:r>
          </w:p>
        </w:tc>
        <w:tc>
          <w:tcPr>
            <w:tcW w:w="1316" w:type="dxa"/>
            <w:tcBorders>
              <w:top w:val="single" w:sz="12" w:space="0" w:color="000000"/>
              <w:bottom w:val="single" w:sz="4" w:space="0" w:color="000000"/>
            </w:tcBorders>
            <w:shd w:val="clear" w:color="auto" w:fill="auto"/>
            <w:noWrap/>
            <w:vAlign w:val="center"/>
            <w:hideMark/>
          </w:tcPr>
          <w:p w14:paraId="6152DF31"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15.4</w:t>
            </w:r>
          </w:p>
        </w:tc>
      </w:tr>
      <w:tr w:rsidR="007C424D" w:rsidRPr="00CD16BA" w14:paraId="47F78471" w14:textId="77777777" w:rsidTr="00EF5BA1">
        <w:trPr>
          <w:trHeight w:val="260"/>
          <w:jc w:val="center"/>
        </w:trPr>
        <w:tc>
          <w:tcPr>
            <w:tcW w:w="473" w:type="dxa"/>
            <w:vMerge w:val="restart"/>
            <w:tcBorders>
              <w:top w:val="single" w:sz="4" w:space="0" w:color="000000"/>
            </w:tcBorders>
            <w:shd w:val="clear" w:color="auto" w:fill="auto"/>
            <w:noWrap/>
            <w:textDirection w:val="btLr"/>
            <w:vAlign w:val="center"/>
            <w:hideMark/>
          </w:tcPr>
          <w:p w14:paraId="6F51F140"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Iron</w:t>
            </w:r>
          </w:p>
        </w:tc>
        <w:tc>
          <w:tcPr>
            <w:tcW w:w="1795" w:type="dxa"/>
            <w:vMerge w:val="restart"/>
            <w:tcBorders>
              <w:top w:val="single" w:sz="4" w:space="0" w:color="000000"/>
            </w:tcBorders>
            <w:shd w:val="clear" w:color="auto" w:fill="auto"/>
            <w:noWrap/>
            <w:vAlign w:val="center"/>
            <w:hideMark/>
          </w:tcPr>
          <w:p w14:paraId="35A1104C"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Mineral (g/L)</w:t>
            </w:r>
          </w:p>
        </w:tc>
        <w:tc>
          <w:tcPr>
            <w:tcW w:w="2127" w:type="dxa"/>
            <w:vMerge w:val="restart"/>
            <w:tcBorders>
              <w:top w:val="single" w:sz="4" w:space="0" w:color="000000"/>
            </w:tcBorders>
            <w:shd w:val="clear" w:color="auto" w:fill="auto"/>
            <w:noWrap/>
            <w:vAlign w:val="center"/>
            <w:hideMark/>
          </w:tcPr>
          <w:p w14:paraId="7EFB0ABF"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0.5</w:t>
            </w:r>
          </w:p>
        </w:tc>
        <w:tc>
          <w:tcPr>
            <w:tcW w:w="1001" w:type="dxa"/>
            <w:tcBorders>
              <w:top w:val="single" w:sz="4" w:space="0" w:color="000000"/>
            </w:tcBorders>
            <w:shd w:val="clear" w:color="auto" w:fill="auto"/>
            <w:noWrap/>
            <w:vAlign w:val="center"/>
            <w:hideMark/>
          </w:tcPr>
          <w:p w14:paraId="7FD84B1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Residue</w:t>
            </w:r>
          </w:p>
        </w:tc>
        <w:tc>
          <w:tcPr>
            <w:tcW w:w="1316" w:type="dxa"/>
            <w:tcBorders>
              <w:top w:val="single" w:sz="4" w:space="0" w:color="000000"/>
            </w:tcBorders>
            <w:shd w:val="clear" w:color="auto" w:fill="auto"/>
            <w:noWrap/>
            <w:vAlign w:val="center"/>
            <w:hideMark/>
          </w:tcPr>
          <w:p w14:paraId="27C61F41"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4.36</w:t>
            </w:r>
          </w:p>
        </w:tc>
        <w:tc>
          <w:tcPr>
            <w:tcW w:w="1316" w:type="dxa"/>
            <w:tcBorders>
              <w:top w:val="single" w:sz="4" w:space="0" w:color="000000"/>
            </w:tcBorders>
            <w:shd w:val="clear" w:color="auto" w:fill="auto"/>
            <w:noWrap/>
            <w:vAlign w:val="center"/>
            <w:hideMark/>
          </w:tcPr>
          <w:p w14:paraId="76A9CF5C"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0.03</w:t>
            </w:r>
          </w:p>
        </w:tc>
        <w:tc>
          <w:tcPr>
            <w:tcW w:w="1316" w:type="dxa"/>
            <w:tcBorders>
              <w:top w:val="single" w:sz="4" w:space="0" w:color="000000"/>
            </w:tcBorders>
            <w:shd w:val="clear" w:color="auto" w:fill="auto"/>
            <w:noWrap/>
            <w:vAlign w:val="center"/>
            <w:hideMark/>
          </w:tcPr>
          <w:p w14:paraId="6B84F8F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0.62</w:t>
            </w:r>
          </w:p>
        </w:tc>
        <w:tc>
          <w:tcPr>
            <w:tcW w:w="1316" w:type="dxa"/>
            <w:tcBorders>
              <w:top w:val="single" w:sz="4" w:space="0" w:color="000000"/>
            </w:tcBorders>
            <w:shd w:val="clear" w:color="auto" w:fill="auto"/>
            <w:noWrap/>
            <w:vAlign w:val="center"/>
            <w:hideMark/>
          </w:tcPr>
          <w:p w14:paraId="674F7E4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0.01</w:t>
            </w:r>
          </w:p>
        </w:tc>
        <w:tc>
          <w:tcPr>
            <w:tcW w:w="1316" w:type="dxa"/>
            <w:tcBorders>
              <w:top w:val="single" w:sz="4" w:space="0" w:color="000000"/>
            </w:tcBorders>
            <w:shd w:val="clear" w:color="auto" w:fill="auto"/>
            <w:noWrap/>
            <w:vAlign w:val="center"/>
            <w:hideMark/>
          </w:tcPr>
          <w:p w14:paraId="6FAC81AC"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7.0</w:t>
            </w:r>
          </w:p>
        </w:tc>
      </w:tr>
      <w:tr w:rsidR="007C424D" w:rsidRPr="00CD16BA" w14:paraId="754E3500" w14:textId="77777777" w:rsidTr="00EF5BA1">
        <w:trPr>
          <w:trHeight w:val="260"/>
          <w:jc w:val="center"/>
        </w:trPr>
        <w:tc>
          <w:tcPr>
            <w:tcW w:w="473" w:type="dxa"/>
            <w:vMerge/>
            <w:vAlign w:val="center"/>
            <w:hideMark/>
          </w:tcPr>
          <w:p w14:paraId="7DA0BEAF"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1AC04566" w14:textId="77777777" w:rsidR="007C424D" w:rsidRPr="00CD16BA" w:rsidRDefault="007C424D" w:rsidP="0039267A">
            <w:pPr>
              <w:jc w:val="center"/>
              <w:rPr>
                <w:rFonts w:eastAsia="Times New Roman" w:cstheme="minorHAnsi"/>
                <w:b/>
                <w:bCs/>
                <w:sz w:val="20"/>
                <w:szCs w:val="20"/>
                <w:lang w:eastAsia="en-GB"/>
              </w:rPr>
            </w:pPr>
          </w:p>
        </w:tc>
        <w:tc>
          <w:tcPr>
            <w:tcW w:w="2127" w:type="dxa"/>
            <w:vMerge/>
            <w:vAlign w:val="center"/>
            <w:hideMark/>
          </w:tcPr>
          <w:p w14:paraId="5D331D6A" w14:textId="77777777" w:rsidR="007C424D" w:rsidRPr="00CD16BA" w:rsidRDefault="007C424D" w:rsidP="0039267A">
            <w:pPr>
              <w:jc w:val="center"/>
              <w:rPr>
                <w:rFonts w:eastAsia="Times New Roman" w:cstheme="minorHAnsi"/>
                <w:sz w:val="20"/>
                <w:szCs w:val="20"/>
                <w:lang w:eastAsia="en-GB"/>
              </w:rPr>
            </w:pPr>
          </w:p>
        </w:tc>
        <w:tc>
          <w:tcPr>
            <w:tcW w:w="1001" w:type="dxa"/>
            <w:shd w:val="clear" w:color="auto" w:fill="auto"/>
            <w:noWrap/>
            <w:vAlign w:val="center"/>
            <w:hideMark/>
          </w:tcPr>
          <w:p w14:paraId="0CFC50A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shd w:val="clear" w:color="auto" w:fill="auto"/>
            <w:noWrap/>
            <w:vAlign w:val="center"/>
            <w:hideMark/>
          </w:tcPr>
          <w:p w14:paraId="46AF457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33.12</w:t>
            </w:r>
          </w:p>
        </w:tc>
        <w:tc>
          <w:tcPr>
            <w:tcW w:w="1316" w:type="dxa"/>
            <w:shd w:val="clear" w:color="auto" w:fill="auto"/>
            <w:noWrap/>
            <w:vAlign w:val="center"/>
            <w:hideMark/>
          </w:tcPr>
          <w:p w14:paraId="4D092A3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0.43</w:t>
            </w:r>
          </w:p>
        </w:tc>
        <w:tc>
          <w:tcPr>
            <w:tcW w:w="1316" w:type="dxa"/>
            <w:shd w:val="clear" w:color="auto" w:fill="auto"/>
            <w:noWrap/>
            <w:vAlign w:val="center"/>
            <w:hideMark/>
          </w:tcPr>
          <w:p w14:paraId="73A66CF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2.11</w:t>
            </w:r>
          </w:p>
        </w:tc>
        <w:tc>
          <w:tcPr>
            <w:tcW w:w="1316" w:type="dxa"/>
            <w:shd w:val="clear" w:color="auto" w:fill="auto"/>
            <w:noWrap/>
            <w:vAlign w:val="center"/>
            <w:hideMark/>
          </w:tcPr>
          <w:p w14:paraId="52AEC41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0.31</w:t>
            </w:r>
          </w:p>
        </w:tc>
        <w:tc>
          <w:tcPr>
            <w:tcW w:w="1316" w:type="dxa"/>
            <w:shd w:val="clear" w:color="auto" w:fill="auto"/>
            <w:noWrap/>
            <w:vAlign w:val="center"/>
            <w:hideMark/>
          </w:tcPr>
          <w:p w14:paraId="15A4FB6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15.7</w:t>
            </w:r>
          </w:p>
        </w:tc>
      </w:tr>
      <w:tr w:rsidR="007C424D" w:rsidRPr="00CD16BA" w14:paraId="6A60D80B" w14:textId="77777777" w:rsidTr="00EF5BA1">
        <w:trPr>
          <w:trHeight w:val="260"/>
          <w:jc w:val="center"/>
        </w:trPr>
        <w:tc>
          <w:tcPr>
            <w:tcW w:w="473" w:type="dxa"/>
            <w:vMerge/>
            <w:vAlign w:val="center"/>
            <w:hideMark/>
          </w:tcPr>
          <w:p w14:paraId="545427E0"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3B8AA55A" w14:textId="77777777" w:rsidR="007C424D" w:rsidRPr="00CD16BA" w:rsidRDefault="007C424D" w:rsidP="0039267A">
            <w:pPr>
              <w:jc w:val="center"/>
              <w:rPr>
                <w:rFonts w:eastAsia="Times New Roman" w:cstheme="minorHAnsi"/>
                <w:b/>
                <w:bCs/>
                <w:sz w:val="20"/>
                <w:szCs w:val="20"/>
                <w:lang w:eastAsia="en-GB"/>
              </w:rPr>
            </w:pPr>
          </w:p>
        </w:tc>
        <w:tc>
          <w:tcPr>
            <w:tcW w:w="2127" w:type="dxa"/>
            <w:vMerge w:val="restart"/>
            <w:shd w:val="clear" w:color="auto" w:fill="auto"/>
            <w:noWrap/>
            <w:vAlign w:val="center"/>
            <w:hideMark/>
          </w:tcPr>
          <w:p w14:paraId="50F63387"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1.5</w:t>
            </w:r>
          </w:p>
        </w:tc>
        <w:tc>
          <w:tcPr>
            <w:tcW w:w="1001" w:type="dxa"/>
            <w:shd w:val="clear" w:color="auto" w:fill="auto"/>
            <w:noWrap/>
            <w:vAlign w:val="center"/>
            <w:hideMark/>
          </w:tcPr>
          <w:p w14:paraId="1023A6F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Residue</w:t>
            </w:r>
          </w:p>
        </w:tc>
        <w:tc>
          <w:tcPr>
            <w:tcW w:w="1316" w:type="dxa"/>
            <w:shd w:val="clear" w:color="auto" w:fill="auto"/>
            <w:noWrap/>
            <w:vAlign w:val="center"/>
            <w:hideMark/>
          </w:tcPr>
          <w:p w14:paraId="42C96BA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4.01</w:t>
            </w:r>
          </w:p>
        </w:tc>
        <w:tc>
          <w:tcPr>
            <w:tcW w:w="1316" w:type="dxa"/>
            <w:shd w:val="clear" w:color="auto" w:fill="auto"/>
            <w:noWrap/>
            <w:vAlign w:val="center"/>
            <w:hideMark/>
          </w:tcPr>
          <w:p w14:paraId="4433032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0.06</w:t>
            </w:r>
          </w:p>
        </w:tc>
        <w:tc>
          <w:tcPr>
            <w:tcW w:w="1316" w:type="dxa"/>
            <w:shd w:val="clear" w:color="auto" w:fill="auto"/>
            <w:noWrap/>
            <w:vAlign w:val="center"/>
            <w:hideMark/>
          </w:tcPr>
          <w:p w14:paraId="740C350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0.58</w:t>
            </w:r>
          </w:p>
        </w:tc>
        <w:tc>
          <w:tcPr>
            <w:tcW w:w="1316" w:type="dxa"/>
            <w:shd w:val="clear" w:color="auto" w:fill="auto"/>
            <w:noWrap/>
            <w:vAlign w:val="center"/>
            <w:hideMark/>
          </w:tcPr>
          <w:p w14:paraId="135B02D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0.01</w:t>
            </w:r>
          </w:p>
        </w:tc>
        <w:tc>
          <w:tcPr>
            <w:tcW w:w="1316" w:type="dxa"/>
            <w:shd w:val="clear" w:color="auto" w:fill="auto"/>
            <w:noWrap/>
            <w:vAlign w:val="center"/>
            <w:hideMark/>
          </w:tcPr>
          <w:p w14:paraId="2587EB76"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6.9</w:t>
            </w:r>
          </w:p>
        </w:tc>
      </w:tr>
      <w:tr w:rsidR="007C424D" w:rsidRPr="00CD16BA" w14:paraId="5E25E2AE" w14:textId="77777777" w:rsidTr="00EF5BA1">
        <w:trPr>
          <w:trHeight w:val="260"/>
          <w:jc w:val="center"/>
        </w:trPr>
        <w:tc>
          <w:tcPr>
            <w:tcW w:w="473" w:type="dxa"/>
            <w:vMerge/>
            <w:vAlign w:val="center"/>
            <w:hideMark/>
          </w:tcPr>
          <w:p w14:paraId="204D1775"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4889A7D7" w14:textId="77777777" w:rsidR="007C424D" w:rsidRPr="00CD16BA" w:rsidRDefault="007C424D" w:rsidP="0039267A">
            <w:pPr>
              <w:jc w:val="center"/>
              <w:rPr>
                <w:rFonts w:eastAsia="Times New Roman" w:cstheme="minorHAnsi"/>
                <w:b/>
                <w:bCs/>
                <w:sz w:val="20"/>
                <w:szCs w:val="20"/>
                <w:lang w:eastAsia="en-GB"/>
              </w:rPr>
            </w:pPr>
          </w:p>
        </w:tc>
        <w:tc>
          <w:tcPr>
            <w:tcW w:w="2127" w:type="dxa"/>
            <w:vMerge/>
            <w:vAlign w:val="center"/>
            <w:hideMark/>
          </w:tcPr>
          <w:p w14:paraId="63F8AFC1" w14:textId="77777777" w:rsidR="007C424D" w:rsidRPr="00CD16BA" w:rsidRDefault="007C424D" w:rsidP="0039267A">
            <w:pPr>
              <w:jc w:val="center"/>
              <w:rPr>
                <w:rFonts w:eastAsia="Times New Roman" w:cstheme="minorHAnsi"/>
                <w:sz w:val="20"/>
                <w:szCs w:val="20"/>
                <w:lang w:eastAsia="en-GB"/>
              </w:rPr>
            </w:pPr>
          </w:p>
        </w:tc>
        <w:tc>
          <w:tcPr>
            <w:tcW w:w="1001" w:type="dxa"/>
            <w:shd w:val="clear" w:color="auto" w:fill="auto"/>
            <w:noWrap/>
            <w:vAlign w:val="center"/>
            <w:hideMark/>
          </w:tcPr>
          <w:p w14:paraId="567B785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shd w:val="clear" w:color="auto" w:fill="auto"/>
            <w:noWrap/>
            <w:vAlign w:val="center"/>
            <w:hideMark/>
          </w:tcPr>
          <w:p w14:paraId="59C4C42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31.48</w:t>
            </w:r>
          </w:p>
        </w:tc>
        <w:tc>
          <w:tcPr>
            <w:tcW w:w="1316" w:type="dxa"/>
            <w:shd w:val="clear" w:color="auto" w:fill="auto"/>
            <w:noWrap/>
            <w:vAlign w:val="center"/>
            <w:hideMark/>
          </w:tcPr>
          <w:p w14:paraId="6CA4D8A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0.24</w:t>
            </w:r>
          </w:p>
        </w:tc>
        <w:tc>
          <w:tcPr>
            <w:tcW w:w="1316" w:type="dxa"/>
            <w:shd w:val="clear" w:color="auto" w:fill="auto"/>
            <w:noWrap/>
            <w:vAlign w:val="center"/>
            <w:hideMark/>
          </w:tcPr>
          <w:p w14:paraId="0B17DD5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2.33</w:t>
            </w:r>
          </w:p>
        </w:tc>
        <w:tc>
          <w:tcPr>
            <w:tcW w:w="1316" w:type="dxa"/>
            <w:shd w:val="clear" w:color="auto" w:fill="auto"/>
            <w:noWrap/>
            <w:vAlign w:val="center"/>
            <w:hideMark/>
          </w:tcPr>
          <w:p w14:paraId="2D929996"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0.10</w:t>
            </w:r>
          </w:p>
        </w:tc>
        <w:tc>
          <w:tcPr>
            <w:tcW w:w="1316" w:type="dxa"/>
            <w:shd w:val="clear" w:color="auto" w:fill="auto"/>
            <w:noWrap/>
            <w:vAlign w:val="center"/>
            <w:hideMark/>
          </w:tcPr>
          <w:p w14:paraId="6C1AE09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13.5</w:t>
            </w:r>
          </w:p>
        </w:tc>
      </w:tr>
      <w:tr w:rsidR="007C424D" w:rsidRPr="00CD16BA" w14:paraId="3DCCEDFE" w14:textId="77777777" w:rsidTr="00EF5BA1">
        <w:trPr>
          <w:trHeight w:val="260"/>
          <w:jc w:val="center"/>
        </w:trPr>
        <w:tc>
          <w:tcPr>
            <w:tcW w:w="473" w:type="dxa"/>
            <w:vMerge/>
            <w:vAlign w:val="center"/>
            <w:hideMark/>
          </w:tcPr>
          <w:p w14:paraId="6E761C7A"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442F6A68" w14:textId="77777777" w:rsidR="007C424D" w:rsidRPr="00CD16BA" w:rsidRDefault="007C424D" w:rsidP="0039267A">
            <w:pPr>
              <w:jc w:val="center"/>
              <w:rPr>
                <w:rFonts w:eastAsia="Times New Roman" w:cstheme="minorHAnsi"/>
                <w:b/>
                <w:bCs/>
                <w:sz w:val="20"/>
                <w:szCs w:val="20"/>
                <w:lang w:eastAsia="en-GB"/>
              </w:rPr>
            </w:pPr>
          </w:p>
        </w:tc>
        <w:tc>
          <w:tcPr>
            <w:tcW w:w="2127" w:type="dxa"/>
            <w:vMerge w:val="restart"/>
            <w:shd w:val="clear" w:color="auto" w:fill="auto"/>
            <w:noWrap/>
            <w:vAlign w:val="center"/>
            <w:hideMark/>
          </w:tcPr>
          <w:p w14:paraId="6A11FBCF"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2.5</w:t>
            </w:r>
          </w:p>
        </w:tc>
        <w:tc>
          <w:tcPr>
            <w:tcW w:w="1001" w:type="dxa"/>
            <w:shd w:val="clear" w:color="auto" w:fill="auto"/>
            <w:noWrap/>
            <w:vAlign w:val="center"/>
            <w:hideMark/>
          </w:tcPr>
          <w:p w14:paraId="4EF620D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Residue</w:t>
            </w:r>
          </w:p>
        </w:tc>
        <w:tc>
          <w:tcPr>
            <w:tcW w:w="1316" w:type="dxa"/>
            <w:shd w:val="clear" w:color="auto" w:fill="auto"/>
            <w:noWrap/>
            <w:vAlign w:val="center"/>
            <w:hideMark/>
          </w:tcPr>
          <w:p w14:paraId="5356E6D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0.40</w:t>
            </w:r>
          </w:p>
        </w:tc>
        <w:tc>
          <w:tcPr>
            <w:tcW w:w="1316" w:type="dxa"/>
            <w:shd w:val="clear" w:color="auto" w:fill="auto"/>
            <w:noWrap/>
            <w:vAlign w:val="center"/>
            <w:hideMark/>
          </w:tcPr>
          <w:p w14:paraId="47E2C74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0.00</w:t>
            </w:r>
          </w:p>
        </w:tc>
        <w:tc>
          <w:tcPr>
            <w:tcW w:w="1316" w:type="dxa"/>
            <w:shd w:val="clear" w:color="auto" w:fill="auto"/>
            <w:noWrap/>
            <w:vAlign w:val="center"/>
            <w:hideMark/>
          </w:tcPr>
          <w:p w14:paraId="6203F4B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0.02</w:t>
            </w:r>
          </w:p>
        </w:tc>
        <w:tc>
          <w:tcPr>
            <w:tcW w:w="1316" w:type="dxa"/>
            <w:shd w:val="clear" w:color="auto" w:fill="auto"/>
            <w:noWrap/>
            <w:vAlign w:val="center"/>
            <w:hideMark/>
          </w:tcPr>
          <w:p w14:paraId="4CCEF47B"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0.00</w:t>
            </w:r>
          </w:p>
        </w:tc>
        <w:tc>
          <w:tcPr>
            <w:tcW w:w="1316" w:type="dxa"/>
            <w:shd w:val="clear" w:color="auto" w:fill="auto"/>
            <w:noWrap/>
            <w:vAlign w:val="center"/>
            <w:hideMark/>
          </w:tcPr>
          <w:p w14:paraId="3A85E5C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20.2</w:t>
            </w:r>
          </w:p>
        </w:tc>
      </w:tr>
      <w:tr w:rsidR="007C424D" w:rsidRPr="00CD16BA" w14:paraId="5001D802" w14:textId="77777777" w:rsidTr="00EF5BA1">
        <w:trPr>
          <w:trHeight w:val="260"/>
          <w:jc w:val="center"/>
        </w:trPr>
        <w:tc>
          <w:tcPr>
            <w:tcW w:w="473" w:type="dxa"/>
            <w:vMerge/>
            <w:vAlign w:val="center"/>
            <w:hideMark/>
          </w:tcPr>
          <w:p w14:paraId="79D2F5EC" w14:textId="77777777" w:rsidR="007C424D" w:rsidRPr="00CD16BA" w:rsidRDefault="007C424D" w:rsidP="0039267A">
            <w:pPr>
              <w:rPr>
                <w:rFonts w:eastAsia="Times New Roman" w:cstheme="minorHAnsi"/>
                <w:b/>
                <w:bCs/>
                <w:sz w:val="20"/>
                <w:szCs w:val="20"/>
                <w:lang w:eastAsia="en-GB"/>
              </w:rPr>
            </w:pPr>
          </w:p>
        </w:tc>
        <w:tc>
          <w:tcPr>
            <w:tcW w:w="1795" w:type="dxa"/>
            <w:vMerge/>
            <w:tcBorders>
              <w:bottom w:val="single" w:sz="4" w:space="0" w:color="000000"/>
            </w:tcBorders>
            <w:vAlign w:val="center"/>
            <w:hideMark/>
          </w:tcPr>
          <w:p w14:paraId="2D3157F8" w14:textId="77777777" w:rsidR="007C424D" w:rsidRPr="00CD16BA" w:rsidRDefault="007C424D" w:rsidP="0039267A">
            <w:pPr>
              <w:jc w:val="center"/>
              <w:rPr>
                <w:rFonts w:eastAsia="Times New Roman" w:cstheme="minorHAnsi"/>
                <w:b/>
                <w:bCs/>
                <w:sz w:val="20"/>
                <w:szCs w:val="20"/>
                <w:lang w:eastAsia="en-GB"/>
              </w:rPr>
            </w:pPr>
          </w:p>
        </w:tc>
        <w:tc>
          <w:tcPr>
            <w:tcW w:w="2127" w:type="dxa"/>
            <w:vMerge/>
            <w:tcBorders>
              <w:bottom w:val="single" w:sz="4" w:space="0" w:color="000000"/>
            </w:tcBorders>
            <w:vAlign w:val="center"/>
            <w:hideMark/>
          </w:tcPr>
          <w:p w14:paraId="59089B09" w14:textId="77777777" w:rsidR="007C424D" w:rsidRPr="00CD16BA" w:rsidRDefault="007C424D" w:rsidP="0039267A">
            <w:pPr>
              <w:jc w:val="center"/>
              <w:rPr>
                <w:rFonts w:eastAsia="Times New Roman" w:cstheme="minorHAnsi"/>
                <w:sz w:val="20"/>
                <w:szCs w:val="20"/>
                <w:lang w:eastAsia="en-GB"/>
              </w:rPr>
            </w:pPr>
          </w:p>
        </w:tc>
        <w:tc>
          <w:tcPr>
            <w:tcW w:w="1001" w:type="dxa"/>
            <w:tcBorders>
              <w:bottom w:val="single" w:sz="4" w:space="0" w:color="000000"/>
            </w:tcBorders>
            <w:shd w:val="clear" w:color="auto" w:fill="auto"/>
            <w:noWrap/>
            <w:vAlign w:val="center"/>
            <w:hideMark/>
          </w:tcPr>
          <w:p w14:paraId="3A308F3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tcBorders>
              <w:bottom w:val="single" w:sz="4" w:space="0" w:color="000000"/>
            </w:tcBorders>
            <w:shd w:val="clear" w:color="auto" w:fill="auto"/>
            <w:noWrap/>
            <w:vAlign w:val="center"/>
            <w:hideMark/>
          </w:tcPr>
          <w:p w14:paraId="73F3473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35.76</w:t>
            </w:r>
          </w:p>
        </w:tc>
        <w:tc>
          <w:tcPr>
            <w:tcW w:w="1316" w:type="dxa"/>
            <w:tcBorders>
              <w:bottom w:val="single" w:sz="4" w:space="0" w:color="000000"/>
            </w:tcBorders>
            <w:shd w:val="clear" w:color="auto" w:fill="auto"/>
            <w:noWrap/>
            <w:vAlign w:val="center"/>
            <w:hideMark/>
          </w:tcPr>
          <w:p w14:paraId="56FFC3B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0.08</w:t>
            </w:r>
          </w:p>
        </w:tc>
        <w:tc>
          <w:tcPr>
            <w:tcW w:w="1316" w:type="dxa"/>
            <w:tcBorders>
              <w:bottom w:val="single" w:sz="4" w:space="0" w:color="000000"/>
            </w:tcBorders>
            <w:shd w:val="clear" w:color="auto" w:fill="auto"/>
            <w:noWrap/>
            <w:vAlign w:val="center"/>
            <w:hideMark/>
          </w:tcPr>
          <w:p w14:paraId="2D0479A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2.45</w:t>
            </w:r>
          </w:p>
        </w:tc>
        <w:tc>
          <w:tcPr>
            <w:tcW w:w="1316" w:type="dxa"/>
            <w:tcBorders>
              <w:bottom w:val="single" w:sz="4" w:space="0" w:color="000000"/>
            </w:tcBorders>
            <w:shd w:val="clear" w:color="auto" w:fill="auto"/>
            <w:noWrap/>
            <w:vAlign w:val="center"/>
            <w:hideMark/>
          </w:tcPr>
          <w:p w14:paraId="1FBB052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0.15</w:t>
            </w:r>
          </w:p>
        </w:tc>
        <w:tc>
          <w:tcPr>
            <w:tcW w:w="1316" w:type="dxa"/>
            <w:tcBorders>
              <w:bottom w:val="single" w:sz="4" w:space="0" w:color="000000"/>
            </w:tcBorders>
            <w:shd w:val="clear" w:color="auto" w:fill="auto"/>
            <w:noWrap/>
            <w:vAlign w:val="center"/>
            <w:hideMark/>
          </w:tcPr>
          <w:p w14:paraId="64C0B58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14.6</w:t>
            </w:r>
          </w:p>
        </w:tc>
      </w:tr>
      <w:tr w:rsidR="007C424D" w:rsidRPr="00CD16BA" w14:paraId="20526648" w14:textId="77777777" w:rsidTr="00EF5BA1">
        <w:trPr>
          <w:trHeight w:val="256"/>
          <w:jc w:val="center"/>
        </w:trPr>
        <w:tc>
          <w:tcPr>
            <w:tcW w:w="473" w:type="dxa"/>
            <w:vMerge/>
            <w:vAlign w:val="center"/>
            <w:hideMark/>
          </w:tcPr>
          <w:p w14:paraId="71C8B33E" w14:textId="77777777" w:rsidR="007C424D" w:rsidRPr="00CD16BA" w:rsidRDefault="007C424D" w:rsidP="0039267A">
            <w:pPr>
              <w:rPr>
                <w:rFonts w:eastAsia="Times New Roman" w:cstheme="minorHAnsi"/>
                <w:b/>
                <w:bCs/>
                <w:sz w:val="20"/>
                <w:szCs w:val="20"/>
                <w:lang w:eastAsia="en-GB"/>
              </w:rPr>
            </w:pPr>
          </w:p>
        </w:tc>
        <w:tc>
          <w:tcPr>
            <w:tcW w:w="1795" w:type="dxa"/>
            <w:vMerge w:val="restart"/>
            <w:tcBorders>
              <w:top w:val="single" w:sz="4" w:space="0" w:color="000000"/>
            </w:tcBorders>
            <w:shd w:val="clear" w:color="auto" w:fill="auto"/>
            <w:noWrap/>
            <w:vAlign w:val="center"/>
            <w:hideMark/>
          </w:tcPr>
          <w:p w14:paraId="3B914EA7"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Dissolved (</w:t>
            </w:r>
            <w:r w:rsidRPr="00CD16BA">
              <w:rPr>
                <w:rFonts w:cs="Lucida Grande"/>
                <w:b/>
                <w:sz w:val="22"/>
                <w:szCs w:val="22"/>
              </w:rPr>
              <w:t>μ</w:t>
            </w:r>
            <w:r w:rsidRPr="00CD16BA">
              <w:rPr>
                <w:rFonts w:eastAsia="Times New Roman" w:cstheme="minorHAnsi"/>
                <w:b/>
                <w:bCs/>
                <w:sz w:val="20"/>
                <w:szCs w:val="20"/>
                <w:lang w:eastAsia="en-GB"/>
              </w:rPr>
              <w:t>M)</w:t>
            </w:r>
          </w:p>
        </w:tc>
        <w:tc>
          <w:tcPr>
            <w:tcW w:w="2127" w:type="dxa"/>
            <w:tcBorders>
              <w:top w:val="single" w:sz="4" w:space="0" w:color="000000"/>
            </w:tcBorders>
            <w:shd w:val="clear" w:color="auto" w:fill="auto"/>
            <w:noWrap/>
            <w:vAlign w:val="center"/>
            <w:hideMark/>
          </w:tcPr>
          <w:p w14:paraId="508343B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150</w:t>
            </w:r>
          </w:p>
        </w:tc>
        <w:tc>
          <w:tcPr>
            <w:tcW w:w="1001" w:type="dxa"/>
            <w:tcBorders>
              <w:top w:val="single" w:sz="4" w:space="0" w:color="000000"/>
            </w:tcBorders>
            <w:shd w:val="clear" w:color="auto" w:fill="auto"/>
            <w:noWrap/>
            <w:vAlign w:val="center"/>
            <w:hideMark/>
          </w:tcPr>
          <w:p w14:paraId="56C8D42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tcBorders>
              <w:top w:val="single" w:sz="4" w:space="0" w:color="000000"/>
            </w:tcBorders>
            <w:shd w:val="clear" w:color="auto" w:fill="auto"/>
            <w:noWrap/>
            <w:vAlign w:val="center"/>
            <w:hideMark/>
          </w:tcPr>
          <w:p w14:paraId="717F1FB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34.82</w:t>
            </w:r>
          </w:p>
        </w:tc>
        <w:tc>
          <w:tcPr>
            <w:tcW w:w="1316" w:type="dxa"/>
            <w:tcBorders>
              <w:top w:val="single" w:sz="4" w:space="0" w:color="000000"/>
            </w:tcBorders>
            <w:shd w:val="clear" w:color="auto" w:fill="auto"/>
            <w:noWrap/>
            <w:vAlign w:val="center"/>
            <w:hideMark/>
          </w:tcPr>
          <w:p w14:paraId="34EFFFD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0.25</w:t>
            </w:r>
          </w:p>
        </w:tc>
        <w:tc>
          <w:tcPr>
            <w:tcW w:w="1316" w:type="dxa"/>
            <w:tcBorders>
              <w:top w:val="single" w:sz="4" w:space="0" w:color="000000"/>
            </w:tcBorders>
            <w:shd w:val="clear" w:color="auto" w:fill="auto"/>
            <w:noWrap/>
            <w:vAlign w:val="center"/>
            <w:hideMark/>
          </w:tcPr>
          <w:p w14:paraId="76362DC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5.89</w:t>
            </w:r>
          </w:p>
        </w:tc>
        <w:tc>
          <w:tcPr>
            <w:tcW w:w="1316" w:type="dxa"/>
            <w:tcBorders>
              <w:top w:val="single" w:sz="4" w:space="0" w:color="000000"/>
            </w:tcBorders>
            <w:shd w:val="clear" w:color="auto" w:fill="auto"/>
            <w:noWrap/>
            <w:vAlign w:val="center"/>
            <w:hideMark/>
          </w:tcPr>
          <w:p w14:paraId="1786E2E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0.43</w:t>
            </w:r>
          </w:p>
        </w:tc>
        <w:tc>
          <w:tcPr>
            <w:tcW w:w="1316" w:type="dxa"/>
            <w:tcBorders>
              <w:top w:val="single" w:sz="4" w:space="0" w:color="000000"/>
            </w:tcBorders>
            <w:shd w:val="clear" w:color="auto" w:fill="auto"/>
            <w:noWrap/>
            <w:vAlign w:val="center"/>
            <w:hideMark/>
          </w:tcPr>
          <w:p w14:paraId="2CBB1647"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5.9</w:t>
            </w:r>
          </w:p>
        </w:tc>
      </w:tr>
      <w:tr w:rsidR="007C424D" w:rsidRPr="00CD16BA" w14:paraId="7BD8AF87" w14:textId="77777777" w:rsidTr="00EF5BA1">
        <w:trPr>
          <w:trHeight w:val="133"/>
          <w:jc w:val="center"/>
        </w:trPr>
        <w:tc>
          <w:tcPr>
            <w:tcW w:w="473" w:type="dxa"/>
            <w:vMerge/>
            <w:vAlign w:val="center"/>
            <w:hideMark/>
          </w:tcPr>
          <w:p w14:paraId="142A8C62"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3F58563B" w14:textId="77777777" w:rsidR="007C424D" w:rsidRPr="00CD16BA" w:rsidRDefault="007C424D" w:rsidP="0039267A">
            <w:pPr>
              <w:jc w:val="center"/>
              <w:rPr>
                <w:rFonts w:eastAsia="Times New Roman" w:cstheme="minorHAnsi"/>
                <w:b/>
                <w:bCs/>
                <w:sz w:val="20"/>
                <w:szCs w:val="20"/>
                <w:lang w:eastAsia="en-GB"/>
              </w:rPr>
            </w:pPr>
          </w:p>
        </w:tc>
        <w:tc>
          <w:tcPr>
            <w:tcW w:w="2127" w:type="dxa"/>
            <w:shd w:val="clear" w:color="auto" w:fill="auto"/>
            <w:noWrap/>
            <w:vAlign w:val="center"/>
            <w:hideMark/>
          </w:tcPr>
          <w:p w14:paraId="3AF0EBF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300</w:t>
            </w:r>
          </w:p>
        </w:tc>
        <w:tc>
          <w:tcPr>
            <w:tcW w:w="1001" w:type="dxa"/>
            <w:shd w:val="clear" w:color="auto" w:fill="auto"/>
            <w:noWrap/>
            <w:vAlign w:val="center"/>
            <w:hideMark/>
          </w:tcPr>
          <w:p w14:paraId="4799A7CB"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shd w:val="clear" w:color="auto" w:fill="auto"/>
            <w:noWrap/>
            <w:vAlign w:val="center"/>
            <w:hideMark/>
          </w:tcPr>
          <w:p w14:paraId="6CC6E5A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34.67</w:t>
            </w:r>
          </w:p>
        </w:tc>
        <w:tc>
          <w:tcPr>
            <w:tcW w:w="1316" w:type="dxa"/>
            <w:shd w:val="clear" w:color="auto" w:fill="auto"/>
            <w:noWrap/>
            <w:vAlign w:val="center"/>
            <w:hideMark/>
          </w:tcPr>
          <w:p w14:paraId="2564CF0C"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0.14</w:t>
            </w:r>
          </w:p>
        </w:tc>
        <w:tc>
          <w:tcPr>
            <w:tcW w:w="1316" w:type="dxa"/>
            <w:shd w:val="clear" w:color="auto" w:fill="auto"/>
            <w:noWrap/>
            <w:vAlign w:val="center"/>
            <w:hideMark/>
          </w:tcPr>
          <w:p w14:paraId="2767CC9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6.10</w:t>
            </w:r>
          </w:p>
        </w:tc>
        <w:tc>
          <w:tcPr>
            <w:tcW w:w="1316" w:type="dxa"/>
            <w:shd w:val="clear" w:color="auto" w:fill="auto"/>
            <w:noWrap/>
            <w:vAlign w:val="center"/>
            <w:hideMark/>
          </w:tcPr>
          <w:p w14:paraId="542160E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0.32</w:t>
            </w:r>
          </w:p>
        </w:tc>
        <w:tc>
          <w:tcPr>
            <w:tcW w:w="1316" w:type="dxa"/>
            <w:shd w:val="clear" w:color="auto" w:fill="auto"/>
            <w:noWrap/>
            <w:vAlign w:val="center"/>
            <w:hideMark/>
          </w:tcPr>
          <w:p w14:paraId="1F903F4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5.7</w:t>
            </w:r>
          </w:p>
        </w:tc>
      </w:tr>
      <w:tr w:rsidR="007C424D" w:rsidRPr="00CD16BA" w14:paraId="10DEB48D" w14:textId="77777777" w:rsidTr="00EF5BA1">
        <w:trPr>
          <w:trHeight w:val="165"/>
          <w:jc w:val="center"/>
        </w:trPr>
        <w:tc>
          <w:tcPr>
            <w:tcW w:w="473" w:type="dxa"/>
            <w:vMerge/>
            <w:tcBorders>
              <w:bottom w:val="single" w:sz="4" w:space="0" w:color="000000"/>
            </w:tcBorders>
            <w:vAlign w:val="center"/>
            <w:hideMark/>
          </w:tcPr>
          <w:p w14:paraId="42D2D058" w14:textId="77777777" w:rsidR="007C424D" w:rsidRPr="00CD16BA" w:rsidRDefault="007C424D" w:rsidP="0039267A">
            <w:pPr>
              <w:rPr>
                <w:rFonts w:eastAsia="Times New Roman" w:cstheme="minorHAnsi"/>
                <w:b/>
                <w:bCs/>
                <w:sz w:val="20"/>
                <w:szCs w:val="20"/>
                <w:lang w:eastAsia="en-GB"/>
              </w:rPr>
            </w:pPr>
          </w:p>
        </w:tc>
        <w:tc>
          <w:tcPr>
            <w:tcW w:w="1795" w:type="dxa"/>
            <w:vMerge/>
            <w:tcBorders>
              <w:bottom w:val="single" w:sz="4" w:space="0" w:color="000000"/>
            </w:tcBorders>
            <w:vAlign w:val="center"/>
            <w:hideMark/>
          </w:tcPr>
          <w:p w14:paraId="2C8F9504" w14:textId="77777777" w:rsidR="007C424D" w:rsidRPr="00CD16BA" w:rsidRDefault="007C424D" w:rsidP="0039267A">
            <w:pPr>
              <w:jc w:val="center"/>
              <w:rPr>
                <w:rFonts w:eastAsia="Times New Roman" w:cstheme="minorHAnsi"/>
                <w:b/>
                <w:bCs/>
                <w:sz w:val="20"/>
                <w:szCs w:val="20"/>
                <w:lang w:eastAsia="en-GB"/>
              </w:rPr>
            </w:pPr>
          </w:p>
        </w:tc>
        <w:tc>
          <w:tcPr>
            <w:tcW w:w="2127" w:type="dxa"/>
            <w:tcBorders>
              <w:bottom w:val="single" w:sz="4" w:space="0" w:color="000000"/>
            </w:tcBorders>
            <w:shd w:val="clear" w:color="auto" w:fill="auto"/>
            <w:noWrap/>
            <w:vAlign w:val="center"/>
            <w:hideMark/>
          </w:tcPr>
          <w:p w14:paraId="1B547427"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400</w:t>
            </w:r>
          </w:p>
        </w:tc>
        <w:tc>
          <w:tcPr>
            <w:tcW w:w="1001" w:type="dxa"/>
            <w:tcBorders>
              <w:bottom w:val="single" w:sz="4" w:space="0" w:color="000000"/>
            </w:tcBorders>
            <w:shd w:val="clear" w:color="auto" w:fill="auto"/>
            <w:noWrap/>
            <w:vAlign w:val="center"/>
            <w:hideMark/>
          </w:tcPr>
          <w:p w14:paraId="11F8AA67"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tcBorders>
              <w:bottom w:val="single" w:sz="4" w:space="0" w:color="000000"/>
            </w:tcBorders>
            <w:shd w:val="clear" w:color="auto" w:fill="auto"/>
            <w:noWrap/>
            <w:vAlign w:val="center"/>
            <w:hideMark/>
          </w:tcPr>
          <w:p w14:paraId="0BADE7AB"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35.40</w:t>
            </w:r>
          </w:p>
        </w:tc>
        <w:tc>
          <w:tcPr>
            <w:tcW w:w="1316" w:type="dxa"/>
            <w:tcBorders>
              <w:bottom w:val="single" w:sz="4" w:space="0" w:color="000000"/>
            </w:tcBorders>
            <w:shd w:val="clear" w:color="auto" w:fill="auto"/>
            <w:noWrap/>
            <w:vAlign w:val="center"/>
            <w:hideMark/>
          </w:tcPr>
          <w:p w14:paraId="299D521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0.03</w:t>
            </w:r>
          </w:p>
        </w:tc>
        <w:tc>
          <w:tcPr>
            <w:tcW w:w="1316" w:type="dxa"/>
            <w:tcBorders>
              <w:bottom w:val="single" w:sz="4" w:space="0" w:color="000000"/>
            </w:tcBorders>
            <w:shd w:val="clear" w:color="auto" w:fill="auto"/>
            <w:noWrap/>
            <w:vAlign w:val="center"/>
            <w:hideMark/>
          </w:tcPr>
          <w:p w14:paraId="1362A3A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5.58</w:t>
            </w:r>
          </w:p>
        </w:tc>
        <w:tc>
          <w:tcPr>
            <w:tcW w:w="1316" w:type="dxa"/>
            <w:tcBorders>
              <w:bottom w:val="single" w:sz="4" w:space="0" w:color="000000"/>
            </w:tcBorders>
            <w:shd w:val="clear" w:color="auto" w:fill="auto"/>
            <w:noWrap/>
            <w:vAlign w:val="center"/>
            <w:hideMark/>
          </w:tcPr>
          <w:p w14:paraId="4A2C339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0.01</w:t>
            </w:r>
          </w:p>
        </w:tc>
        <w:tc>
          <w:tcPr>
            <w:tcW w:w="1316" w:type="dxa"/>
            <w:tcBorders>
              <w:bottom w:val="single" w:sz="4" w:space="0" w:color="000000"/>
            </w:tcBorders>
            <w:shd w:val="clear" w:color="auto" w:fill="auto"/>
            <w:noWrap/>
            <w:vAlign w:val="center"/>
            <w:hideMark/>
          </w:tcPr>
          <w:p w14:paraId="1CC3714F"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6.3</w:t>
            </w:r>
          </w:p>
        </w:tc>
      </w:tr>
      <w:tr w:rsidR="007C424D" w:rsidRPr="00CD16BA" w14:paraId="09139DE8" w14:textId="77777777" w:rsidTr="00EF5BA1">
        <w:trPr>
          <w:trHeight w:val="260"/>
          <w:jc w:val="center"/>
        </w:trPr>
        <w:tc>
          <w:tcPr>
            <w:tcW w:w="473" w:type="dxa"/>
            <w:vMerge w:val="restart"/>
            <w:tcBorders>
              <w:top w:val="single" w:sz="4" w:space="0" w:color="000000"/>
            </w:tcBorders>
            <w:shd w:val="clear" w:color="auto" w:fill="auto"/>
            <w:noWrap/>
            <w:textDirection w:val="btLr"/>
            <w:vAlign w:val="center"/>
            <w:hideMark/>
          </w:tcPr>
          <w:p w14:paraId="4AC13853"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Manganese</w:t>
            </w:r>
          </w:p>
        </w:tc>
        <w:tc>
          <w:tcPr>
            <w:tcW w:w="1795" w:type="dxa"/>
            <w:vMerge w:val="restart"/>
            <w:tcBorders>
              <w:top w:val="single" w:sz="4" w:space="0" w:color="000000"/>
            </w:tcBorders>
            <w:shd w:val="clear" w:color="auto" w:fill="auto"/>
            <w:noWrap/>
            <w:vAlign w:val="center"/>
            <w:hideMark/>
          </w:tcPr>
          <w:p w14:paraId="719A9D58"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Mineral (g/L)</w:t>
            </w:r>
          </w:p>
        </w:tc>
        <w:tc>
          <w:tcPr>
            <w:tcW w:w="2127" w:type="dxa"/>
            <w:vMerge w:val="restart"/>
            <w:tcBorders>
              <w:top w:val="single" w:sz="4" w:space="0" w:color="000000"/>
            </w:tcBorders>
            <w:shd w:val="clear" w:color="auto" w:fill="auto"/>
            <w:noWrap/>
            <w:vAlign w:val="center"/>
            <w:hideMark/>
          </w:tcPr>
          <w:p w14:paraId="539326F6"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0.5</w:t>
            </w:r>
          </w:p>
        </w:tc>
        <w:tc>
          <w:tcPr>
            <w:tcW w:w="1001" w:type="dxa"/>
            <w:tcBorders>
              <w:top w:val="single" w:sz="4" w:space="0" w:color="000000"/>
            </w:tcBorders>
            <w:shd w:val="clear" w:color="auto" w:fill="auto"/>
            <w:noWrap/>
            <w:vAlign w:val="center"/>
            <w:hideMark/>
          </w:tcPr>
          <w:p w14:paraId="4F4A9E1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Residue</w:t>
            </w:r>
          </w:p>
        </w:tc>
        <w:tc>
          <w:tcPr>
            <w:tcW w:w="1316" w:type="dxa"/>
            <w:tcBorders>
              <w:top w:val="single" w:sz="4" w:space="0" w:color="000000"/>
            </w:tcBorders>
            <w:shd w:val="clear" w:color="auto" w:fill="auto"/>
            <w:noWrap/>
            <w:vAlign w:val="center"/>
            <w:hideMark/>
          </w:tcPr>
          <w:p w14:paraId="7C9F68FC"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B.D.</w:t>
            </w:r>
          </w:p>
        </w:tc>
        <w:tc>
          <w:tcPr>
            <w:tcW w:w="1316" w:type="dxa"/>
            <w:tcBorders>
              <w:top w:val="single" w:sz="4" w:space="0" w:color="000000"/>
            </w:tcBorders>
            <w:shd w:val="clear" w:color="auto" w:fill="auto"/>
            <w:noWrap/>
            <w:vAlign w:val="center"/>
            <w:hideMark/>
          </w:tcPr>
          <w:p w14:paraId="0A8B9831"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c>
          <w:tcPr>
            <w:tcW w:w="1316" w:type="dxa"/>
            <w:tcBorders>
              <w:top w:val="single" w:sz="4" w:space="0" w:color="000000"/>
            </w:tcBorders>
            <w:shd w:val="clear" w:color="auto" w:fill="auto"/>
            <w:noWrap/>
            <w:vAlign w:val="center"/>
            <w:hideMark/>
          </w:tcPr>
          <w:p w14:paraId="285A410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B.D.</w:t>
            </w:r>
          </w:p>
        </w:tc>
        <w:tc>
          <w:tcPr>
            <w:tcW w:w="1316" w:type="dxa"/>
            <w:tcBorders>
              <w:top w:val="single" w:sz="4" w:space="0" w:color="000000"/>
            </w:tcBorders>
            <w:shd w:val="clear" w:color="auto" w:fill="auto"/>
            <w:noWrap/>
            <w:vAlign w:val="center"/>
            <w:hideMark/>
          </w:tcPr>
          <w:p w14:paraId="297D905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c>
          <w:tcPr>
            <w:tcW w:w="1316" w:type="dxa"/>
            <w:tcBorders>
              <w:top w:val="single" w:sz="4" w:space="0" w:color="000000"/>
            </w:tcBorders>
            <w:shd w:val="clear" w:color="auto" w:fill="auto"/>
            <w:noWrap/>
            <w:vAlign w:val="center"/>
            <w:hideMark/>
          </w:tcPr>
          <w:p w14:paraId="511761E6"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r>
      <w:tr w:rsidR="007C424D" w:rsidRPr="00CD16BA" w14:paraId="0595F36E" w14:textId="77777777" w:rsidTr="00EF5BA1">
        <w:trPr>
          <w:trHeight w:val="260"/>
          <w:jc w:val="center"/>
        </w:trPr>
        <w:tc>
          <w:tcPr>
            <w:tcW w:w="473" w:type="dxa"/>
            <w:vMerge/>
            <w:vAlign w:val="center"/>
            <w:hideMark/>
          </w:tcPr>
          <w:p w14:paraId="509D8F98"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479A8A8B" w14:textId="77777777" w:rsidR="007C424D" w:rsidRPr="00CD16BA" w:rsidRDefault="007C424D" w:rsidP="0039267A">
            <w:pPr>
              <w:jc w:val="center"/>
              <w:rPr>
                <w:rFonts w:eastAsia="Times New Roman" w:cstheme="minorHAnsi"/>
                <w:b/>
                <w:bCs/>
                <w:sz w:val="20"/>
                <w:szCs w:val="20"/>
                <w:lang w:eastAsia="en-GB"/>
              </w:rPr>
            </w:pPr>
          </w:p>
        </w:tc>
        <w:tc>
          <w:tcPr>
            <w:tcW w:w="2127" w:type="dxa"/>
            <w:vMerge/>
            <w:vAlign w:val="center"/>
            <w:hideMark/>
          </w:tcPr>
          <w:p w14:paraId="0EC1C58C" w14:textId="77777777" w:rsidR="007C424D" w:rsidRPr="00CD16BA" w:rsidRDefault="007C424D" w:rsidP="0039267A">
            <w:pPr>
              <w:jc w:val="center"/>
              <w:rPr>
                <w:rFonts w:eastAsia="Times New Roman" w:cstheme="minorHAnsi"/>
                <w:sz w:val="20"/>
                <w:szCs w:val="20"/>
                <w:lang w:eastAsia="en-GB"/>
              </w:rPr>
            </w:pPr>
          </w:p>
        </w:tc>
        <w:tc>
          <w:tcPr>
            <w:tcW w:w="1001" w:type="dxa"/>
            <w:shd w:val="clear" w:color="auto" w:fill="auto"/>
            <w:noWrap/>
            <w:vAlign w:val="center"/>
            <w:hideMark/>
          </w:tcPr>
          <w:p w14:paraId="3AC4578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shd w:val="clear" w:color="auto" w:fill="auto"/>
            <w:noWrap/>
            <w:vAlign w:val="center"/>
            <w:hideMark/>
          </w:tcPr>
          <w:p w14:paraId="195F0E2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33.48</w:t>
            </w:r>
          </w:p>
        </w:tc>
        <w:tc>
          <w:tcPr>
            <w:tcW w:w="1316" w:type="dxa"/>
            <w:shd w:val="clear" w:color="auto" w:fill="auto"/>
            <w:noWrap/>
            <w:vAlign w:val="center"/>
            <w:hideMark/>
          </w:tcPr>
          <w:p w14:paraId="6EAE601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0.10</w:t>
            </w:r>
          </w:p>
        </w:tc>
        <w:tc>
          <w:tcPr>
            <w:tcW w:w="1316" w:type="dxa"/>
            <w:shd w:val="clear" w:color="auto" w:fill="auto"/>
            <w:noWrap/>
            <w:vAlign w:val="center"/>
            <w:hideMark/>
          </w:tcPr>
          <w:p w14:paraId="32A8D9C6"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5.64</w:t>
            </w:r>
          </w:p>
        </w:tc>
        <w:tc>
          <w:tcPr>
            <w:tcW w:w="1316" w:type="dxa"/>
            <w:shd w:val="clear" w:color="auto" w:fill="auto"/>
            <w:noWrap/>
            <w:vAlign w:val="center"/>
            <w:hideMark/>
          </w:tcPr>
          <w:p w14:paraId="12B75A2C"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0.03</w:t>
            </w:r>
          </w:p>
        </w:tc>
        <w:tc>
          <w:tcPr>
            <w:tcW w:w="1316" w:type="dxa"/>
            <w:shd w:val="clear" w:color="auto" w:fill="auto"/>
            <w:noWrap/>
            <w:vAlign w:val="center"/>
            <w:hideMark/>
          </w:tcPr>
          <w:p w14:paraId="1F0B0A46"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5.9</w:t>
            </w:r>
          </w:p>
        </w:tc>
      </w:tr>
      <w:tr w:rsidR="007C424D" w:rsidRPr="00CD16BA" w14:paraId="6515E8A8" w14:textId="77777777" w:rsidTr="00EF5BA1">
        <w:trPr>
          <w:trHeight w:val="260"/>
          <w:jc w:val="center"/>
        </w:trPr>
        <w:tc>
          <w:tcPr>
            <w:tcW w:w="473" w:type="dxa"/>
            <w:vMerge/>
            <w:vAlign w:val="center"/>
            <w:hideMark/>
          </w:tcPr>
          <w:p w14:paraId="64A867D3"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2BA3F194" w14:textId="77777777" w:rsidR="007C424D" w:rsidRPr="00CD16BA" w:rsidRDefault="007C424D" w:rsidP="0039267A">
            <w:pPr>
              <w:jc w:val="center"/>
              <w:rPr>
                <w:rFonts w:eastAsia="Times New Roman" w:cstheme="minorHAnsi"/>
                <w:b/>
                <w:bCs/>
                <w:sz w:val="20"/>
                <w:szCs w:val="20"/>
                <w:lang w:eastAsia="en-GB"/>
              </w:rPr>
            </w:pPr>
          </w:p>
        </w:tc>
        <w:tc>
          <w:tcPr>
            <w:tcW w:w="2127" w:type="dxa"/>
            <w:vMerge w:val="restart"/>
            <w:shd w:val="clear" w:color="auto" w:fill="auto"/>
            <w:noWrap/>
            <w:vAlign w:val="center"/>
            <w:hideMark/>
          </w:tcPr>
          <w:p w14:paraId="4B77922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1.5</w:t>
            </w:r>
          </w:p>
        </w:tc>
        <w:tc>
          <w:tcPr>
            <w:tcW w:w="1001" w:type="dxa"/>
            <w:shd w:val="clear" w:color="auto" w:fill="auto"/>
            <w:noWrap/>
            <w:vAlign w:val="center"/>
            <w:hideMark/>
          </w:tcPr>
          <w:p w14:paraId="452DF44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Residue</w:t>
            </w:r>
          </w:p>
        </w:tc>
        <w:tc>
          <w:tcPr>
            <w:tcW w:w="1316" w:type="dxa"/>
            <w:shd w:val="clear" w:color="auto" w:fill="auto"/>
            <w:noWrap/>
            <w:vAlign w:val="center"/>
            <w:hideMark/>
          </w:tcPr>
          <w:p w14:paraId="0F00032F"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B.D.</w:t>
            </w:r>
          </w:p>
        </w:tc>
        <w:tc>
          <w:tcPr>
            <w:tcW w:w="1316" w:type="dxa"/>
            <w:shd w:val="clear" w:color="auto" w:fill="auto"/>
            <w:noWrap/>
            <w:vAlign w:val="center"/>
            <w:hideMark/>
          </w:tcPr>
          <w:p w14:paraId="0E86E3F1"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c>
          <w:tcPr>
            <w:tcW w:w="1316" w:type="dxa"/>
            <w:shd w:val="clear" w:color="auto" w:fill="auto"/>
            <w:noWrap/>
            <w:vAlign w:val="center"/>
            <w:hideMark/>
          </w:tcPr>
          <w:p w14:paraId="67E33B1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B.D.</w:t>
            </w:r>
          </w:p>
        </w:tc>
        <w:tc>
          <w:tcPr>
            <w:tcW w:w="1316" w:type="dxa"/>
            <w:shd w:val="clear" w:color="auto" w:fill="auto"/>
            <w:noWrap/>
            <w:vAlign w:val="center"/>
            <w:hideMark/>
          </w:tcPr>
          <w:p w14:paraId="135DBC97"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c>
          <w:tcPr>
            <w:tcW w:w="1316" w:type="dxa"/>
            <w:shd w:val="clear" w:color="auto" w:fill="auto"/>
            <w:noWrap/>
            <w:vAlign w:val="center"/>
            <w:hideMark/>
          </w:tcPr>
          <w:p w14:paraId="0E18B64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r>
      <w:tr w:rsidR="007C424D" w:rsidRPr="00CD16BA" w14:paraId="06300F48" w14:textId="77777777" w:rsidTr="00EF5BA1">
        <w:trPr>
          <w:trHeight w:val="260"/>
          <w:jc w:val="center"/>
        </w:trPr>
        <w:tc>
          <w:tcPr>
            <w:tcW w:w="473" w:type="dxa"/>
            <w:vMerge/>
            <w:vAlign w:val="center"/>
            <w:hideMark/>
          </w:tcPr>
          <w:p w14:paraId="148B6294"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425190AC" w14:textId="77777777" w:rsidR="007C424D" w:rsidRPr="00CD16BA" w:rsidRDefault="007C424D" w:rsidP="0039267A">
            <w:pPr>
              <w:jc w:val="center"/>
              <w:rPr>
                <w:rFonts w:eastAsia="Times New Roman" w:cstheme="minorHAnsi"/>
                <w:b/>
                <w:bCs/>
                <w:sz w:val="20"/>
                <w:szCs w:val="20"/>
                <w:lang w:eastAsia="en-GB"/>
              </w:rPr>
            </w:pPr>
          </w:p>
        </w:tc>
        <w:tc>
          <w:tcPr>
            <w:tcW w:w="2127" w:type="dxa"/>
            <w:vMerge/>
            <w:vAlign w:val="center"/>
            <w:hideMark/>
          </w:tcPr>
          <w:p w14:paraId="4E27E635" w14:textId="77777777" w:rsidR="007C424D" w:rsidRPr="00CD16BA" w:rsidRDefault="007C424D" w:rsidP="0039267A">
            <w:pPr>
              <w:jc w:val="center"/>
              <w:rPr>
                <w:rFonts w:eastAsia="Times New Roman" w:cstheme="minorHAnsi"/>
                <w:sz w:val="20"/>
                <w:szCs w:val="20"/>
                <w:lang w:eastAsia="en-GB"/>
              </w:rPr>
            </w:pPr>
          </w:p>
        </w:tc>
        <w:tc>
          <w:tcPr>
            <w:tcW w:w="1001" w:type="dxa"/>
            <w:shd w:val="clear" w:color="auto" w:fill="auto"/>
            <w:noWrap/>
            <w:vAlign w:val="center"/>
            <w:hideMark/>
          </w:tcPr>
          <w:p w14:paraId="6BB7634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shd w:val="clear" w:color="auto" w:fill="auto"/>
            <w:noWrap/>
            <w:vAlign w:val="center"/>
            <w:hideMark/>
          </w:tcPr>
          <w:p w14:paraId="7568ADC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33.87</w:t>
            </w:r>
          </w:p>
        </w:tc>
        <w:tc>
          <w:tcPr>
            <w:tcW w:w="1316" w:type="dxa"/>
            <w:shd w:val="clear" w:color="auto" w:fill="auto"/>
            <w:noWrap/>
            <w:vAlign w:val="center"/>
            <w:hideMark/>
          </w:tcPr>
          <w:p w14:paraId="4BE079FF"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0.07</w:t>
            </w:r>
          </w:p>
        </w:tc>
        <w:tc>
          <w:tcPr>
            <w:tcW w:w="1316" w:type="dxa"/>
            <w:shd w:val="clear" w:color="auto" w:fill="auto"/>
            <w:noWrap/>
            <w:vAlign w:val="center"/>
            <w:hideMark/>
          </w:tcPr>
          <w:p w14:paraId="7DB5147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5.48</w:t>
            </w:r>
          </w:p>
        </w:tc>
        <w:tc>
          <w:tcPr>
            <w:tcW w:w="1316" w:type="dxa"/>
            <w:shd w:val="clear" w:color="auto" w:fill="auto"/>
            <w:noWrap/>
            <w:vAlign w:val="center"/>
            <w:hideMark/>
          </w:tcPr>
          <w:p w14:paraId="26DED121"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0.31</w:t>
            </w:r>
          </w:p>
        </w:tc>
        <w:tc>
          <w:tcPr>
            <w:tcW w:w="1316" w:type="dxa"/>
            <w:shd w:val="clear" w:color="auto" w:fill="auto"/>
            <w:noWrap/>
            <w:vAlign w:val="center"/>
            <w:hideMark/>
          </w:tcPr>
          <w:p w14:paraId="4D09A5F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6.2</w:t>
            </w:r>
          </w:p>
        </w:tc>
      </w:tr>
      <w:tr w:rsidR="007C424D" w:rsidRPr="00CD16BA" w14:paraId="3FF2E872" w14:textId="77777777" w:rsidTr="00EF5BA1">
        <w:trPr>
          <w:trHeight w:val="260"/>
          <w:jc w:val="center"/>
        </w:trPr>
        <w:tc>
          <w:tcPr>
            <w:tcW w:w="473" w:type="dxa"/>
            <w:vMerge/>
            <w:vAlign w:val="center"/>
            <w:hideMark/>
          </w:tcPr>
          <w:p w14:paraId="7CC6F2E0" w14:textId="77777777" w:rsidR="007C424D" w:rsidRPr="00CD16BA" w:rsidRDefault="007C424D" w:rsidP="0039267A">
            <w:pPr>
              <w:rPr>
                <w:rFonts w:eastAsia="Times New Roman" w:cstheme="minorHAnsi"/>
                <w:b/>
                <w:bCs/>
                <w:sz w:val="20"/>
                <w:szCs w:val="20"/>
                <w:lang w:eastAsia="en-GB"/>
              </w:rPr>
            </w:pPr>
          </w:p>
        </w:tc>
        <w:tc>
          <w:tcPr>
            <w:tcW w:w="1795" w:type="dxa"/>
            <w:vMerge/>
            <w:vAlign w:val="center"/>
            <w:hideMark/>
          </w:tcPr>
          <w:p w14:paraId="776084A4" w14:textId="77777777" w:rsidR="007C424D" w:rsidRPr="00CD16BA" w:rsidRDefault="007C424D" w:rsidP="0039267A">
            <w:pPr>
              <w:jc w:val="center"/>
              <w:rPr>
                <w:rFonts w:eastAsia="Times New Roman" w:cstheme="minorHAnsi"/>
                <w:b/>
                <w:bCs/>
                <w:sz w:val="20"/>
                <w:szCs w:val="20"/>
                <w:lang w:eastAsia="en-GB"/>
              </w:rPr>
            </w:pPr>
          </w:p>
        </w:tc>
        <w:tc>
          <w:tcPr>
            <w:tcW w:w="2127" w:type="dxa"/>
            <w:vMerge w:val="restart"/>
            <w:shd w:val="clear" w:color="auto" w:fill="auto"/>
            <w:noWrap/>
            <w:vAlign w:val="center"/>
            <w:hideMark/>
          </w:tcPr>
          <w:p w14:paraId="4CCD7EC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2.5</w:t>
            </w:r>
          </w:p>
        </w:tc>
        <w:tc>
          <w:tcPr>
            <w:tcW w:w="1001" w:type="dxa"/>
            <w:shd w:val="clear" w:color="auto" w:fill="auto"/>
            <w:noWrap/>
            <w:vAlign w:val="center"/>
            <w:hideMark/>
          </w:tcPr>
          <w:p w14:paraId="0285E4E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Residue</w:t>
            </w:r>
          </w:p>
        </w:tc>
        <w:tc>
          <w:tcPr>
            <w:tcW w:w="1316" w:type="dxa"/>
            <w:shd w:val="clear" w:color="auto" w:fill="auto"/>
            <w:noWrap/>
            <w:vAlign w:val="center"/>
            <w:hideMark/>
          </w:tcPr>
          <w:p w14:paraId="65AC0DE5"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B.D.</w:t>
            </w:r>
          </w:p>
        </w:tc>
        <w:tc>
          <w:tcPr>
            <w:tcW w:w="1316" w:type="dxa"/>
            <w:shd w:val="clear" w:color="auto" w:fill="auto"/>
            <w:noWrap/>
            <w:vAlign w:val="center"/>
            <w:hideMark/>
          </w:tcPr>
          <w:p w14:paraId="149DF41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c>
          <w:tcPr>
            <w:tcW w:w="1316" w:type="dxa"/>
            <w:shd w:val="clear" w:color="auto" w:fill="auto"/>
            <w:noWrap/>
            <w:vAlign w:val="center"/>
            <w:hideMark/>
          </w:tcPr>
          <w:p w14:paraId="0AA913E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B.D.</w:t>
            </w:r>
          </w:p>
        </w:tc>
        <w:tc>
          <w:tcPr>
            <w:tcW w:w="1316" w:type="dxa"/>
            <w:shd w:val="clear" w:color="auto" w:fill="auto"/>
            <w:noWrap/>
            <w:vAlign w:val="center"/>
            <w:hideMark/>
          </w:tcPr>
          <w:p w14:paraId="136D7C0F"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c>
          <w:tcPr>
            <w:tcW w:w="1316" w:type="dxa"/>
            <w:shd w:val="clear" w:color="auto" w:fill="auto"/>
            <w:noWrap/>
            <w:vAlign w:val="center"/>
            <w:hideMark/>
          </w:tcPr>
          <w:p w14:paraId="6A3CF79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w:t>
            </w:r>
          </w:p>
        </w:tc>
      </w:tr>
      <w:tr w:rsidR="007C424D" w:rsidRPr="00CD16BA" w14:paraId="3340D197" w14:textId="77777777" w:rsidTr="00EF5BA1">
        <w:trPr>
          <w:trHeight w:val="260"/>
          <w:jc w:val="center"/>
        </w:trPr>
        <w:tc>
          <w:tcPr>
            <w:tcW w:w="473" w:type="dxa"/>
            <w:vMerge/>
            <w:vAlign w:val="center"/>
            <w:hideMark/>
          </w:tcPr>
          <w:p w14:paraId="64CC24AB" w14:textId="77777777" w:rsidR="007C424D" w:rsidRPr="00CD16BA" w:rsidRDefault="007C424D" w:rsidP="0039267A">
            <w:pPr>
              <w:rPr>
                <w:rFonts w:eastAsia="Times New Roman" w:cstheme="minorHAnsi"/>
                <w:b/>
                <w:bCs/>
                <w:sz w:val="20"/>
                <w:szCs w:val="20"/>
                <w:lang w:eastAsia="en-GB"/>
              </w:rPr>
            </w:pPr>
          </w:p>
        </w:tc>
        <w:tc>
          <w:tcPr>
            <w:tcW w:w="1795" w:type="dxa"/>
            <w:vMerge/>
            <w:tcBorders>
              <w:bottom w:val="single" w:sz="4" w:space="0" w:color="000000"/>
            </w:tcBorders>
            <w:vAlign w:val="center"/>
            <w:hideMark/>
          </w:tcPr>
          <w:p w14:paraId="06A7AA5D" w14:textId="77777777" w:rsidR="007C424D" w:rsidRPr="00CD16BA" w:rsidRDefault="007C424D" w:rsidP="0039267A">
            <w:pPr>
              <w:jc w:val="center"/>
              <w:rPr>
                <w:rFonts w:eastAsia="Times New Roman" w:cstheme="minorHAnsi"/>
                <w:b/>
                <w:bCs/>
                <w:sz w:val="20"/>
                <w:szCs w:val="20"/>
                <w:lang w:eastAsia="en-GB"/>
              </w:rPr>
            </w:pPr>
          </w:p>
        </w:tc>
        <w:tc>
          <w:tcPr>
            <w:tcW w:w="2127" w:type="dxa"/>
            <w:vMerge/>
            <w:tcBorders>
              <w:bottom w:val="single" w:sz="4" w:space="0" w:color="000000"/>
            </w:tcBorders>
            <w:vAlign w:val="center"/>
            <w:hideMark/>
          </w:tcPr>
          <w:p w14:paraId="693F5706" w14:textId="77777777" w:rsidR="007C424D" w:rsidRPr="00CD16BA" w:rsidRDefault="007C424D" w:rsidP="0039267A">
            <w:pPr>
              <w:jc w:val="center"/>
              <w:rPr>
                <w:rFonts w:eastAsia="Times New Roman" w:cstheme="minorHAnsi"/>
                <w:sz w:val="20"/>
                <w:szCs w:val="20"/>
                <w:lang w:eastAsia="en-GB"/>
              </w:rPr>
            </w:pPr>
          </w:p>
        </w:tc>
        <w:tc>
          <w:tcPr>
            <w:tcW w:w="1001" w:type="dxa"/>
            <w:tcBorders>
              <w:bottom w:val="single" w:sz="4" w:space="0" w:color="000000"/>
            </w:tcBorders>
            <w:shd w:val="clear" w:color="auto" w:fill="auto"/>
            <w:noWrap/>
            <w:vAlign w:val="center"/>
            <w:hideMark/>
          </w:tcPr>
          <w:p w14:paraId="3DFA6596"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tcBorders>
              <w:bottom w:val="single" w:sz="4" w:space="0" w:color="000000"/>
            </w:tcBorders>
            <w:shd w:val="clear" w:color="auto" w:fill="auto"/>
            <w:noWrap/>
            <w:vAlign w:val="center"/>
            <w:hideMark/>
          </w:tcPr>
          <w:p w14:paraId="4A17EE41"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36.23</w:t>
            </w:r>
          </w:p>
        </w:tc>
        <w:tc>
          <w:tcPr>
            <w:tcW w:w="1316" w:type="dxa"/>
            <w:tcBorders>
              <w:bottom w:val="single" w:sz="4" w:space="0" w:color="000000"/>
            </w:tcBorders>
            <w:shd w:val="clear" w:color="auto" w:fill="auto"/>
            <w:noWrap/>
            <w:vAlign w:val="center"/>
            <w:hideMark/>
          </w:tcPr>
          <w:p w14:paraId="131C0763"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0.07</w:t>
            </w:r>
          </w:p>
        </w:tc>
        <w:tc>
          <w:tcPr>
            <w:tcW w:w="1316" w:type="dxa"/>
            <w:tcBorders>
              <w:bottom w:val="single" w:sz="4" w:space="0" w:color="000000"/>
            </w:tcBorders>
            <w:shd w:val="clear" w:color="auto" w:fill="auto"/>
            <w:noWrap/>
            <w:vAlign w:val="center"/>
            <w:hideMark/>
          </w:tcPr>
          <w:p w14:paraId="3554174A"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2.96</w:t>
            </w:r>
          </w:p>
        </w:tc>
        <w:tc>
          <w:tcPr>
            <w:tcW w:w="1316" w:type="dxa"/>
            <w:tcBorders>
              <w:bottom w:val="single" w:sz="4" w:space="0" w:color="000000"/>
            </w:tcBorders>
            <w:shd w:val="clear" w:color="auto" w:fill="auto"/>
            <w:noWrap/>
            <w:vAlign w:val="center"/>
            <w:hideMark/>
          </w:tcPr>
          <w:p w14:paraId="760E3FC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0.02</w:t>
            </w:r>
          </w:p>
        </w:tc>
        <w:tc>
          <w:tcPr>
            <w:tcW w:w="1316" w:type="dxa"/>
            <w:tcBorders>
              <w:bottom w:val="single" w:sz="4" w:space="0" w:color="000000"/>
            </w:tcBorders>
            <w:shd w:val="clear" w:color="auto" w:fill="auto"/>
            <w:noWrap/>
            <w:vAlign w:val="center"/>
            <w:hideMark/>
          </w:tcPr>
          <w:p w14:paraId="1BB2BE7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12.2</w:t>
            </w:r>
          </w:p>
        </w:tc>
      </w:tr>
      <w:tr w:rsidR="007C424D" w:rsidRPr="00CD16BA" w14:paraId="3D331693" w14:textId="77777777" w:rsidTr="00EF5BA1">
        <w:trPr>
          <w:trHeight w:val="263"/>
          <w:jc w:val="center"/>
        </w:trPr>
        <w:tc>
          <w:tcPr>
            <w:tcW w:w="473" w:type="dxa"/>
            <w:vMerge/>
            <w:vAlign w:val="center"/>
            <w:hideMark/>
          </w:tcPr>
          <w:p w14:paraId="58B54DD8" w14:textId="77777777" w:rsidR="007C424D" w:rsidRPr="00CD16BA" w:rsidRDefault="007C424D" w:rsidP="0039267A">
            <w:pPr>
              <w:rPr>
                <w:rFonts w:eastAsia="Times New Roman" w:cstheme="minorHAnsi"/>
                <w:b/>
                <w:bCs/>
                <w:sz w:val="20"/>
                <w:szCs w:val="20"/>
                <w:lang w:eastAsia="en-GB"/>
              </w:rPr>
            </w:pPr>
          </w:p>
        </w:tc>
        <w:tc>
          <w:tcPr>
            <w:tcW w:w="1795" w:type="dxa"/>
            <w:vMerge w:val="restart"/>
            <w:tcBorders>
              <w:top w:val="single" w:sz="4" w:space="0" w:color="000000"/>
            </w:tcBorders>
            <w:shd w:val="clear" w:color="auto" w:fill="auto"/>
            <w:noWrap/>
            <w:vAlign w:val="center"/>
            <w:hideMark/>
          </w:tcPr>
          <w:p w14:paraId="3E7835F4" w14:textId="77777777" w:rsidR="007C424D" w:rsidRPr="00CD16BA" w:rsidRDefault="007C424D" w:rsidP="0039267A">
            <w:pPr>
              <w:jc w:val="center"/>
              <w:rPr>
                <w:rFonts w:eastAsia="Times New Roman" w:cstheme="minorHAnsi"/>
                <w:b/>
                <w:bCs/>
                <w:sz w:val="20"/>
                <w:szCs w:val="20"/>
                <w:lang w:eastAsia="en-GB"/>
              </w:rPr>
            </w:pPr>
            <w:r w:rsidRPr="00CD16BA">
              <w:rPr>
                <w:rFonts w:eastAsia="Times New Roman" w:cstheme="minorHAnsi"/>
                <w:b/>
                <w:bCs/>
                <w:sz w:val="20"/>
                <w:szCs w:val="20"/>
                <w:lang w:eastAsia="en-GB"/>
              </w:rPr>
              <w:t>Dissolved (</w:t>
            </w:r>
            <w:r w:rsidRPr="00CD16BA">
              <w:rPr>
                <w:rFonts w:cs="Lucida Grande"/>
                <w:b/>
                <w:sz w:val="22"/>
                <w:szCs w:val="22"/>
              </w:rPr>
              <w:t>μ</w:t>
            </w:r>
            <w:r w:rsidRPr="00CD16BA">
              <w:rPr>
                <w:rFonts w:eastAsia="Times New Roman" w:cstheme="minorHAnsi"/>
                <w:b/>
                <w:bCs/>
                <w:sz w:val="20"/>
                <w:szCs w:val="20"/>
                <w:lang w:eastAsia="en-GB"/>
              </w:rPr>
              <w:t>M)</w:t>
            </w:r>
          </w:p>
        </w:tc>
        <w:tc>
          <w:tcPr>
            <w:tcW w:w="2127" w:type="dxa"/>
            <w:tcBorders>
              <w:top w:val="single" w:sz="4" w:space="0" w:color="000000"/>
            </w:tcBorders>
            <w:shd w:val="clear" w:color="auto" w:fill="auto"/>
            <w:noWrap/>
            <w:vAlign w:val="center"/>
            <w:hideMark/>
          </w:tcPr>
          <w:p w14:paraId="24BAAD5B"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150</w:t>
            </w:r>
          </w:p>
        </w:tc>
        <w:tc>
          <w:tcPr>
            <w:tcW w:w="1001" w:type="dxa"/>
            <w:tcBorders>
              <w:top w:val="single" w:sz="4" w:space="0" w:color="000000"/>
            </w:tcBorders>
            <w:shd w:val="clear" w:color="auto" w:fill="auto"/>
            <w:noWrap/>
            <w:vAlign w:val="center"/>
            <w:hideMark/>
          </w:tcPr>
          <w:p w14:paraId="28993C2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tcBorders>
              <w:top w:val="single" w:sz="4" w:space="0" w:color="000000"/>
            </w:tcBorders>
            <w:shd w:val="clear" w:color="auto" w:fill="auto"/>
            <w:noWrap/>
            <w:vAlign w:val="center"/>
            <w:hideMark/>
          </w:tcPr>
          <w:p w14:paraId="19A456B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33.21</w:t>
            </w:r>
          </w:p>
        </w:tc>
        <w:tc>
          <w:tcPr>
            <w:tcW w:w="1316" w:type="dxa"/>
            <w:tcBorders>
              <w:top w:val="single" w:sz="4" w:space="0" w:color="000000"/>
            </w:tcBorders>
            <w:shd w:val="clear" w:color="auto" w:fill="auto"/>
            <w:noWrap/>
            <w:vAlign w:val="center"/>
            <w:hideMark/>
          </w:tcPr>
          <w:p w14:paraId="509F821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0.23</w:t>
            </w:r>
          </w:p>
        </w:tc>
        <w:tc>
          <w:tcPr>
            <w:tcW w:w="1316" w:type="dxa"/>
            <w:tcBorders>
              <w:top w:val="single" w:sz="4" w:space="0" w:color="000000"/>
            </w:tcBorders>
            <w:shd w:val="clear" w:color="auto" w:fill="auto"/>
            <w:noWrap/>
            <w:vAlign w:val="center"/>
            <w:hideMark/>
          </w:tcPr>
          <w:p w14:paraId="124DD35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5.23</w:t>
            </w:r>
          </w:p>
        </w:tc>
        <w:tc>
          <w:tcPr>
            <w:tcW w:w="1316" w:type="dxa"/>
            <w:tcBorders>
              <w:top w:val="single" w:sz="4" w:space="0" w:color="000000"/>
            </w:tcBorders>
            <w:shd w:val="clear" w:color="auto" w:fill="auto"/>
            <w:noWrap/>
            <w:vAlign w:val="center"/>
            <w:hideMark/>
          </w:tcPr>
          <w:p w14:paraId="4EB19289"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0.33</w:t>
            </w:r>
          </w:p>
        </w:tc>
        <w:tc>
          <w:tcPr>
            <w:tcW w:w="1316" w:type="dxa"/>
            <w:tcBorders>
              <w:top w:val="single" w:sz="4" w:space="0" w:color="000000"/>
            </w:tcBorders>
            <w:shd w:val="clear" w:color="auto" w:fill="auto"/>
            <w:noWrap/>
            <w:vAlign w:val="center"/>
            <w:hideMark/>
          </w:tcPr>
          <w:p w14:paraId="0D4F7B1F"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6.3</w:t>
            </w:r>
          </w:p>
        </w:tc>
      </w:tr>
      <w:tr w:rsidR="007C424D" w:rsidRPr="00CD16BA" w14:paraId="252ECC63" w14:textId="77777777" w:rsidTr="00EF5BA1">
        <w:trPr>
          <w:trHeight w:val="139"/>
          <w:jc w:val="center"/>
        </w:trPr>
        <w:tc>
          <w:tcPr>
            <w:tcW w:w="473" w:type="dxa"/>
            <w:vMerge/>
            <w:vAlign w:val="center"/>
            <w:hideMark/>
          </w:tcPr>
          <w:p w14:paraId="6BF5D5B9" w14:textId="77777777" w:rsidR="007C424D" w:rsidRPr="00CD16BA" w:rsidRDefault="007C424D" w:rsidP="0039267A">
            <w:pPr>
              <w:rPr>
                <w:rFonts w:eastAsia="Times New Roman" w:cstheme="minorHAnsi"/>
                <w:sz w:val="20"/>
                <w:szCs w:val="20"/>
                <w:lang w:eastAsia="en-GB"/>
              </w:rPr>
            </w:pPr>
          </w:p>
        </w:tc>
        <w:tc>
          <w:tcPr>
            <w:tcW w:w="1795" w:type="dxa"/>
            <w:vMerge/>
            <w:vAlign w:val="center"/>
            <w:hideMark/>
          </w:tcPr>
          <w:p w14:paraId="51150F9E" w14:textId="77777777" w:rsidR="007C424D" w:rsidRPr="00CD16BA" w:rsidRDefault="007C424D" w:rsidP="0039267A">
            <w:pPr>
              <w:jc w:val="center"/>
              <w:rPr>
                <w:rFonts w:eastAsia="Times New Roman" w:cstheme="minorHAnsi"/>
                <w:sz w:val="20"/>
                <w:szCs w:val="20"/>
                <w:lang w:eastAsia="en-GB"/>
              </w:rPr>
            </w:pPr>
          </w:p>
        </w:tc>
        <w:tc>
          <w:tcPr>
            <w:tcW w:w="2127" w:type="dxa"/>
            <w:shd w:val="clear" w:color="auto" w:fill="auto"/>
            <w:noWrap/>
            <w:vAlign w:val="center"/>
            <w:hideMark/>
          </w:tcPr>
          <w:p w14:paraId="30051284"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300</w:t>
            </w:r>
          </w:p>
        </w:tc>
        <w:tc>
          <w:tcPr>
            <w:tcW w:w="1001" w:type="dxa"/>
            <w:shd w:val="clear" w:color="auto" w:fill="auto"/>
            <w:noWrap/>
            <w:vAlign w:val="center"/>
            <w:hideMark/>
          </w:tcPr>
          <w:p w14:paraId="4DA41DE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shd w:val="clear" w:color="auto" w:fill="auto"/>
            <w:noWrap/>
            <w:vAlign w:val="center"/>
            <w:hideMark/>
          </w:tcPr>
          <w:p w14:paraId="2C1D1458"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31.46</w:t>
            </w:r>
          </w:p>
        </w:tc>
        <w:tc>
          <w:tcPr>
            <w:tcW w:w="1316" w:type="dxa"/>
            <w:shd w:val="clear" w:color="auto" w:fill="auto"/>
            <w:noWrap/>
            <w:vAlign w:val="center"/>
            <w:hideMark/>
          </w:tcPr>
          <w:p w14:paraId="72A2487C"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0.09</w:t>
            </w:r>
          </w:p>
        </w:tc>
        <w:tc>
          <w:tcPr>
            <w:tcW w:w="1316" w:type="dxa"/>
            <w:shd w:val="clear" w:color="auto" w:fill="auto"/>
            <w:noWrap/>
            <w:vAlign w:val="center"/>
            <w:hideMark/>
          </w:tcPr>
          <w:p w14:paraId="56C3B90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4.88</w:t>
            </w:r>
          </w:p>
        </w:tc>
        <w:tc>
          <w:tcPr>
            <w:tcW w:w="1316" w:type="dxa"/>
            <w:shd w:val="clear" w:color="auto" w:fill="auto"/>
            <w:noWrap/>
            <w:vAlign w:val="center"/>
            <w:hideMark/>
          </w:tcPr>
          <w:p w14:paraId="2D9F193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0.33</w:t>
            </w:r>
          </w:p>
        </w:tc>
        <w:tc>
          <w:tcPr>
            <w:tcW w:w="1316" w:type="dxa"/>
            <w:shd w:val="clear" w:color="auto" w:fill="auto"/>
            <w:noWrap/>
            <w:vAlign w:val="center"/>
            <w:hideMark/>
          </w:tcPr>
          <w:p w14:paraId="4B981A1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6.4</w:t>
            </w:r>
          </w:p>
        </w:tc>
      </w:tr>
      <w:tr w:rsidR="007C424D" w:rsidRPr="00CD16BA" w14:paraId="26057C2E" w14:textId="77777777" w:rsidTr="00EF5BA1">
        <w:trPr>
          <w:trHeight w:val="171"/>
          <w:jc w:val="center"/>
        </w:trPr>
        <w:tc>
          <w:tcPr>
            <w:tcW w:w="473" w:type="dxa"/>
            <w:vMerge/>
            <w:tcBorders>
              <w:bottom w:val="single" w:sz="8" w:space="0" w:color="000000"/>
            </w:tcBorders>
            <w:vAlign w:val="center"/>
            <w:hideMark/>
          </w:tcPr>
          <w:p w14:paraId="0F63C37D" w14:textId="77777777" w:rsidR="007C424D" w:rsidRPr="00CD16BA" w:rsidRDefault="007C424D" w:rsidP="0039267A">
            <w:pPr>
              <w:rPr>
                <w:rFonts w:eastAsia="Times New Roman" w:cstheme="minorHAnsi"/>
                <w:sz w:val="20"/>
                <w:szCs w:val="20"/>
                <w:lang w:eastAsia="en-GB"/>
              </w:rPr>
            </w:pPr>
          </w:p>
        </w:tc>
        <w:tc>
          <w:tcPr>
            <w:tcW w:w="1795" w:type="dxa"/>
            <w:vMerge/>
            <w:tcBorders>
              <w:bottom w:val="single" w:sz="8" w:space="0" w:color="000000"/>
            </w:tcBorders>
            <w:vAlign w:val="center"/>
            <w:hideMark/>
          </w:tcPr>
          <w:p w14:paraId="014F5DDE" w14:textId="77777777" w:rsidR="007C424D" w:rsidRPr="00CD16BA" w:rsidRDefault="007C424D" w:rsidP="0039267A">
            <w:pPr>
              <w:jc w:val="center"/>
              <w:rPr>
                <w:rFonts w:eastAsia="Times New Roman" w:cstheme="minorHAnsi"/>
                <w:sz w:val="20"/>
                <w:szCs w:val="20"/>
                <w:lang w:eastAsia="en-GB"/>
              </w:rPr>
            </w:pPr>
          </w:p>
        </w:tc>
        <w:tc>
          <w:tcPr>
            <w:tcW w:w="2127" w:type="dxa"/>
            <w:tcBorders>
              <w:bottom w:val="single" w:sz="8" w:space="0" w:color="000000"/>
            </w:tcBorders>
            <w:shd w:val="clear" w:color="auto" w:fill="auto"/>
            <w:noWrap/>
            <w:vAlign w:val="center"/>
            <w:hideMark/>
          </w:tcPr>
          <w:p w14:paraId="5CD0BDC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400</w:t>
            </w:r>
          </w:p>
        </w:tc>
        <w:tc>
          <w:tcPr>
            <w:tcW w:w="1001" w:type="dxa"/>
            <w:tcBorders>
              <w:bottom w:val="single" w:sz="8" w:space="0" w:color="000000"/>
            </w:tcBorders>
            <w:shd w:val="clear" w:color="auto" w:fill="auto"/>
            <w:noWrap/>
            <w:vAlign w:val="center"/>
            <w:hideMark/>
          </w:tcPr>
          <w:p w14:paraId="4F0C601E"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Dialyte</w:t>
            </w:r>
          </w:p>
        </w:tc>
        <w:tc>
          <w:tcPr>
            <w:tcW w:w="1316" w:type="dxa"/>
            <w:tcBorders>
              <w:bottom w:val="single" w:sz="8" w:space="0" w:color="000000"/>
            </w:tcBorders>
            <w:shd w:val="clear" w:color="auto" w:fill="auto"/>
            <w:noWrap/>
            <w:vAlign w:val="center"/>
            <w:hideMark/>
          </w:tcPr>
          <w:p w14:paraId="28D03D62"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32.16</w:t>
            </w:r>
          </w:p>
        </w:tc>
        <w:tc>
          <w:tcPr>
            <w:tcW w:w="1316" w:type="dxa"/>
            <w:tcBorders>
              <w:bottom w:val="single" w:sz="8" w:space="0" w:color="000000"/>
            </w:tcBorders>
            <w:shd w:val="clear" w:color="auto" w:fill="auto"/>
            <w:noWrap/>
            <w:vAlign w:val="center"/>
            <w:hideMark/>
          </w:tcPr>
          <w:p w14:paraId="57CFB450"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4.70</w:t>
            </w:r>
          </w:p>
        </w:tc>
        <w:tc>
          <w:tcPr>
            <w:tcW w:w="1316" w:type="dxa"/>
            <w:tcBorders>
              <w:bottom w:val="single" w:sz="8" w:space="0" w:color="000000"/>
            </w:tcBorders>
            <w:shd w:val="clear" w:color="auto" w:fill="auto"/>
            <w:noWrap/>
            <w:vAlign w:val="center"/>
            <w:hideMark/>
          </w:tcPr>
          <w:p w14:paraId="5645477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4.83</w:t>
            </w:r>
          </w:p>
        </w:tc>
        <w:tc>
          <w:tcPr>
            <w:tcW w:w="1316" w:type="dxa"/>
            <w:tcBorders>
              <w:bottom w:val="single" w:sz="8" w:space="0" w:color="000000"/>
            </w:tcBorders>
            <w:shd w:val="clear" w:color="auto" w:fill="auto"/>
            <w:noWrap/>
            <w:vAlign w:val="center"/>
            <w:hideMark/>
          </w:tcPr>
          <w:p w14:paraId="3AD46BDD"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0.36</w:t>
            </w:r>
          </w:p>
        </w:tc>
        <w:tc>
          <w:tcPr>
            <w:tcW w:w="1316" w:type="dxa"/>
            <w:tcBorders>
              <w:bottom w:val="single" w:sz="8" w:space="0" w:color="000000"/>
            </w:tcBorders>
            <w:shd w:val="clear" w:color="auto" w:fill="auto"/>
            <w:noWrap/>
            <w:vAlign w:val="center"/>
            <w:hideMark/>
          </w:tcPr>
          <w:p w14:paraId="023AD4E1" w14:textId="77777777" w:rsidR="007C424D" w:rsidRPr="00CD16BA" w:rsidRDefault="007C424D" w:rsidP="0039267A">
            <w:pPr>
              <w:jc w:val="center"/>
              <w:rPr>
                <w:rFonts w:eastAsia="Times New Roman" w:cstheme="minorHAnsi"/>
                <w:sz w:val="20"/>
                <w:szCs w:val="20"/>
                <w:lang w:eastAsia="en-GB"/>
              </w:rPr>
            </w:pPr>
            <w:r w:rsidRPr="00CD16BA">
              <w:rPr>
                <w:rFonts w:eastAsia="Times New Roman" w:cstheme="minorHAnsi"/>
                <w:sz w:val="20"/>
                <w:szCs w:val="20"/>
                <w:lang w:eastAsia="en-GB"/>
              </w:rPr>
              <w:t>6.7</w:t>
            </w:r>
          </w:p>
        </w:tc>
      </w:tr>
    </w:tbl>
    <w:p w14:paraId="3B79AC48" w14:textId="77777777" w:rsidR="007C424D" w:rsidRPr="00CD16BA" w:rsidRDefault="007C424D" w:rsidP="0039267A">
      <w:pPr>
        <w:rPr>
          <w:lang w:val="en-US"/>
        </w:rPr>
        <w:sectPr w:rsidR="007C424D" w:rsidRPr="00CD16BA" w:rsidSect="0039267A">
          <w:pgSz w:w="16840" w:h="11900" w:orient="landscape"/>
          <w:pgMar w:top="1440" w:right="1440" w:bottom="1440" w:left="1440" w:header="708" w:footer="708" w:gutter="0"/>
          <w:lnNumType w:countBy="1" w:restart="continuous"/>
          <w:cols w:space="708"/>
          <w:docGrid w:linePitch="360"/>
        </w:sectPr>
      </w:pPr>
    </w:p>
    <w:p w14:paraId="4F850B0D" w14:textId="77777777" w:rsidR="007C424D" w:rsidRPr="00CD16BA" w:rsidRDefault="007C424D" w:rsidP="0039267A">
      <w:pPr>
        <w:ind w:firstLine="142"/>
        <w:rPr>
          <w:sz w:val="22"/>
          <w:szCs w:val="22"/>
          <w:lang w:val="en-US"/>
        </w:rPr>
      </w:pPr>
      <w:r w:rsidRPr="00CD16BA">
        <w:rPr>
          <w:b/>
          <w:sz w:val="22"/>
          <w:szCs w:val="22"/>
          <w:lang w:val="en-US"/>
        </w:rPr>
        <w:lastRenderedPageBreak/>
        <w:t>Supplementary Table 2</w:t>
      </w:r>
      <w:r w:rsidRPr="00CD16BA">
        <w:rPr>
          <w:sz w:val="22"/>
          <w:szCs w:val="22"/>
          <w:lang w:val="en-US"/>
        </w:rPr>
        <w:t>. Continental shelf sediments investigated with NEXAFS spectroscopy.</w:t>
      </w:r>
    </w:p>
    <w:p w14:paraId="3E05C2DF" w14:textId="77777777" w:rsidR="007C424D" w:rsidRPr="00CD16BA" w:rsidRDefault="007C424D" w:rsidP="0039267A">
      <w:pPr>
        <w:ind w:left="142"/>
        <w:jc w:val="both"/>
        <w:rPr>
          <w:sz w:val="22"/>
          <w:szCs w:val="22"/>
          <w:lang w:val="en-US"/>
        </w:rPr>
      </w:pPr>
      <w:r w:rsidRPr="00CD16BA">
        <w:rPr>
          <w:sz w:val="22"/>
          <w:szCs w:val="22"/>
          <w:lang w:val="en-US"/>
        </w:rPr>
        <w:t xml:space="preserve">We compare the spectral fingerprint of our GPS to the spectroscopic signature of total OC and N </w:t>
      </w:r>
      <w:r w:rsidRPr="00CD16BA">
        <w:rPr>
          <w:rFonts w:eastAsia="Times New Roman" w:cs="Calibri"/>
          <w:bCs/>
          <w:sz w:val="22"/>
          <w:szCs w:val="22"/>
          <w:shd w:val="clear" w:color="auto" w:fill="FFFFFF"/>
          <w:lang w:eastAsia="en-GB"/>
        </w:rPr>
        <w:t xml:space="preserve">in continental margin sediments from a global sample set, as well as to marine DOC. </w:t>
      </w:r>
      <w:r w:rsidRPr="00CD16BA">
        <w:rPr>
          <w:sz w:val="22"/>
          <w:szCs w:val="22"/>
          <w:lang w:val="en-US"/>
        </w:rPr>
        <w:t xml:space="preserve">Our samples are all from continental shelf settings (water depth </w:t>
      </w:r>
      <w:r w:rsidRPr="00CD16BA">
        <w:rPr>
          <w:sz w:val="22"/>
          <w:szCs w:val="22"/>
          <w:lang w:val="en-US"/>
        </w:rPr>
        <w:sym w:font="Symbol" w:char="F0A3"/>
      </w:r>
      <w:r w:rsidRPr="00CD16BA">
        <w:rPr>
          <w:sz w:val="22"/>
          <w:szCs w:val="22"/>
          <w:lang w:val="en-US"/>
        </w:rPr>
        <w:t>200 m) across a range of latitudes from 76</w:t>
      </w:r>
      <w:r w:rsidRPr="00CD16BA">
        <w:rPr>
          <w:sz w:val="22"/>
          <w:szCs w:val="22"/>
          <w:vertAlign w:val="superscript"/>
          <w:lang w:val="en-US"/>
        </w:rPr>
        <w:t>o</w:t>
      </w:r>
      <w:r w:rsidRPr="00CD16BA">
        <w:rPr>
          <w:sz w:val="22"/>
          <w:szCs w:val="22"/>
          <w:lang w:val="en-US"/>
        </w:rPr>
        <w:t xml:space="preserve"> N (Arctic) to 54</w:t>
      </w:r>
      <w:r w:rsidRPr="00CD16BA">
        <w:rPr>
          <w:sz w:val="22"/>
          <w:szCs w:val="22"/>
          <w:vertAlign w:val="superscript"/>
          <w:lang w:val="en-US"/>
        </w:rPr>
        <w:t>o</w:t>
      </w:r>
      <w:r w:rsidRPr="00CD16BA">
        <w:rPr>
          <w:sz w:val="22"/>
          <w:szCs w:val="22"/>
          <w:lang w:val="en-US"/>
        </w:rPr>
        <w:t xml:space="preserve"> S (Sub-Antarctic) and a range of ages from recent sediments (Antarctic, Uruguay, Eastern Seaboard, Celtic Sea and Arctic, ~0 </w:t>
      </w:r>
      <w:proofErr w:type="spellStart"/>
      <w:r w:rsidRPr="00CD16BA">
        <w:rPr>
          <w:sz w:val="22"/>
          <w:szCs w:val="22"/>
          <w:lang w:val="en-US"/>
        </w:rPr>
        <w:t>kyr</w:t>
      </w:r>
      <w:proofErr w:type="spellEnd"/>
      <w:r w:rsidRPr="00CD16BA">
        <w:rPr>
          <w:sz w:val="22"/>
          <w:szCs w:val="22"/>
          <w:lang w:val="en-US"/>
        </w:rPr>
        <w:t xml:space="preserve">), Holocene sediments (Eastern Mediterranean, ~3.8 </w:t>
      </w:r>
      <w:proofErr w:type="spellStart"/>
      <w:r w:rsidRPr="00CD16BA">
        <w:rPr>
          <w:sz w:val="22"/>
          <w:szCs w:val="22"/>
          <w:lang w:val="en-US"/>
        </w:rPr>
        <w:t>kyr</w:t>
      </w:r>
      <w:proofErr w:type="spellEnd"/>
      <w:r w:rsidRPr="00CD16BA">
        <w:rPr>
          <w:sz w:val="22"/>
          <w:szCs w:val="22"/>
          <w:lang w:val="en-US"/>
        </w:rPr>
        <w:t>) to Miocene sediments</w:t>
      </w:r>
      <w:r w:rsidRPr="00EF5BA1">
        <w:rPr>
          <w:noProof/>
          <w:sz w:val="22"/>
          <w:szCs w:val="22"/>
          <w:vertAlign w:val="superscript"/>
          <w:lang w:val="en-US"/>
        </w:rPr>
        <w:t>23,58</w:t>
      </w:r>
      <w:r w:rsidRPr="00CD16BA">
        <w:rPr>
          <w:sz w:val="22"/>
          <w:szCs w:val="22"/>
          <w:lang w:val="en-US"/>
        </w:rPr>
        <w:t xml:space="preserve"> (Monterey Formation deposited between 6-17 Ma). </w:t>
      </w:r>
    </w:p>
    <w:p w14:paraId="7E11B3FC" w14:textId="77777777" w:rsidR="007C424D" w:rsidRPr="00CD16BA" w:rsidRDefault="007C424D" w:rsidP="0039267A">
      <w:pPr>
        <w:rPr>
          <w:sz w:val="22"/>
          <w:szCs w:val="22"/>
          <w:lang w:val="en-US"/>
        </w:rPr>
      </w:pPr>
    </w:p>
    <w:tbl>
      <w:tblPr>
        <w:tblW w:w="7650" w:type="dxa"/>
        <w:jc w:val="center"/>
        <w:tblLook w:val="04A0" w:firstRow="1" w:lastRow="0" w:firstColumn="1" w:lastColumn="0" w:noHBand="0" w:noVBand="1"/>
      </w:tblPr>
      <w:tblGrid>
        <w:gridCol w:w="3256"/>
        <w:gridCol w:w="1507"/>
        <w:gridCol w:w="1753"/>
        <w:gridCol w:w="1134"/>
      </w:tblGrid>
      <w:tr w:rsidR="007C424D" w:rsidRPr="00CD16BA" w14:paraId="2F7E2798" w14:textId="77777777" w:rsidTr="00EF5BA1">
        <w:trPr>
          <w:trHeight w:val="320"/>
          <w:jc w:val="center"/>
        </w:trPr>
        <w:tc>
          <w:tcPr>
            <w:tcW w:w="3256" w:type="dxa"/>
            <w:tcBorders>
              <w:top w:val="single" w:sz="12" w:space="0" w:color="000000"/>
              <w:bottom w:val="single" w:sz="12" w:space="0" w:color="000000"/>
            </w:tcBorders>
            <w:shd w:val="clear" w:color="auto" w:fill="auto"/>
            <w:noWrap/>
            <w:vAlign w:val="center"/>
            <w:hideMark/>
          </w:tcPr>
          <w:p w14:paraId="0832B5A0" w14:textId="77777777" w:rsidR="007C424D" w:rsidRPr="00CD16BA" w:rsidRDefault="007C424D" w:rsidP="0039267A">
            <w:pPr>
              <w:jc w:val="center"/>
              <w:rPr>
                <w:rFonts w:ascii="Calibri" w:eastAsia="Times New Roman" w:hAnsi="Calibri" w:cs="Calibri"/>
                <w:b/>
                <w:bCs/>
                <w:sz w:val="22"/>
                <w:szCs w:val="22"/>
                <w:lang w:eastAsia="en-GB"/>
              </w:rPr>
            </w:pPr>
            <w:r w:rsidRPr="00CD16BA">
              <w:rPr>
                <w:rFonts w:ascii="Calibri" w:eastAsia="Times New Roman" w:hAnsi="Calibri" w:cs="Calibri"/>
                <w:b/>
                <w:bCs/>
                <w:sz w:val="22"/>
                <w:szCs w:val="22"/>
                <w:lang w:eastAsia="en-GB"/>
              </w:rPr>
              <w:t>Location</w:t>
            </w:r>
          </w:p>
        </w:tc>
        <w:tc>
          <w:tcPr>
            <w:tcW w:w="1507" w:type="dxa"/>
            <w:tcBorders>
              <w:top w:val="single" w:sz="12" w:space="0" w:color="000000"/>
              <w:bottom w:val="single" w:sz="12" w:space="0" w:color="000000"/>
            </w:tcBorders>
            <w:shd w:val="clear" w:color="auto" w:fill="auto"/>
            <w:noWrap/>
            <w:vAlign w:val="center"/>
            <w:hideMark/>
          </w:tcPr>
          <w:p w14:paraId="1C6E5DF8" w14:textId="77777777" w:rsidR="007C424D" w:rsidRPr="00CD16BA" w:rsidRDefault="007C424D" w:rsidP="0039267A">
            <w:pPr>
              <w:jc w:val="center"/>
              <w:rPr>
                <w:rFonts w:ascii="Calibri" w:eastAsia="Times New Roman" w:hAnsi="Calibri" w:cs="Calibri"/>
                <w:b/>
                <w:bCs/>
                <w:sz w:val="22"/>
                <w:szCs w:val="22"/>
                <w:lang w:eastAsia="en-GB"/>
              </w:rPr>
            </w:pPr>
            <w:r w:rsidRPr="00CD16BA">
              <w:rPr>
                <w:rFonts w:ascii="Calibri" w:eastAsia="Times New Roman" w:hAnsi="Calibri" w:cs="Calibri"/>
                <w:b/>
                <w:bCs/>
                <w:sz w:val="22"/>
                <w:szCs w:val="22"/>
                <w:lang w:eastAsia="en-GB"/>
              </w:rPr>
              <w:t>Latitude (</w:t>
            </w:r>
            <w:r w:rsidRPr="00CD16BA">
              <w:rPr>
                <w:rFonts w:ascii="Calibri" w:eastAsia="Times New Roman" w:hAnsi="Calibri" w:cs="Calibri"/>
                <w:b/>
                <w:bCs/>
                <w:sz w:val="22"/>
                <w:szCs w:val="22"/>
                <w:lang w:eastAsia="en-GB"/>
              </w:rPr>
              <w:sym w:font="Symbol" w:char="F0B0"/>
            </w:r>
            <w:r w:rsidRPr="00CD16BA">
              <w:rPr>
                <w:rFonts w:ascii="Calibri" w:eastAsia="Times New Roman" w:hAnsi="Calibri" w:cs="Calibri"/>
                <w:b/>
                <w:bCs/>
                <w:sz w:val="22"/>
                <w:szCs w:val="22"/>
                <w:lang w:eastAsia="en-GB"/>
              </w:rPr>
              <w:t>N)</w:t>
            </w:r>
          </w:p>
        </w:tc>
        <w:tc>
          <w:tcPr>
            <w:tcW w:w="1753" w:type="dxa"/>
            <w:tcBorders>
              <w:top w:val="single" w:sz="12" w:space="0" w:color="000000"/>
              <w:bottom w:val="single" w:sz="12" w:space="0" w:color="000000"/>
            </w:tcBorders>
            <w:shd w:val="clear" w:color="auto" w:fill="auto"/>
            <w:noWrap/>
            <w:vAlign w:val="center"/>
            <w:hideMark/>
          </w:tcPr>
          <w:p w14:paraId="5117B854" w14:textId="77777777" w:rsidR="007C424D" w:rsidRPr="00CD16BA" w:rsidRDefault="007C424D" w:rsidP="0039267A">
            <w:pPr>
              <w:jc w:val="center"/>
              <w:rPr>
                <w:rFonts w:ascii="Calibri" w:eastAsia="Times New Roman" w:hAnsi="Calibri" w:cs="Calibri"/>
                <w:b/>
                <w:bCs/>
                <w:sz w:val="22"/>
                <w:szCs w:val="22"/>
                <w:lang w:eastAsia="en-GB"/>
              </w:rPr>
            </w:pPr>
            <w:r w:rsidRPr="00CD16BA">
              <w:rPr>
                <w:rFonts w:ascii="Calibri" w:eastAsia="Times New Roman" w:hAnsi="Calibri" w:cs="Calibri"/>
                <w:b/>
                <w:bCs/>
                <w:sz w:val="22"/>
                <w:szCs w:val="22"/>
                <w:lang w:eastAsia="en-GB"/>
              </w:rPr>
              <w:t>Longitude (</w:t>
            </w:r>
            <w:r w:rsidRPr="00CD16BA">
              <w:rPr>
                <w:rFonts w:ascii="Calibri" w:eastAsia="Times New Roman" w:hAnsi="Calibri" w:cs="Calibri"/>
                <w:b/>
                <w:bCs/>
                <w:sz w:val="22"/>
                <w:szCs w:val="22"/>
                <w:lang w:eastAsia="en-GB"/>
              </w:rPr>
              <w:sym w:font="Symbol" w:char="F0B0"/>
            </w:r>
            <w:r w:rsidRPr="00CD16BA">
              <w:rPr>
                <w:rFonts w:ascii="Calibri" w:eastAsia="Times New Roman" w:hAnsi="Calibri" w:cs="Calibri"/>
                <w:b/>
                <w:bCs/>
                <w:sz w:val="22"/>
                <w:szCs w:val="22"/>
                <w:lang w:eastAsia="en-GB"/>
              </w:rPr>
              <w:t>E)</w:t>
            </w:r>
          </w:p>
        </w:tc>
        <w:tc>
          <w:tcPr>
            <w:tcW w:w="1134" w:type="dxa"/>
            <w:tcBorders>
              <w:top w:val="single" w:sz="12" w:space="0" w:color="000000"/>
              <w:bottom w:val="single" w:sz="12" w:space="0" w:color="000000"/>
            </w:tcBorders>
            <w:shd w:val="clear" w:color="auto" w:fill="auto"/>
            <w:noWrap/>
            <w:vAlign w:val="center"/>
            <w:hideMark/>
          </w:tcPr>
          <w:p w14:paraId="16074210" w14:textId="77777777" w:rsidR="007C424D" w:rsidRPr="00CD16BA" w:rsidRDefault="007C424D" w:rsidP="0039267A">
            <w:pPr>
              <w:jc w:val="center"/>
              <w:rPr>
                <w:rFonts w:ascii="Calibri" w:eastAsia="Times New Roman" w:hAnsi="Calibri" w:cs="Calibri"/>
                <w:b/>
                <w:bCs/>
                <w:sz w:val="22"/>
                <w:szCs w:val="22"/>
                <w:lang w:eastAsia="en-GB"/>
              </w:rPr>
            </w:pPr>
            <w:r w:rsidRPr="00CD16BA">
              <w:rPr>
                <w:rFonts w:ascii="Calibri" w:eastAsia="Times New Roman" w:hAnsi="Calibri" w:cs="Calibri"/>
                <w:b/>
                <w:bCs/>
                <w:sz w:val="22"/>
                <w:szCs w:val="22"/>
                <w:lang w:eastAsia="en-GB"/>
              </w:rPr>
              <w:t>TOC (dwt%)</w:t>
            </w:r>
          </w:p>
        </w:tc>
      </w:tr>
      <w:tr w:rsidR="007C424D" w:rsidRPr="00CD16BA" w14:paraId="75CAFC28" w14:textId="77777777" w:rsidTr="00EF5BA1">
        <w:trPr>
          <w:trHeight w:val="320"/>
          <w:jc w:val="center"/>
        </w:trPr>
        <w:tc>
          <w:tcPr>
            <w:tcW w:w="3256" w:type="dxa"/>
            <w:tcBorders>
              <w:top w:val="single" w:sz="12" w:space="0" w:color="000000"/>
            </w:tcBorders>
            <w:shd w:val="clear" w:color="auto" w:fill="auto"/>
            <w:noWrap/>
            <w:vAlign w:val="center"/>
            <w:hideMark/>
          </w:tcPr>
          <w:p w14:paraId="15C1CC83"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Sub-Antarctic</w:t>
            </w:r>
          </w:p>
        </w:tc>
        <w:tc>
          <w:tcPr>
            <w:tcW w:w="1507" w:type="dxa"/>
            <w:tcBorders>
              <w:top w:val="single" w:sz="12" w:space="0" w:color="000000"/>
            </w:tcBorders>
            <w:shd w:val="clear" w:color="auto" w:fill="auto"/>
            <w:noWrap/>
            <w:vAlign w:val="center"/>
            <w:hideMark/>
          </w:tcPr>
          <w:p w14:paraId="46CF6C58"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-54.16</w:t>
            </w:r>
          </w:p>
        </w:tc>
        <w:tc>
          <w:tcPr>
            <w:tcW w:w="1753" w:type="dxa"/>
            <w:tcBorders>
              <w:top w:val="single" w:sz="12" w:space="0" w:color="000000"/>
            </w:tcBorders>
            <w:shd w:val="clear" w:color="auto" w:fill="auto"/>
            <w:noWrap/>
            <w:vAlign w:val="center"/>
            <w:hideMark/>
          </w:tcPr>
          <w:p w14:paraId="1E7C52FF"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-37.98</w:t>
            </w:r>
          </w:p>
        </w:tc>
        <w:tc>
          <w:tcPr>
            <w:tcW w:w="1134" w:type="dxa"/>
            <w:tcBorders>
              <w:top w:val="single" w:sz="12" w:space="0" w:color="000000"/>
            </w:tcBorders>
            <w:shd w:val="clear" w:color="auto" w:fill="auto"/>
            <w:noWrap/>
            <w:vAlign w:val="center"/>
            <w:hideMark/>
          </w:tcPr>
          <w:p w14:paraId="2288D11D"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1.22</w:t>
            </w:r>
          </w:p>
        </w:tc>
      </w:tr>
      <w:tr w:rsidR="007C424D" w:rsidRPr="00CD16BA" w14:paraId="5CF3AADA" w14:textId="77777777" w:rsidTr="00EF5BA1">
        <w:trPr>
          <w:trHeight w:val="320"/>
          <w:jc w:val="center"/>
        </w:trPr>
        <w:tc>
          <w:tcPr>
            <w:tcW w:w="3256" w:type="dxa"/>
            <w:shd w:val="clear" w:color="auto" w:fill="auto"/>
            <w:noWrap/>
            <w:vAlign w:val="center"/>
            <w:hideMark/>
          </w:tcPr>
          <w:p w14:paraId="07387455"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Uruguay</w:t>
            </w:r>
          </w:p>
        </w:tc>
        <w:tc>
          <w:tcPr>
            <w:tcW w:w="1507" w:type="dxa"/>
            <w:shd w:val="clear" w:color="auto" w:fill="auto"/>
            <w:noWrap/>
            <w:vAlign w:val="center"/>
            <w:hideMark/>
          </w:tcPr>
          <w:p w14:paraId="1BD3A6A4"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-36.46</w:t>
            </w:r>
          </w:p>
        </w:tc>
        <w:tc>
          <w:tcPr>
            <w:tcW w:w="1753" w:type="dxa"/>
            <w:shd w:val="clear" w:color="auto" w:fill="auto"/>
            <w:noWrap/>
            <w:vAlign w:val="center"/>
            <w:hideMark/>
          </w:tcPr>
          <w:p w14:paraId="21AC992D"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-53.16</w:t>
            </w:r>
          </w:p>
        </w:tc>
        <w:tc>
          <w:tcPr>
            <w:tcW w:w="1134" w:type="dxa"/>
            <w:shd w:val="clear" w:color="auto" w:fill="auto"/>
            <w:noWrap/>
            <w:vAlign w:val="center"/>
            <w:hideMark/>
          </w:tcPr>
          <w:p w14:paraId="757D24A4"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1.09</w:t>
            </w:r>
          </w:p>
        </w:tc>
      </w:tr>
      <w:tr w:rsidR="007C424D" w:rsidRPr="00CD16BA" w14:paraId="4478C032" w14:textId="77777777" w:rsidTr="00EF5BA1">
        <w:trPr>
          <w:trHeight w:val="320"/>
          <w:jc w:val="center"/>
        </w:trPr>
        <w:tc>
          <w:tcPr>
            <w:tcW w:w="3256" w:type="dxa"/>
            <w:shd w:val="clear" w:color="auto" w:fill="auto"/>
            <w:noWrap/>
            <w:vAlign w:val="center"/>
            <w:hideMark/>
          </w:tcPr>
          <w:p w14:paraId="0AEE5007"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Eastern Mediterranean</w:t>
            </w:r>
          </w:p>
        </w:tc>
        <w:tc>
          <w:tcPr>
            <w:tcW w:w="1507" w:type="dxa"/>
            <w:shd w:val="clear" w:color="auto" w:fill="auto"/>
            <w:noWrap/>
            <w:vAlign w:val="center"/>
            <w:hideMark/>
          </w:tcPr>
          <w:p w14:paraId="7380E66B"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32.01</w:t>
            </w:r>
          </w:p>
        </w:tc>
        <w:tc>
          <w:tcPr>
            <w:tcW w:w="1753" w:type="dxa"/>
            <w:shd w:val="clear" w:color="auto" w:fill="auto"/>
            <w:noWrap/>
            <w:vAlign w:val="center"/>
            <w:hideMark/>
          </w:tcPr>
          <w:p w14:paraId="33149AD2"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34.16</w:t>
            </w:r>
          </w:p>
        </w:tc>
        <w:tc>
          <w:tcPr>
            <w:tcW w:w="1134" w:type="dxa"/>
            <w:shd w:val="clear" w:color="auto" w:fill="auto"/>
            <w:noWrap/>
            <w:vAlign w:val="center"/>
            <w:hideMark/>
          </w:tcPr>
          <w:p w14:paraId="38843F2F"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0.56</w:t>
            </w:r>
          </w:p>
        </w:tc>
      </w:tr>
      <w:tr w:rsidR="007C424D" w:rsidRPr="00CD16BA" w14:paraId="1DE3F547" w14:textId="77777777" w:rsidTr="00EF5BA1">
        <w:trPr>
          <w:trHeight w:val="320"/>
          <w:jc w:val="center"/>
        </w:trPr>
        <w:tc>
          <w:tcPr>
            <w:tcW w:w="3256" w:type="dxa"/>
            <w:shd w:val="clear" w:color="auto" w:fill="auto"/>
            <w:noWrap/>
            <w:vAlign w:val="center"/>
            <w:hideMark/>
          </w:tcPr>
          <w:p w14:paraId="67721B00"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Chesapeake Bay (NIST1941b)</w:t>
            </w:r>
          </w:p>
        </w:tc>
        <w:tc>
          <w:tcPr>
            <w:tcW w:w="1507" w:type="dxa"/>
            <w:shd w:val="clear" w:color="auto" w:fill="auto"/>
            <w:noWrap/>
            <w:vAlign w:val="center"/>
            <w:hideMark/>
          </w:tcPr>
          <w:p w14:paraId="1F82AADD"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39.20</w:t>
            </w:r>
          </w:p>
        </w:tc>
        <w:tc>
          <w:tcPr>
            <w:tcW w:w="1753" w:type="dxa"/>
            <w:shd w:val="clear" w:color="auto" w:fill="auto"/>
            <w:noWrap/>
            <w:vAlign w:val="center"/>
            <w:hideMark/>
          </w:tcPr>
          <w:p w14:paraId="72E1AE48"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-76.52</w:t>
            </w:r>
          </w:p>
        </w:tc>
        <w:tc>
          <w:tcPr>
            <w:tcW w:w="1134" w:type="dxa"/>
            <w:shd w:val="clear" w:color="auto" w:fill="auto"/>
            <w:noWrap/>
            <w:vAlign w:val="center"/>
            <w:hideMark/>
          </w:tcPr>
          <w:p w14:paraId="56E803BB"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2.99</w:t>
            </w:r>
          </w:p>
        </w:tc>
      </w:tr>
      <w:tr w:rsidR="007C424D" w:rsidRPr="00CD16BA" w14:paraId="4B379841" w14:textId="77777777" w:rsidTr="00EF5BA1">
        <w:trPr>
          <w:trHeight w:val="320"/>
          <w:jc w:val="center"/>
        </w:trPr>
        <w:tc>
          <w:tcPr>
            <w:tcW w:w="3256" w:type="dxa"/>
            <w:shd w:val="clear" w:color="auto" w:fill="auto"/>
            <w:noWrap/>
            <w:vAlign w:val="center"/>
            <w:hideMark/>
          </w:tcPr>
          <w:p w14:paraId="4D455E30"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Celtic Sea</w:t>
            </w:r>
          </w:p>
        </w:tc>
        <w:tc>
          <w:tcPr>
            <w:tcW w:w="1507" w:type="dxa"/>
            <w:shd w:val="clear" w:color="auto" w:fill="auto"/>
            <w:noWrap/>
            <w:vAlign w:val="center"/>
            <w:hideMark/>
          </w:tcPr>
          <w:p w14:paraId="793B3685"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51.20</w:t>
            </w:r>
          </w:p>
        </w:tc>
        <w:tc>
          <w:tcPr>
            <w:tcW w:w="1753" w:type="dxa"/>
            <w:shd w:val="clear" w:color="auto" w:fill="auto"/>
            <w:noWrap/>
            <w:vAlign w:val="center"/>
            <w:hideMark/>
          </w:tcPr>
          <w:p w14:paraId="6FA77969"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-6.13</w:t>
            </w:r>
          </w:p>
        </w:tc>
        <w:tc>
          <w:tcPr>
            <w:tcW w:w="1134" w:type="dxa"/>
            <w:shd w:val="clear" w:color="auto" w:fill="auto"/>
            <w:noWrap/>
            <w:vAlign w:val="center"/>
            <w:hideMark/>
          </w:tcPr>
          <w:p w14:paraId="06E99CF8"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1.34</w:t>
            </w:r>
          </w:p>
        </w:tc>
      </w:tr>
      <w:tr w:rsidR="007C424D" w:rsidRPr="00CD16BA" w14:paraId="4A54C2E8" w14:textId="77777777" w:rsidTr="00EF5BA1">
        <w:trPr>
          <w:trHeight w:val="320"/>
          <w:jc w:val="center"/>
        </w:trPr>
        <w:tc>
          <w:tcPr>
            <w:tcW w:w="3256" w:type="dxa"/>
            <w:shd w:val="clear" w:color="auto" w:fill="auto"/>
            <w:noWrap/>
            <w:vAlign w:val="center"/>
            <w:hideMark/>
          </w:tcPr>
          <w:p w14:paraId="2ED8DE5D"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Arctic</w:t>
            </w:r>
          </w:p>
        </w:tc>
        <w:tc>
          <w:tcPr>
            <w:tcW w:w="1507" w:type="dxa"/>
            <w:shd w:val="clear" w:color="auto" w:fill="auto"/>
            <w:noWrap/>
            <w:vAlign w:val="center"/>
            <w:hideMark/>
          </w:tcPr>
          <w:p w14:paraId="50D76D13"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76.49</w:t>
            </w:r>
          </w:p>
        </w:tc>
        <w:tc>
          <w:tcPr>
            <w:tcW w:w="1753" w:type="dxa"/>
            <w:shd w:val="clear" w:color="auto" w:fill="auto"/>
            <w:noWrap/>
            <w:vAlign w:val="center"/>
            <w:hideMark/>
          </w:tcPr>
          <w:p w14:paraId="73806331"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30.50</w:t>
            </w:r>
          </w:p>
        </w:tc>
        <w:tc>
          <w:tcPr>
            <w:tcW w:w="1134" w:type="dxa"/>
            <w:shd w:val="clear" w:color="auto" w:fill="auto"/>
            <w:noWrap/>
            <w:vAlign w:val="center"/>
            <w:hideMark/>
          </w:tcPr>
          <w:p w14:paraId="1F6A4138"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2.60</w:t>
            </w:r>
          </w:p>
        </w:tc>
      </w:tr>
      <w:tr w:rsidR="007C424D" w:rsidRPr="00CD16BA" w14:paraId="4666B5D4" w14:textId="77777777" w:rsidTr="00EF5BA1">
        <w:trPr>
          <w:trHeight w:val="320"/>
          <w:jc w:val="center"/>
        </w:trPr>
        <w:tc>
          <w:tcPr>
            <w:tcW w:w="3256" w:type="dxa"/>
            <w:shd w:val="clear" w:color="auto" w:fill="auto"/>
            <w:noWrap/>
            <w:vAlign w:val="center"/>
          </w:tcPr>
          <w:p w14:paraId="30C615A6"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Miocene Monterey Formation</w:t>
            </w:r>
          </w:p>
        </w:tc>
        <w:tc>
          <w:tcPr>
            <w:tcW w:w="1507" w:type="dxa"/>
            <w:shd w:val="clear" w:color="auto" w:fill="auto"/>
            <w:noWrap/>
            <w:vAlign w:val="center"/>
          </w:tcPr>
          <w:p w14:paraId="3A395334"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36.36</w:t>
            </w:r>
          </w:p>
        </w:tc>
        <w:tc>
          <w:tcPr>
            <w:tcW w:w="1753" w:type="dxa"/>
            <w:shd w:val="clear" w:color="auto" w:fill="auto"/>
            <w:noWrap/>
            <w:vAlign w:val="center"/>
          </w:tcPr>
          <w:p w14:paraId="4439B9D2"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-121.53</w:t>
            </w:r>
          </w:p>
        </w:tc>
        <w:tc>
          <w:tcPr>
            <w:tcW w:w="1134" w:type="dxa"/>
            <w:shd w:val="clear" w:color="auto" w:fill="auto"/>
            <w:noWrap/>
            <w:vAlign w:val="center"/>
          </w:tcPr>
          <w:p w14:paraId="759A9583"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6.69</w:t>
            </w:r>
          </w:p>
        </w:tc>
      </w:tr>
      <w:tr w:rsidR="007C424D" w:rsidRPr="00CD16BA" w14:paraId="6F38AAA4" w14:textId="77777777" w:rsidTr="00EF5BA1">
        <w:trPr>
          <w:trHeight w:val="320"/>
          <w:jc w:val="center"/>
        </w:trPr>
        <w:tc>
          <w:tcPr>
            <w:tcW w:w="3256" w:type="dxa"/>
            <w:shd w:val="clear" w:color="auto" w:fill="auto"/>
            <w:noWrap/>
            <w:vAlign w:val="center"/>
          </w:tcPr>
          <w:p w14:paraId="6D5A6DF0" w14:textId="77777777" w:rsidR="007C424D" w:rsidRPr="00CD16BA" w:rsidRDefault="007C424D" w:rsidP="0039267A">
            <w:pPr>
              <w:jc w:val="center"/>
              <w:rPr>
                <w:rFonts w:ascii="Calibri" w:eastAsia="Times New Roman" w:hAnsi="Calibri" w:cs="Calibri"/>
                <w:sz w:val="22"/>
                <w:szCs w:val="22"/>
                <w:highlight w:val="yellow"/>
                <w:lang w:eastAsia="en-GB"/>
              </w:rPr>
            </w:pPr>
            <w:r w:rsidRPr="00CD16BA">
              <w:rPr>
                <w:rFonts w:ascii="Calibri" w:eastAsia="Times New Roman" w:hAnsi="Calibri" w:cs="Calibri"/>
                <w:sz w:val="22"/>
                <w:szCs w:val="22"/>
                <w:lang w:eastAsia="en-GB"/>
              </w:rPr>
              <w:t>HMW Marine DOC</w:t>
            </w:r>
          </w:p>
        </w:tc>
        <w:tc>
          <w:tcPr>
            <w:tcW w:w="1507" w:type="dxa"/>
            <w:shd w:val="clear" w:color="auto" w:fill="auto"/>
            <w:noWrap/>
            <w:vAlign w:val="center"/>
          </w:tcPr>
          <w:p w14:paraId="41388DEB" w14:textId="77777777" w:rsidR="007C424D" w:rsidRPr="00CD16BA" w:rsidRDefault="007C424D" w:rsidP="0039267A">
            <w:pPr>
              <w:jc w:val="center"/>
              <w:rPr>
                <w:rFonts w:ascii="Calibri" w:eastAsia="Times New Roman" w:hAnsi="Calibri" w:cs="Calibri"/>
                <w:sz w:val="22"/>
                <w:szCs w:val="22"/>
                <w:highlight w:val="yellow"/>
                <w:lang w:eastAsia="en-GB"/>
              </w:rPr>
            </w:pPr>
            <w:r w:rsidRPr="00CD16BA">
              <w:rPr>
                <w:rFonts w:ascii="Calibri" w:eastAsia="Times New Roman" w:hAnsi="Calibri" w:cs="Calibri"/>
                <w:sz w:val="22"/>
                <w:szCs w:val="22"/>
                <w:lang w:eastAsia="en-GB"/>
              </w:rPr>
              <w:t>8.28 to 10.00</w:t>
            </w:r>
          </w:p>
        </w:tc>
        <w:tc>
          <w:tcPr>
            <w:tcW w:w="1753" w:type="dxa"/>
            <w:shd w:val="clear" w:color="auto" w:fill="auto"/>
            <w:noWrap/>
            <w:vAlign w:val="center"/>
          </w:tcPr>
          <w:p w14:paraId="31A9426B"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-90.00 to -87.00</w:t>
            </w:r>
          </w:p>
        </w:tc>
        <w:tc>
          <w:tcPr>
            <w:tcW w:w="1134" w:type="dxa"/>
            <w:shd w:val="clear" w:color="auto" w:fill="auto"/>
            <w:noWrap/>
            <w:vAlign w:val="center"/>
          </w:tcPr>
          <w:p w14:paraId="4565D8BD" w14:textId="77777777" w:rsidR="007C424D" w:rsidRPr="00CD16BA" w:rsidRDefault="007C424D" w:rsidP="0039267A">
            <w:pPr>
              <w:jc w:val="center"/>
              <w:rPr>
                <w:rFonts w:ascii="Calibri" w:eastAsia="Times New Roman" w:hAnsi="Calibri" w:cs="Calibri"/>
                <w:sz w:val="22"/>
                <w:szCs w:val="22"/>
                <w:lang w:eastAsia="en-GB"/>
              </w:rPr>
            </w:pPr>
            <w:r w:rsidRPr="00CD16BA">
              <w:rPr>
                <w:rFonts w:ascii="Calibri" w:eastAsia="Times New Roman" w:hAnsi="Calibri" w:cs="Calibri"/>
                <w:sz w:val="22"/>
                <w:szCs w:val="22"/>
                <w:lang w:eastAsia="en-GB"/>
              </w:rPr>
              <w:t>~35.00</w:t>
            </w:r>
          </w:p>
        </w:tc>
      </w:tr>
    </w:tbl>
    <w:p w14:paraId="6BF74991" w14:textId="77777777" w:rsidR="007C424D" w:rsidRPr="00CD16BA" w:rsidRDefault="007C424D" w:rsidP="0039267A">
      <w:pPr>
        <w:rPr>
          <w:sz w:val="22"/>
          <w:szCs w:val="22"/>
          <w:lang w:val="en-US"/>
        </w:rPr>
      </w:pPr>
    </w:p>
    <w:p w14:paraId="08CE2069" w14:textId="77777777" w:rsidR="007C424D" w:rsidRPr="00CD16BA" w:rsidRDefault="007C424D" w:rsidP="0039267A">
      <w:pPr>
        <w:ind w:left="142"/>
        <w:rPr>
          <w:b/>
          <w:bCs/>
          <w:sz w:val="22"/>
          <w:szCs w:val="22"/>
          <w:lang w:val="en-US"/>
        </w:rPr>
        <w:sectPr w:rsidR="007C424D" w:rsidRPr="00CD16BA" w:rsidSect="0039267A">
          <w:pgSz w:w="11900" w:h="16840"/>
          <w:pgMar w:top="873" w:right="1440" w:bottom="374" w:left="1222" w:header="708" w:footer="708" w:gutter="0"/>
          <w:lnNumType w:countBy="1" w:restart="continuous"/>
          <w:cols w:space="708"/>
          <w:docGrid w:linePitch="360"/>
        </w:sectPr>
      </w:pPr>
    </w:p>
    <w:p w14:paraId="66BE22CD" w14:textId="77777777" w:rsidR="007C424D" w:rsidRPr="00CD16BA" w:rsidRDefault="007C424D" w:rsidP="0039267A">
      <w:pPr>
        <w:ind w:left="142"/>
        <w:jc w:val="both"/>
        <w:rPr>
          <w:rFonts w:cstheme="minorHAnsi"/>
          <w:sz w:val="22"/>
          <w:szCs w:val="22"/>
        </w:rPr>
      </w:pPr>
      <w:r w:rsidRPr="00CD16BA">
        <w:rPr>
          <w:rFonts w:cstheme="minorHAnsi"/>
          <w:b/>
          <w:bCs/>
          <w:sz w:val="22"/>
          <w:szCs w:val="22"/>
          <w:lang w:val="en-US"/>
        </w:rPr>
        <w:lastRenderedPageBreak/>
        <w:t>Supplementary Table 3.</w:t>
      </w:r>
      <w:r w:rsidRPr="00CD16BA">
        <w:rPr>
          <w:rFonts w:cstheme="minorHAnsi"/>
          <w:sz w:val="22"/>
          <w:szCs w:val="22"/>
        </w:rPr>
        <w:t xml:space="preserve"> C 1s NEXAFS approximate energy ranges and assignments of primary absorption peaks.</w:t>
      </w:r>
    </w:p>
    <w:p w14:paraId="2749F754" w14:textId="77777777" w:rsidR="007C424D" w:rsidRPr="00CD16BA" w:rsidRDefault="007C424D" w:rsidP="0039267A">
      <w:pPr>
        <w:ind w:hanging="142"/>
        <w:rPr>
          <w:rFonts w:cstheme="minorHAnsi"/>
          <w:sz w:val="16"/>
          <w:szCs w:val="16"/>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418"/>
        <w:gridCol w:w="1276"/>
        <w:gridCol w:w="4677"/>
      </w:tblGrid>
      <w:tr w:rsidR="007C424D" w:rsidRPr="00CD16BA" w14:paraId="0771C630" w14:textId="77777777" w:rsidTr="00EF5BA1">
        <w:tc>
          <w:tcPr>
            <w:tcW w:w="1559" w:type="dxa"/>
            <w:tcBorders>
              <w:top w:val="single" w:sz="12" w:space="0" w:color="000000"/>
              <w:bottom w:val="single" w:sz="12" w:space="0" w:color="000000"/>
            </w:tcBorders>
            <w:vAlign w:val="center"/>
          </w:tcPr>
          <w:p w14:paraId="5BA217B9" w14:textId="77777777" w:rsidR="007C424D" w:rsidRPr="00CD16BA" w:rsidRDefault="007C424D" w:rsidP="0039267A">
            <w:pPr>
              <w:jc w:val="center"/>
              <w:rPr>
                <w:rFonts w:cstheme="minorHAnsi"/>
                <w:b/>
                <w:bCs/>
              </w:rPr>
            </w:pPr>
            <w:r w:rsidRPr="00CD16BA">
              <w:rPr>
                <w:rFonts w:cstheme="minorHAnsi"/>
                <w:b/>
                <w:bCs/>
              </w:rPr>
              <w:t>Peak Energy (eV)</w:t>
            </w:r>
          </w:p>
        </w:tc>
        <w:tc>
          <w:tcPr>
            <w:tcW w:w="1418" w:type="dxa"/>
            <w:tcBorders>
              <w:top w:val="single" w:sz="12" w:space="0" w:color="000000"/>
              <w:bottom w:val="single" w:sz="12" w:space="0" w:color="000000"/>
            </w:tcBorders>
            <w:vAlign w:val="center"/>
          </w:tcPr>
          <w:p w14:paraId="7474F59C" w14:textId="77777777" w:rsidR="007C424D" w:rsidRPr="00CD16BA" w:rsidRDefault="007C424D" w:rsidP="0039267A">
            <w:pPr>
              <w:jc w:val="center"/>
              <w:rPr>
                <w:rFonts w:cstheme="minorHAnsi"/>
                <w:b/>
                <w:bCs/>
              </w:rPr>
            </w:pPr>
            <w:r w:rsidRPr="00CD16BA">
              <w:rPr>
                <w:rFonts w:cstheme="minorHAnsi"/>
                <w:b/>
                <w:bCs/>
              </w:rPr>
              <w:t>Transition</w:t>
            </w:r>
          </w:p>
        </w:tc>
        <w:tc>
          <w:tcPr>
            <w:tcW w:w="1276" w:type="dxa"/>
            <w:tcBorders>
              <w:top w:val="single" w:sz="12" w:space="0" w:color="000000"/>
              <w:bottom w:val="single" w:sz="12" w:space="0" w:color="000000"/>
            </w:tcBorders>
            <w:vAlign w:val="center"/>
          </w:tcPr>
          <w:p w14:paraId="45FF66F8" w14:textId="77777777" w:rsidR="007C424D" w:rsidRPr="00CD16BA" w:rsidRDefault="007C424D" w:rsidP="0039267A">
            <w:pPr>
              <w:jc w:val="center"/>
              <w:rPr>
                <w:rFonts w:cstheme="minorHAnsi"/>
                <w:b/>
                <w:bCs/>
              </w:rPr>
            </w:pPr>
            <w:r w:rsidRPr="00CD16BA">
              <w:rPr>
                <w:rFonts w:cstheme="minorHAnsi"/>
                <w:b/>
                <w:bCs/>
              </w:rPr>
              <w:t>Bond</w:t>
            </w:r>
          </w:p>
        </w:tc>
        <w:tc>
          <w:tcPr>
            <w:tcW w:w="4677" w:type="dxa"/>
            <w:tcBorders>
              <w:top w:val="single" w:sz="12" w:space="0" w:color="000000"/>
              <w:bottom w:val="single" w:sz="12" w:space="0" w:color="000000"/>
            </w:tcBorders>
            <w:vAlign w:val="center"/>
          </w:tcPr>
          <w:p w14:paraId="721E1753" w14:textId="77777777" w:rsidR="007C424D" w:rsidRPr="00CD16BA" w:rsidRDefault="007C424D" w:rsidP="0039267A">
            <w:pPr>
              <w:jc w:val="center"/>
              <w:rPr>
                <w:rFonts w:cstheme="minorHAnsi"/>
                <w:b/>
                <w:bCs/>
              </w:rPr>
            </w:pPr>
            <w:r w:rsidRPr="00CD16BA">
              <w:rPr>
                <w:rFonts w:cstheme="minorHAnsi"/>
                <w:b/>
                <w:bCs/>
              </w:rPr>
              <w:t>C Forms</w:t>
            </w:r>
          </w:p>
        </w:tc>
      </w:tr>
      <w:tr w:rsidR="007C424D" w:rsidRPr="00CD16BA" w14:paraId="2F9A9251" w14:textId="77777777" w:rsidTr="00EF5BA1">
        <w:tc>
          <w:tcPr>
            <w:tcW w:w="1559" w:type="dxa"/>
            <w:tcBorders>
              <w:top w:val="single" w:sz="12" w:space="0" w:color="000000"/>
              <w:bottom w:val="single" w:sz="8" w:space="0" w:color="000000"/>
            </w:tcBorders>
            <w:vAlign w:val="center"/>
          </w:tcPr>
          <w:p w14:paraId="32CCDCCE" w14:textId="77777777" w:rsidR="007C424D" w:rsidRPr="00CD16BA" w:rsidRDefault="007C424D" w:rsidP="0039267A">
            <w:pPr>
              <w:jc w:val="center"/>
              <w:rPr>
                <w:rFonts w:cstheme="minorHAnsi"/>
              </w:rPr>
            </w:pPr>
            <w:r w:rsidRPr="00CD16BA">
              <w:rPr>
                <w:rFonts w:cstheme="minorHAnsi"/>
              </w:rPr>
              <w:t>283.0 – 284.5</w:t>
            </w:r>
          </w:p>
        </w:tc>
        <w:tc>
          <w:tcPr>
            <w:tcW w:w="1418" w:type="dxa"/>
            <w:tcBorders>
              <w:top w:val="single" w:sz="12" w:space="0" w:color="000000"/>
              <w:bottom w:val="single" w:sz="8" w:space="0" w:color="000000"/>
            </w:tcBorders>
            <w:vAlign w:val="center"/>
          </w:tcPr>
          <w:p w14:paraId="783F9B9B" w14:textId="77777777" w:rsidR="007C424D" w:rsidRPr="00CD16BA" w:rsidRDefault="007C424D" w:rsidP="0039267A">
            <w:pPr>
              <w:jc w:val="center"/>
              <w:rPr>
                <w:rFonts w:cstheme="minorHAnsi"/>
              </w:rPr>
            </w:pPr>
            <w:r w:rsidRPr="00CD16BA">
              <w:rPr>
                <w:rFonts w:cstheme="minorHAnsi"/>
              </w:rPr>
              <w:t>1s-π*</w:t>
            </w:r>
          </w:p>
        </w:tc>
        <w:tc>
          <w:tcPr>
            <w:tcW w:w="1276" w:type="dxa"/>
            <w:tcBorders>
              <w:top w:val="single" w:sz="12" w:space="0" w:color="000000"/>
              <w:bottom w:val="single" w:sz="8" w:space="0" w:color="000000"/>
            </w:tcBorders>
            <w:vAlign w:val="center"/>
          </w:tcPr>
          <w:p w14:paraId="3B41822B" w14:textId="77777777" w:rsidR="007C424D" w:rsidRPr="00CD16BA" w:rsidRDefault="007C424D" w:rsidP="0039267A">
            <w:pPr>
              <w:jc w:val="center"/>
              <w:rPr>
                <w:rFonts w:cstheme="minorHAnsi"/>
              </w:rPr>
            </w:pPr>
            <w:r w:rsidRPr="00CD16BA">
              <w:rPr>
                <w:rFonts w:cstheme="minorHAnsi"/>
              </w:rPr>
              <w:t>C=O</w:t>
            </w:r>
          </w:p>
        </w:tc>
        <w:tc>
          <w:tcPr>
            <w:tcW w:w="4677" w:type="dxa"/>
            <w:tcBorders>
              <w:top w:val="single" w:sz="12" w:space="0" w:color="000000"/>
              <w:bottom w:val="single" w:sz="8" w:space="0" w:color="000000"/>
            </w:tcBorders>
            <w:vAlign w:val="center"/>
          </w:tcPr>
          <w:p w14:paraId="5B2B8502" w14:textId="77777777" w:rsidR="007C424D" w:rsidRPr="00CD16BA" w:rsidRDefault="007C424D" w:rsidP="0039267A">
            <w:pPr>
              <w:jc w:val="center"/>
              <w:rPr>
                <w:rFonts w:cstheme="minorHAnsi"/>
              </w:rPr>
            </w:pPr>
            <w:r w:rsidRPr="00CD16BA">
              <w:rPr>
                <w:rFonts w:cstheme="minorHAnsi"/>
              </w:rPr>
              <w:t>Aromatic / Quinonic</w:t>
            </w:r>
          </w:p>
        </w:tc>
      </w:tr>
      <w:tr w:rsidR="007C424D" w:rsidRPr="00CD16BA" w14:paraId="6B546FD7" w14:textId="77777777" w:rsidTr="00EF5BA1">
        <w:tc>
          <w:tcPr>
            <w:tcW w:w="1559" w:type="dxa"/>
            <w:tcBorders>
              <w:top w:val="single" w:sz="8" w:space="0" w:color="000000"/>
              <w:bottom w:val="single" w:sz="8" w:space="0" w:color="000000"/>
            </w:tcBorders>
            <w:vAlign w:val="center"/>
          </w:tcPr>
          <w:p w14:paraId="57EBF92D" w14:textId="77777777" w:rsidR="007C424D" w:rsidRPr="00CD16BA" w:rsidRDefault="007C424D" w:rsidP="0039267A">
            <w:pPr>
              <w:jc w:val="center"/>
              <w:rPr>
                <w:rFonts w:cstheme="minorHAnsi"/>
              </w:rPr>
            </w:pPr>
            <w:r w:rsidRPr="00CD16BA">
              <w:rPr>
                <w:rFonts w:cstheme="minorHAnsi"/>
              </w:rPr>
              <w:t>284.9 – 285.5</w:t>
            </w:r>
          </w:p>
        </w:tc>
        <w:tc>
          <w:tcPr>
            <w:tcW w:w="1418" w:type="dxa"/>
            <w:tcBorders>
              <w:top w:val="single" w:sz="8" w:space="0" w:color="000000"/>
              <w:bottom w:val="single" w:sz="8" w:space="0" w:color="000000"/>
            </w:tcBorders>
            <w:vAlign w:val="center"/>
          </w:tcPr>
          <w:p w14:paraId="12C325B1" w14:textId="77777777" w:rsidR="007C424D" w:rsidRPr="00CD16BA" w:rsidRDefault="007C424D" w:rsidP="0039267A">
            <w:pPr>
              <w:jc w:val="center"/>
              <w:rPr>
                <w:rFonts w:cstheme="minorHAnsi"/>
              </w:rPr>
            </w:pPr>
            <w:r w:rsidRPr="00CD16BA">
              <w:rPr>
                <w:rFonts w:cstheme="minorHAnsi"/>
              </w:rPr>
              <w:t>1s-π*</w:t>
            </w:r>
          </w:p>
        </w:tc>
        <w:tc>
          <w:tcPr>
            <w:tcW w:w="1276" w:type="dxa"/>
            <w:tcBorders>
              <w:top w:val="single" w:sz="8" w:space="0" w:color="000000"/>
              <w:bottom w:val="single" w:sz="8" w:space="0" w:color="000000"/>
            </w:tcBorders>
            <w:vAlign w:val="center"/>
          </w:tcPr>
          <w:p w14:paraId="6389B1D1" w14:textId="77777777" w:rsidR="007C424D" w:rsidRPr="00CD16BA" w:rsidRDefault="007C424D" w:rsidP="0039267A">
            <w:pPr>
              <w:jc w:val="center"/>
              <w:rPr>
                <w:rFonts w:cstheme="minorHAnsi"/>
              </w:rPr>
            </w:pPr>
            <w:r w:rsidRPr="00CD16BA">
              <w:rPr>
                <w:rFonts w:cstheme="minorHAnsi"/>
              </w:rPr>
              <w:t>C=C</w:t>
            </w:r>
          </w:p>
        </w:tc>
        <w:tc>
          <w:tcPr>
            <w:tcW w:w="4677" w:type="dxa"/>
            <w:tcBorders>
              <w:top w:val="single" w:sz="8" w:space="0" w:color="000000"/>
              <w:bottom w:val="single" w:sz="8" w:space="0" w:color="000000"/>
            </w:tcBorders>
            <w:vAlign w:val="center"/>
          </w:tcPr>
          <w:p w14:paraId="347799CF" w14:textId="77777777" w:rsidR="007C424D" w:rsidRPr="00CD16BA" w:rsidRDefault="007C424D" w:rsidP="0039267A">
            <w:pPr>
              <w:jc w:val="center"/>
              <w:rPr>
                <w:rFonts w:cstheme="minorHAnsi"/>
              </w:rPr>
            </w:pPr>
            <w:r w:rsidRPr="00CD16BA">
              <w:rPr>
                <w:rFonts w:cstheme="minorHAnsi"/>
              </w:rPr>
              <w:t>Aromatic</w:t>
            </w:r>
          </w:p>
        </w:tc>
      </w:tr>
      <w:tr w:rsidR="007C424D" w:rsidRPr="00CD16BA" w14:paraId="58C8B7E8" w14:textId="77777777" w:rsidTr="00EF5BA1">
        <w:tc>
          <w:tcPr>
            <w:tcW w:w="1559" w:type="dxa"/>
            <w:tcBorders>
              <w:top w:val="single" w:sz="8" w:space="0" w:color="000000"/>
              <w:bottom w:val="single" w:sz="8" w:space="0" w:color="000000"/>
            </w:tcBorders>
            <w:vAlign w:val="center"/>
          </w:tcPr>
          <w:p w14:paraId="21537C8D" w14:textId="77777777" w:rsidR="007C424D" w:rsidRPr="00CD16BA" w:rsidRDefault="007C424D" w:rsidP="0039267A">
            <w:pPr>
              <w:jc w:val="center"/>
              <w:rPr>
                <w:rFonts w:cstheme="minorHAnsi"/>
              </w:rPr>
            </w:pPr>
            <w:r w:rsidRPr="00CD16BA">
              <w:rPr>
                <w:rFonts w:cstheme="minorHAnsi"/>
              </w:rPr>
              <w:t>285.8 – 286.2</w:t>
            </w:r>
          </w:p>
        </w:tc>
        <w:tc>
          <w:tcPr>
            <w:tcW w:w="1418" w:type="dxa"/>
            <w:tcBorders>
              <w:top w:val="single" w:sz="8" w:space="0" w:color="000000"/>
              <w:bottom w:val="single" w:sz="8" w:space="0" w:color="000000"/>
            </w:tcBorders>
            <w:vAlign w:val="center"/>
          </w:tcPr>
          <w:p w14:paraId="1ADDE100" w14:textId="77777777" w:rsidR="007C424D" w:rsidRPr="00CD16BA" w:rsidRDefault="007C424D" w:rsidP="0039267A">
            <w:pPr>
              <w:jc w:val="center"/>
              <w:rPr>
                <w:rFonts w:cstheme="minorHAnsi"/>
              </w:rPr>
            </w:pPr>
            <w:r w:rsidRPr="00CD16BA">
              <w:rPr>
                <w:rFonts w:cstheme="minorHAnsi"/>
              </w:rPr>
              <w:t>1s-π*</w:t>
            </w:r>
          </w:p>
        </w:tc>
        <w:tc>
          <w:tcPr>
            <w:tcW w:w="1276" w:type="dxa"/>
            <w:tcBorders>
              <w:top w:val="single" w:sz="8" w:space="0" w:color="000000"/>
              <w:bottom w:val="single" w:sz="8" w:space="0" w:color="000000"/>
            </w:tcBorders>
            <w:vAlign w:val="center"/>
          </w:tcPr>
          <w:p w14:paraId="4D0D842E" w14:textId="77777777" w:rsidR="007C424D" w:rsidRPr="00CD16BA" w:rsidRDefault="007C424D" w:rsidP="0039267A">
            <w:pPr>
              <w:jc w:val="center"/>
              <w:rPr>
                <w:rFonts w:cstheme="minorHAnsi"/>
              </w:rPr>
            </w:pPr>
            <w:r w:rsidRPr="00CD16BA">
              <w:rPr>
                <w:rFonts w:cstheme="minorHAnsi"/>
              </w:rPr>
              <w:t>C=O</w:t>
            </w:r>
          </w:p>
        </w:tc>
        <w:tc>
          <w:tcPr>
            <w:tcW w:w="4677" w:type="dxa"/>
            <w:tcBorders>
              <w:top w:val="single" w:sz="8" w:space="0" w:color="000000"/>
              <w:bottom w:val="single" w:sz="8" w:space="0" w:color="000000"/>
            </w:tcBorders>
            <w:vAlign w:val="center"/>
          </w:tcPr>
          <w:p w14:paraId="1A94C7FB" w14:textId="77777777" w:rsidR="007C424D" w:rsidRPr="00CD16BA" w:rsidRDefault="007C424D" w:rsidP="0039267A">
            <w:pPr>
              <w:jc w:val="center"/>
              <w:rPr>
                <w:rFonts w:cstheme="minorHAnsi"/>
              </w:rPr>
            </w:pPr>
            <w:r w:rsidRPr="00CD16BA">
              <w:rPr>
                <w:rFonts w:cstheme="minorHAnsi"/>
              </w:rPr>
              <w:t>Aromatic</w:t>
            </w:r>
          </w:p>
        </w:tc>
      </w:tr>
      <w:tr w:rsidR="007C424D" w:rsidRPr="00CD16BA" w14:paraId="03BB82DD" w14:textId="77777777" w:rsidTr="00EF5BA1">
        <w:tc>
          <w:tcPr>
            <w:tcW w:w="1559" w:type="dxa"/>
            <w:tcBorders>
              <w:top w:val="single" w:sz="8" w:space="0" w:color="000000"/>
              <w:bottom w:val="single" w:sz="8" w:space="0" w:color="000000"/>
            </w:tcBorders>
            <w:vAlign w:val="center"/>
          </w:tcPr>
          <w:p w14:paraId="27442350" w14:textId="77777777" w:rsidR="007C424D" w:rsidRPr="00CD16BA" w:rsidRDefault="007C424D" w:rsidP="0039267A">
            <w:pPr>
              <w:jc w:val="center"/>
              <w:rPr>
                <w:rFonts w:cstheme="minorHAnsi"/>
              </w:rPr>
            </w:pPr>
            <w:r w:rsidRPr="00CD16BA">
              <w:rPr>
                <w:rFonts w:cstheme="minorHAnsi"/>
              </w:rPr>
              <w:t>286.0 – 286.5</w:t>
            </w:r>
          </w:p>
        </w:tc>
        <w:tc>
          <w:tcPr>
            <w:tcW w:w="1418" w:type="dxa"/>
            <w:tcBorders>
              <w:top w:val="single" w:sz="8" w:space="0" w:color="000000"/>
              <w:bottom w:val="single" w:sz="8" w:space="0" w:color="000000"/>
            </w:tcBorders>
            <w:vAlign w:val="center"/>
          </w:tcPr>
          <w:p w14:paraId="7C0B7A58" w14:textId="77777777" w:rsidR="007C424D" w:rsidRPr="00CD16BA" w:rsidRDefault="007C424D" w:rsidP="0039267A">
            <w:pPr>
              <w:jc w:val="center"/>
              <w:rPr>
                <w:rFonts w:cstheme="minorHAnsi"/>
              </w:rPr>
            </w:pPr>
            <w:r w:rsidRPr="00CD16BA">
              <w:rPr>
                <w:rFonts w:cstheme="minorHAnsi"/>
              </w:rPr>
              <w:t>1s-π*</w:t>
            </w:r>
          </w:p>
        </w:tc>
        <w:tc>
          <w:tcPr>
            <w:tcW w:w="1276" w:type="dxa"/>
            <w:tcBorders>
              <w:top w:val="single" w:sz="8" w:space="0" w:color="000000"/>
              <w:bottom w:val="single" w:sz="8" w:space="0" w:color="000000"/>
            </w:tcBorders>
            <w:vAlign w:val="center"/>
          </w:tcPr>
          <w:p w14:paraId="5F616A58" w14:textId="77777777" w:rsidR="007C424D" w:rsidRPr="00CD16BA" w:rsidRDefault="007C424D" w:rsidP="0039267A">
            <w:pPr>
              <w:jc w:val="center"/>
              <w:rPr>
                <w:rFonts w:cstheme="minorHAnsi"/>
              </w:rPr>
            </w:pPr>
            <w:r w:rsidRPr="00CD16BA">
              <w:rPr>
                <w:rFonts w:cstheme="minorHAnsi"/>
              </w:rPr>
              <w:t>C=C</w:t>
            </w:r>
          </w:p>
          <w:p w14:paraId="37398CDC" w14:textId="77777777" w:rsidR="007C424D" w:rsidRPr="00CD16BA" w:rsidRDefault="007C424D" w:rsidP="0039267A">
            <w:pPr>
              <w:jc w:val="center"/>
              <w:rPr>
                <w:rFonts w:cstheme="minorHAnsi"/>
              </w:rPr>
            </w:pPr>
            <w:r w:rsidRPr="00CD16BA">
              <w:rPr>
                <w:rFonts w:cstheme="minorHAnsi"/>
              </w:rPr>
              <w:t>C=O</w:t>
            </w:r>
          </w:p>
          <w:p w14:paraId="35DD9410" w14:textId="77777777" w:rsidR="007C424D" w:rsidRPr="00CD16BA" w:rsidRDefault="007C424D" w:rsidP="0039267A">
            <w:pPr>
              <w:jc w:val="center"/>
              <w:rPr>
                <w:rFonts w:cstheme="minorHAnsi"/>
              </w:rPr>
            </w:pPr>
            <w:r w:rsidRPr="00CD16BA">
              <w:rPr>
                <w:rFonts w:cstheme="minorHAnsi"/>
              </w:rPr>
              <w:t>C-N</w:t>
            </w:r>
          </w:p>
          <w:p w14:paraId="1085EFE0" w14:textId="77777777" w:rsidR="007C424D" w:rsidRPr="00CD16BA" w:rsidRDefault="007C424D" w:rsidP="0039267A">
            <w:pPr>
              <w:jc w:val="center"/>
              <w:rPr>
                <w:rFonts w:cstheme="minorHAnsi"/>
              </w:rPr>
            </w:pPr>
            <w:r w:rsidRPr="00CD16BA">
              <w:rPr>
                <w:rFonts w:cstheme="minorHAnsi"/>
              </w:rPr>
              <w:t>C=N</w:t>
            </w:r>
          </w:p>
        </w:tc>
        <w:tc>
          <w:tcPr>
            <w:tcW w:w="4677" w:type="dxa"/>
            <w:tcBorders>
              <w:top w:val="single" w:sz="8" w:space="0" w:color="000000"/>
              <w:bottom w:val="single" w:sz="8" w:space="0" w:color="000000"/>
            </w:tcBorders>
            <w:vAlign w:val="center"/>
          </w:tcPr>
          <w:p w14:paraId="7D50117A" w14:textId="77777777" w:rsidR="007C424D" w:rsidRPr="00CD16BA" w:rsidRDefault="007C424D" w:rsidP="0039267A">
            <w:pPr>
              <w:jc w:val="center"/>
              <w:rPr>
                <w:rFonts w:cstheme="minorHAnsi"/>
              </w:rPr>
            </w:pPr>
            <w:r w:rsidRPr="00CD16BA">
              <w:rPr>
                <w:rFonts w:cstheme="minorHAnsi"/>
              </w:rPr>
              <w:t>Aromatic / Aromatic substituted with N</w:t>
            </w:r>
          </w:p>
        </w:tc>
      </w:tr>
      <w:tr w:rsidR="007C424D" w:rsidRPr="00CD16BA" w14:paraId="669027DD" w14:textId="77777777" w:rsidTr="00EF5BA1">
        <w:tc>
          <w:tcPr>
            <w:tcW w:w="1559" w:type="dxa"/>
            <w:tcBorders>
              <w:top w:val="single" w:sz="8" w:space="0" w:color="000000"/>
              <w:bottom w:val="single" w:sz="8" w:space="0" w:color="000000"/>
            </w:tcBorders>
            <w:vAlign w:val="center"/>
          </w:tcPr>
          <w:p w14:paraId="4B981068" w14:textId="77777777" w:rsidR="007C424D" w:rsidRPr="00CD16BA" w:rsidRDefault="007C424D" w:rsidP="0039267A">
            <w:pPr>
              <w:jc w:val="center"/>
              <w:rPr>
                <w:rFonts w:cstheme="minorHAnsi"/>
              </w:rPr>
            </w:pPr>
            <w:r w:rsidRPr="00CD16BA">
              <w:rPr>
                <w:rFonts w:cstheme="minorHAnsi"/>
              </w:rPr>
              <w:t>286.5 – 287.4</w:t>
            </w:r>
          </w:p>
        </w:tc>
        <w:tc>
          <w:tcPr>
            <w:tcW w:w="1418" w:type="dxa"/>
            <w:tcBorders>
              <w:top w:val="single" w:sz="8" w:space="0" w:color="000000"/>
              <w:bottom w:val="single" w:sz="8" w:space="0" w:color="000000"/>
            </w:tcBorders>
            <w:vAlign w:val="center"/>
          </w:tcPr>
          <w:p w14:paraId="23BA417F" w14:textId="77777777" w:rsidR="007C424D" w:rsidRPr="00CD16BA" w:rsidRDefault="007C424D" w:rsidP="0039267A">
            <w:pPr>
              <w:jc w:val="center"/>
              <w:rPr>
                <w:rFonts w:cstheme="minorHAnsi"/>
              </w:rPr>
            </w:pPr>
            <w:r w:rsidRPr="00CD16BA">
              <w:rPr>
                <w:rFonts w:cstheme="minorHAnsi"/>
              </w:rPr>
              <w:t>1s-π*</w:t>
            </w:r>
          </w:p>
        </w:tc>
        <w:tc>
          <w:tcPr>
            <w:tcW w:w="1276" w:type="dxa"/>
            <w:tcBorders>
              <w:top w:val="single" w:sz="8" w:space="0" w:color="000000"/>
              <w:bottom w:val="single" w:sz="8" w:space="0" w:color="000000"/>
            </w:tcBorders>
            <w:vAlign w:val="center"/>
          </w:tcPr>
          <w:p w14:paraId="3B6F6533" w14:textId="77777777" w:rsidR="007C424D" w:rsidRPr="00CD16BA" w:rsidRDefault="007C424D" w:rsidP="0039267A">
            <w:pPr>
              <w:jc w:val="center"/>
              <w:rPr>
                <w:rFonts w:cstheme="minorHAnsi"/>
                <w:lang w:val="pt-BR"/>
              </w:rPr>
            </w:pPr>
            <w:r w:rsidRPr="00CD16BA">
              <w:rPr>
                <w:rFonts w:cstheme="minorHAnsi"/>
                <w:lang w:val="pt-BR"/>
              </w:rPr>
              <w:t>C=O</w:t>
            </w:r>
          </w:p>
          <w:p w14:paraId="3B8A3AFB" w14:textId="77777777" w:rsidR="007C424D" w:rsidRPr="00CD16BA" w:rsidRDefault="007C424D" w:rsidP="0039267A">
            <w:pPr>
              <w:jc w:val="center"/>
              <w:rPr>
                <w:rFonts w:cstheme="minorHAnsi"/>
                <w:lang w:val="pt-BR"/>
              </w:rPr>
            </w:pPr>
            <w:r w:rsidRPr="00CD16BA">
              <w:rPr>
                <w:rFonts w:cstheme="minorHAnsi"/>
                <w:lang w:val="pt-BR"/>
              </w:rPr>
              <w:t>R-(C=O)-R’</w:t>
            </w:r>
          </w:p>
          <w:p w14:paraId="410586C6" w14:textId="77777777" w:rsidR="007C424D" w:rsidRPr="00CD16BA" w:rsidRDefault="007C424D" w:rsidP="0039267A">
            <w:pPr>
              <w:jc w:val="center"/>
              <w:rPr>
                <w:rFonts w:cstheme="minorHAnsi"/>
                <w:lang w:val="pt-BR"/>
              </w:rPr>
            </w:pPr>
            <w:r w:rsidRPr="00CD16BA">
              <w:rPr>
                <w:rFonts w:cstheme="minorHAnsi"/>
                <w:lang w:val="pt-BR"/>
              </w:rPr>
              <w:t>C=C-OH</w:t>
            </w:r>
          </w:p>
        </w:tc>
        <w:tc>
          <w:tcPr>
            <w:tcW w:w="4677" w:type="dxa"/>
            <w:tcBorders>
              <w:top w:val="single" w:sz="8" w:space="0" w:color="000000"/>
              <w:bottom w:val="single" w:sz="8" w:space="0" w:color="000000"/>
            </w:tcBorders>
            <w:vAlign w:val="center"/>
          </w:tcPr>
          <w:p w14:paraId="0C1040BC" w14:textId="77777777" w:rsidR="007C424D" w:rsidRPr="00CD16BA" w:rsidRDefault="007C424D" w:rsidP="0039267A">
            <w:pPr>
              <w:jc w:val="center"/>
              <w:rPr>
                <w:rFonts w:cstheme="minorHAnsi"/>
              </w:rPr>
            </w:pPr>
            <w:r w:rsidRPr="00CD16BA">
              <w:rPr>
                <w:rFonts w:cstheme="minorHAnsi"/>
              </w:rPr>
              <w:t>Aromatic / Ketonic / Carbonyl / Phenolic</w:t>
            </w:r>
          </w:p>
        </w:tc>
      </w:tr>
      <w:tr w:rsidR="007C424D" w:rsidRPr="00CD16BA" w14:paraId="11D70135" w14:textId="77777777" w:rsidTr="00EF5BA1">
        <w:tc>
          <w:tcPr>
            <w:tcW w:w="1559" w:type="dxa"/>
            <w:tcBorders>
              <w:top w:val="single" w:sz="8" w:space="0" w:color="000000"/>
              <w:bottom w:val="single" w:sz="8" w:space="0" w:color="000000"/>
            </w:tcBorders>
            <w:vAlign w:val="center"/>
          </w:tcPr>
          <w:p w14:paraId="435632A2" w14:textId="77777777" w:rsidR="007C424D" w:rsidRPr="00CD16BA" w:rsidRDefault="007C424D" w:rsidP="0039267A">
            <w:pPr>
              <w:jc w:val="center"/>
              <w:rPr>
                <w:rFonts w:cstheme="minorHAnsi"/>
              </w:rPr>
            </w:pPr>
            <w:r w:rsidRPr="00CD16BA">
              <w:rPr>
                <w:rFonts w:cstheme="minorHAnsi"/>
              </w:rPr>
              <w:t>287.6 – 288.2</w:t>
            </w:r>
          </w:p>
        </w:tc>
        <w:tc>
          <w:tcPr>
            <w:tcW w:w="1418" w:type="dxa"/>
            <w:tcBorders>
              <w:top w:val="single" w:sz="8" w:space="0" w:color="000000"/>
              <w:bottom w:val="single" w:sz="8" w:space="0" w:color="000000"/>
            </w:tcBorders>
            <w:vAlign w:val="center"/>
          </w:tcPr>
          <w:p w14:paraId="5CE15986" w14:textId="77777777" w:rsidR="007C424D" w:rsidRPr="00CD16BA" w:rsidRDefault="007C424D" w:rsidP="0039267A">
            <w:pPr>
              <w:jc w:val="center"/>
              <w:rPr>
                <w:rFonts w:cstheme="minorHAnsi"/>
              </w:rPr>
            </w:pPr>
            <w:r w:rsidRPr="00CD16BA">
              <w:rPr>
                <w:rFonts w:cstheme="minorHAnsi"/>
              </w:rPr>
              <w:t>1s-3p/σ*</w:t>
            </w:r>
          </w:p>
        </w:tc>
        <w:tc>
          <w:tcPr>
            <w:tcW w:w="1276" w:type="dxa"/>
            <w:tcBorders>
              <w:top w:val="single" w:sz="8" w:space="0" w:color="000000"/>
              <w:bottom w:val="single" w:sz="8" w:space="0" w:color="000000"/>
            </w:tcBorders>
            <w:vAlign w:val="center"/>
          </w:tcPr>
          <w:p w14:paraId="4C34605E" w14:textId="77777777" w:rsidR="007C424D" w:rsidRPr="00CD16BA" w:rsidRDefault="007C424D" w:rsidP="0039267A">
            <w:pPr>
              <w:jc w:val="center"/>
              <w:rPr>
                <w:rFonts w:cstheme="minorHAnsi"/>
              </w:rPr>
            </w:pPr>
            <w:r w:rsidRPr="00CD16BA">
              <w:rPr>
                <w:rFonts w:cstheme="minorHAnsi"/>
              </w:rPr>
              <w:t>C-H</w:t>
            </w:r>
          </w:p>
        </w:tc>
        <w:tc>
          <w:tcPr>
            <w:tcW w:w="4677" w:type="dxa"/>
            <w:tcBorders>
              <w:top w:val="single" w:sz="8" w:space="0" w:color="000000"/>
              <w:bottom w:val="single" w:sz="8" w:space="0" w:color="000000"/>
            </w:tcBorders>
            <w:vAlign w:val="center"/>
          </w:tcPr>
          <w:p w14:paraId="1061C533" w14:textId="77777777" w:rsidR="007C424D" w:rsidRPr="00CD16BA" w:rsidRDefault="007C424D" w:rsidP="0039267A">
            <w:pPr>
              <w:jc w:val="center"/>
              <w:rPr>
                <w:rFonts w:cstheme="minorHAnsi"/>
              </w:rPr>
            </w:pPr>
            <w:r w:rsidRPr="00CD16BA">
              <w:rPr>
                <w:rFonts w:cstheme="minorHAnsi"/>
              </w:rPr>
              <w:t>Aliphatic</w:t>
            </w:r>
          </w:p>
        </w:tc>
      </w:tr>
      <w:tr w:rsidR="007C424D" w:rsidRPr="00CD16BA" w14:paraId="427EBBCA" w14:textId="77777777" w:rsidTr="00EF5BA1">
        <w:tc>
          <w:tcPr>
            <w:tcW w:w="1559" w:type="dxa"/>
            <w:tcBorders>
              <w:top w:val="single" w:sz="8" w:space="0" w:color="000000"/>
              <w:bottom w:val="single" w:sz="8" w:space="0" w:color="000000"/>
            </w:tcBorders>
            <w:vAlign w:val="center"/>
          </w:tcPr>
          <w:p w14:paraId="00561344" w14:textId="77777777" w:rsidR="007C424D" w:rsidRPr="00CD16BA" w:rsidRDefault="007C424D" w:rsidP="0039267A">
            <w:pPr>
              <w:jc w:val="center"/>
              <w:rPr>
                <w:rFonts w:cstheme="minorHAnsi"/>
              </w:rPr>
            </w:pPr>
            <w:r w:rsidRPr="00CD16BA">
              <w:rPr>
                <w:rFonts w:cstheme="minorHAnsi"/>
              </w:rPr>
              <w:t>287.7 – 289.0</w:t>
            </w:r>
          </w:p>
          <w:p w14:paraId="012DD659" w14:textId="77777777" w:rsidR="007C424D" w:rsidRPr="00CD16BA" w:rsidRDefault="007C424D" w:rsidP="0039267A">
            <w:pPr>
              <w:jc w:val="center"/>
              <w:rPr>
                <w:rFonts w:cstheme="minorHAnsi"/>
              </w:rPr>
            </w:pPr>
          </w:p>
          <w:p w14:paraId="5684C21D" w14:textId="77777777" w:rsidR="007C424D" w:rsidRPr="00CD16BA" w:rsidRDefault="007C424D" w:rsidP="0039267A">
            <w:pPr>
              <w:jc w:val="center"/>
              <w:rPr>
                <w:rFonts w:cstheme="minorHAnsi"/>
              </w:rPr>
            </w:pPr>
          </w:p>
          <w:p w14:paraId="3E17BA13" w14:textId="77777777" w:rsidR="007C424D" w:rsidRPr="00CD16BA" w:rsidRDefault="007C424D" w:rsidP="0039267A">
            <w:pPr>
              <w:jc w:val="center"/>
              <w:rPr>
                <w:rFonts w:cstheme="minorHAnsi"/>
              </w:rPr>
            </w:pPr>
          </w:p>
        </w:tc>
        <w:tc>
          <w:tcPr>
            <w:tcW w:w="1418" w:type="dxa"/>
            <w:tcBorders>
              <w:top w:val="single" w:sz="8" w:space="0" w:color="000000"/>
              <w:bottom w:val="single" w:sz="8" w:space="0" w:color="000000"/>
            </w:tcBorders>
            <w:vAlign w:val="center"/>
          </w:tcPr>
          <w:p w14:paraId="2F4A3A67" w14:textId="77777777" w:rsidR="007C424D" w:rsidRPr="00CD16BA" w:rsidRDefault="007C424D" w:rsidP="0039267A">
            <w:pPr>
              <w:jc w:val="center"/>
              <w:rPr>
                <w:rFonts w:cstheme="minorHAnsi"/>
              </w:rPr>
            </w:pPr>
            <w:r w:rsidRPr="00CD16BA">
              <w:rPr>
                <w:rFonts w:cstheme="minorHAnsi"/>
              </w:rPr>
              <w:t>1s-π*</w:t>
            </w:r>
          </w:p>
          <w:p w14:paraId="4DAF508B" w14:textId="77777777" w:rsidR="007C424D" w:rsidRPr="00CD16BA" w:rsidRDefault="007C424D" w:rsidP="0039267A">
            <w:pPr>
              <w:jc w:val="center"/>
              <w:rPr>
                <w:rFonts w:cstheme="minorHAnsi"/>
              </w:rPr>
            </w:pPr>
          </w:p>
          <w:p w14:paraId="59B1B724" w14:textId="77777777" w:rsidR="007C424D" w:rsidRPr="00CD16BA" w:rsidRDefault="007C424D" w:rsidP="0039267A">
            <w:pPr>
              <w:jc w:val="center"/>
              <w:rPr>
                <w:rFonts w:cstheme="minorHAnsi"/>
              </w:rPr>
            </w:pPr>
          </w:p>
          <w:p w14:paraId="11CBC755" w14:textId="77777777" w:rsidR="007C424D" w:rsidRPr="00CD16BA" w:rsidRDefault="007C424D" w:rsidP="0039267A">
            <w:pPr>
              <w:jc w:val="center"/>
              <w:rPr>
                <w:rFonts w:cstheme="minorHAnsi"/>
              </w:rPr>
            </w:pPr>
          </w:p>
        </w:tc>
        <w:tc>
          <w:tcPr>
            <w:tcW w:w="1276" w:type="dxa"/>
            <w:tcBorders>
              <w:top w:val="single" w:sz="8" w:space="0" w:color="000000"/>
              <w:bottom w:val="single" w:sz="8" w:space="0" w:color="000000"/>
            </w:tcBorders>
            <w:vAlign w:val="center"/>
          </w:tcPr>
          <w:p w14:paraId="51AAC6E5" w14:textId="77777777" w:rsidR="007C424D" w:rsidRPr="00CD16BA" w:rsidRDefault="007C424D" w:rsidP="0039267A">
            <w:pPr>
              <w:jc w:val="center"/>
              <w:rPr>
                <w:rFonts w:cstheme="minorHAnsi"/>
                <w:lang w:val="pt-BR"/>
              </w:rPr>
            </w:pPr>
            <w:r w:rsidRPr="00CD16BA">
              <w:rPr>
                <w:rFonts w:cstheme="minorHAnsi"/>
                <w:lang w:val="pt-BR"/>
              </w:rPr>
              <w:t>R-COOH</w:t>
            </w:r>
          </w:p>
          <w:p w14:paraId="1F9D0FD1" w14:textId="77777777" w:rsidR="007C424D" w:rsidRPr="00CD16BA" w:rsidRDefault="007C424D" w:rsidP="0039267A">
            <w:pPr>
              <w:jc w:val="center"/>
              <w:rPr>
                <w:rFonts w:cstheme="minorHAnsi"/>
                <w:lang w:val="pt-BR"/>
              </w:rPr>
            </w:pPr>
            <w:r w:rsidRPr="00CD16BA">
              <w:rPr>
                <w:rFonts w:cstheme="minorHAnsi"/>
                <w:lang w:val="pt-BR"/>
              </w:rPr>
              <w:t>COO</w:t>
            </w:r>
          </w:p>
          <w:p w14:paraId="6774897C" w14:textId="77777777" w:rsidR="007C424D" w:rsidRPr="00CD16BA" w:rsidRDefault="007C424D" w:rsidP="0039267A">
            <w:pPr>
              <w:jc w:val="center"/>
              <w:rPr>
                <w:rFonts w:cstheme="minorHAnsi"/>
                <w:lang w:val="pt-BR"/>
              </w:rPr>
            </w:pPr>
            <w:r w:rsidRPr="00CD16BA">
              <w:rPr>
                <w:rFonts w:cstheme="minorHAnsi"/>
                <w:lang w:val="pt-BR"/>
              </w:rPr>
              <w:t>C=O</w:t>
            </w:r>
          </w:p>
          <w:p w14:paraId="7CCB3B9A" w14:textId="77777777" w:rsidR="007C424D" w:rsidRPr="00CD16BA" w:rsidRDefault="007C424D" w:rsidP="0039267A">
            <w:pPr>
              <w:jc w:val="center"/>
              <w:rPr>
                <w:rFonts w:cstheme="minorHAnsi"/>
                <w:lang w:val="pt-BR"/>
              </w:rPr>
            </w:pPr>
            <w:r w:rsidRPr="00CD16BA">
              <w:rPr>
                <w:rFonts w:cstheme="minorHAnsi"/>
                <w:lang w:val="pt-BR"/>
              </w:rPr>
              <w:t>NH</w:t>
            </w:r>
            <w:r w:rsidRPr="00CD16BA">
              <w:rPr>
                <w:rFonts w:cstheme="minorHAnsi"/>
                <w:vertAlign w:val="subscript"/>
                <w:lang w:val="pt-BR"/>
              </w:rPr>
              <w:t>2</w:t>
            </w:r>
            <w:r w:rsidRPr="00CD16BA">
              <w:rPr>
                <w:rFonts w:cstheme="minorHAnsi"/>
                <w:lang w:val="pt-BR"/>
              </w:rPr>
              <w:t>-C=O</w:t>
            </w:r>
          </w:p>
          <w:p w14:paraId="1BBA6FD2" w14:textId="77777777" w:rsidR="007C424D" w:rsidRPr="00CD16BA" w:rsidRDefault="007C424D" w:rsidP="0039267A">
            <w:pPr>
              <w:jc w:val="center"/>
              <w:rPr>
                <w:rFonts w:cstheme="minorHAnsi"/>
              </w:rPr>
            </w:pPr>
            <w:r w:rsidRPr="00CD16BA">
              <w:rPr>
                <w:rFonts w:cstheme="minorHAnsi"/>
              </w:rPr>
              <w:t>R-(NH</w:t>
            </w:r>
            <w:r w:rsidRPr="00CD16BA">
              <w:rPr>
                <w:rFonts w:cstheme="minorHAnsi"/>
                <w:vertAlign w:val="subscript"/>
              </w:rPr>
              <w:t>2</w:t>
            </w:r>
            <w:r w:rsidRPr="00CD16BA">
              <w:rPr>
                <w:rFonts w:cstheme="minorHAnsi"/>
              </w:rPr>
              <w:t>)-R’</w:t>
            </w:r>
          </w:p>
        </w:tc>
        <w:tc>
          <w:tcPr>
            <w:tcW w:w="4677" w:type="dxa"/>
            <w:tcBorders>
              <w:top w:val="single" w:sz="8" w:space="0" w:color="000000"/>
              <w:bottom w:val="single" w:sz="8" w:space="0" w:color="000000"/>
            </w:tcBorders>
            <w:vAlign w:val="center"/>
          </w:tcPr>
          <w:p w14:paraId="5A607BEB" w14:textId="77777777" w:rsidR="007C424D" w:rsidRPr="00CD16BA" w:rsidRDefault="007C424D" w:rsidP="0039267A">
            <w:pPr>
              <w:jc w:val="center"/>
              <w:rPr>
                <w:rFonts w:cstheme="minorHAnsi"/>
              </w:rPr>
            </w:pPr>
            <w:r w:rsidRPr="00CD16BA">
              <w:rPr>
                <w:rFonts w:cstheme="minorHAnsi"/>
              </w:rPr>
              <w:t>Carboxylic / Carbonyl / Amide</w:t>
            </w:r>
          </w:p>
        </w:tc>
      </w:tr>
      <w:tr w:rsidR="007C424D" w:rsidRPr="00CD16BA" w14:paraId="714C4050" w14:textId="77777777" w:rsidTr="00EF5BA1">
        <w:tc>
          <w:tcPr>
            <w:tcW w:w="1559" w:type="dxa"/>
            <w:tcBorders>
              <w:top w:val="single" w:sz="8" w:space="0" w:color="000000"/>
              <w:bottom w:val="single" w:sz="8" w:space="0" w:color="000000"/>
            </w:tcBorders>
            <w:vAlign w:val="center"/>
          </w:tcPr>
          <w:p w14:paraId="12F710EC" w14:textId="77777777" w:rsidR="007C424D" w:rsidRPr="00CD16BA" w:rsidRDefault="007C424D" w:rsidP="0039267A">
            <w:pPr>
              <w:jc w:val="center"/>
              <w:rPr>
                <w:rFonts w:cstheme="minorHAnsi"/>
              </w:rPr>
            </w:pPr>
            <w:r w:rsidRPr="00CD16BA">
              <w:rPr>
                <w:rFonts w:cstheme="minorHAnsi"/>
              </w:rPr>
              <w:t>289.2 – 290.2</w:t>
            </w:r>
          </w:p>
        </w:tc>
        <w:tc>
          <w:tcPr>
            <w:tcW w:w="1418" w:type="dxa"/>
            <w:tcBorders>
              <w:top w:val="single" w:sz="8" w:space="0" w:color="000000"/>
              <w:bottom w:val="single" w:sz="8" w:space="0" w:color="000000"/>
            </w:tcBorders>
            <w:vAlign w:val="center"/>
          </w:tcPr>
          <w:p w14:paraId="2B50EDBA" w14:textId="77777777" w:rsidR="007C424D" w:rsidRPr="00CD16BA" w:rsidRDefault="007C424D" w:rsidP="0039267A">
            <w:pPr>
              <w:jc w:val="center"/>
              <w:rPr>
                <w:rFonts w:cstheme="minorHAnsi"/>
              </w:rPr>
            </w:pPr>
            <w:r w:rsidRPr="00CD16BA">
              <w:rPr>
                <w:rFonts w:cstheme="minorHAnsi"/>
              </w:rPr>
              <w:t>1s-π*</w:t>
            </w:r>
          </w:p>
          <w:p w14:paraId="5ABCB0B1" w14:textId="77777777" w:rsidR="007C424D" w:rsidRPr="00CD16BA" w:rsidRDefault="007C424D" w:rsidP="0039267A">
            <w:pPr>
              <w:jc w:val="center"/>
              <w:rPr>
                <w:rFonts w:cstheme="minorHAnsi"/>
              </w:rPr>
            </w:pPr>
            <w:r w:rsidRPr="00CD16BA">
              <w:rPr>
                <w:rFonts w:cstheme="minorHAnsi"/>
              </w:rPr>
              <w:t>1s-3p/σ*</w:t>
            </w:r>
          </w:p>
        </w:tc>
        <w:tc>
          <w:tcPr>
            <w:tcW w:w="1276" w:type="dxa"/>
            <w:tcBorders>
              <w:top w:val="single" w:sz="8" w:space="0" w:color="000000"/>
              <w:bottom w:val="single" w:sz="8" w:space="0" w:color="000000"/>
            </w:tcBorders>
            <w:vAlign w:val="center"/>
          </w:tcPr>
          <w:p w14:paraId="13D35204" w14:textId="77777777" w:rsidR="007C424D" w:rsidRPr="00CD16BA" w:rsidRDefault="007C424D" w:rsidP="0039267A">
            <w:pPr>
              <w:jc w:val="center"/>
              <w:rPr>
                <w:rFonts w:cstheme="minorHAnsi"/>
              </w:rPr>
            </w:pPr>
            <w:r w:rsidRPr="00CD16BA">
              <w:rPr>
                <w:rFonts w:cstheme="minorHAnsi"/>
              </w:rPr>
              <w:t>C-OH</w:t>
            </w:r>
          </w:p>
          <w:p w14:paraId="2CFE2385" w14:textId="77777777" w:rsidR="007C424D" w:rsidRPr="00CD16BA" w:rsidRDefault="007C424D" w:rsidP="0039267A">
            <w:pPr>
              <w:jc w:val="center"/>
              <w:rPr>
                <w:rFonts w:cstheme="minorHAnsi"/>
              </w:rPr>
            </w:pPr>
            <w:r w:rsidRPr="00CD16BA">
              <w:rPr>
                <w:rFonts w:cstheme="minorHAnsi"/>
              </w:rPr>
              <w:t>C=O</w:t>
            </w:r>
          </w:p>
          <w:p w14:paraId="2CA56468" w14:textId="77777777" w:rsidR="007C424D" w:rsidRPr="00CD16BA" w:rsidRDefault="007C424D" w:rsidP="0039267A">
            <w:pPr>
              <w:jc w:val="center"/>
              <w:rPr>
                <w:rFonts w:cstheme="minorHAnsi"/>
              </w:rPr>
            </w:pPr>
            <w:r w:rsidRPr="00CD16BA">
              <w:rPr>
                <w:rFonts w:cstheme="minorHAnsi"/>
              </w:rPr>
              <w:t>R-O-R’</w:t>
            </w:r>
          </w:p>
        </w:tc>
        <w:tc>
          <w:tcPr>
            <w:tcW w:w="4677" w:type="dxa"/>
            <w:tcBorders>
              <w:top w:val="single" w:sz="8" w:space="0" w:color="000000"/>
              <w:bottom w:val="single" w:sz="8" w:space="0" w:color="000000"/>
            </w:tcBorders>
            <w:vAlign w:val="center"/>
          </w:tcPr>
          <w:p w14:paraId="6009C15F" w14:textId="77777777" w:rsidR="007C424D" w:rsidRPr="00CD16BA" w:rsidRDefault="007C424D" w:rsidP="0039267A">
            <w:pPr>
              <w:jc w:val="center"/>
              <w:rPr>
                <w:rFonts w:cstheme="minorHAnsi"/>
              </w:rPr>
            </w:pPr>
            <w:r w:rsidRPr="00CD16BA">
              <w:rPr>
                <w:rFonts w:cstheme="minorHAnsi"/>
              </w:rPr>
              <w:t>Polysaccharide / Alcohol / Carbonyl / Hydroxylated and Ether-linked</w:t>
            </w:r>
          </w:p>
        </w:tc>
      </w:tr>
    </w:tbl>
    <w:p w14:paraId="154C1EFF" w14:textId="77777777" w:rsidR="007C424D" w:rsidRPr="00CD16BA" w:rsidRDefault="007C424D" w:rsidP="0039267A">
      <w:pPr>
        <w:widowControl w:val="0"/>
        <w:autoSpaceDE w:val="0"/>
        <w:autoSpaceDN w:val="0"/>
        <w:adjustRightInd w:val="0"/>
        <w:jc w:val="both"/>
        <w:rPr>
          <w:sz w:val="22"/>
          <w:szCs w:val="22"/>
          <w:lang w:eastAsia="ja-JP"/>
        </w:rPr>
      </w:pPr>
      <w:r w:rsidRPr="00CD16BA">
        <w:rPr>
          <w:sz w:val="22"/>
          <w:szCs w:val="22"/>
        </w:rPr>
        <w:t>Sources: Peak assignments are based on data collected from the literature</w:t>
      </w:r>
      <w:r w:rsidRPr="00EF5BA1">
        <w:rPr>
          <w:noProof/>
          <w:sz w:val="22"/>
          <w:szCs w:val="22"/>
          <w:vertAlign w:val="superscript"/>
        </w:rPr>
        <w:t>59-80</w:t>
      </w:r>
      <w:r w:rsidRPr="00CD16BA">
        <w:rPr>
          <w:sz w:val="22"/>
          <w:szCs w:val="22"/>
        </w:rPr>
        <w:t xml:space="preserve">. Note inorganic carbonate exhibits a distinctive </w:t>
      </w:r>
      <w:r w:rsidRPr="00CD16BA">
        <w:rPr>
          <w:rFonts w:cs="Lucida Grande"/>
          <w:sz w:val="22"/>
          <w:szCs w:val="22"/>
        </w:rPr>
        <w:t xml:space="preserve">π* </w:t>
      </w:r>
      <w:r w:rsidRPr="00CD16BA">
        <w:rPr>
          <w:sz w:val="22"/>
          <w:szCs w:val="22"/>
        </w:rPr>
        <w:t>resonance at 290.3 – 290.6 eV.</w:t>
      </w:r>
    </w:p>
    <w:p w14:paraId="244DDFB3" w14:textId="77777777" w:rsidR="007C424D" w:rsidRPr="00CD16BA" w:rsidRDefault="007C424D" w:rsidP="0039267A">
      <w:pPr>
        <w:jc w:val="both"/>
        <w:rPr>
          <w:sz w:val="22"/>
          <w:szCs w:val="22"/>
        </w:rPr>
      </w:pPr>
    </w:p>
    <w:p w14:paraId="5A8B9F4E" w14:textId="77777777" w:rsidR="007C424D" w:rsidRPr="00CD16BA" w:rsidRDefault="007C424D" w:rsidP="0039267A">
      <w:pPr>
        <w:jc w:val="both"/>
        <w:rPr>
          <w:rFonts w:cs="Arial"/>
          <w:b/>
          <w:bCs/>
          <w:sz w:val="22"/>
          <w:szCs w:val="22"/>
        </w:rPr>
      </w:pPr>
    </w:p>
    <w:p w14:paraId="396B65E7" w14:textId="77777777" w:rsidR="007C424D" w:rsidRPr="00CD16BA" w:rsidRDefault="007C424D" w:rsidP="0039267A">
      <w:pPr>
        <w:jc w:val="both"/>
        <w:rPr>
          <w:sz w:val="22"/>
          <w:szCs w:val="22"/>
        </w:rPr>
      </w:pPr>
      <w:r w:rsidRPr="00CD16BA">
        <w:rPr>
          <w:rFonts w:cs="Arial"/>
          <w:b/>
          <w:bCs/>
          <w:sz w:val="22"/>
          <w:szCs w:val="22"/>
        </w:rPr>
        <w:t>Supplementary Table 4.</w:t>
      </w:r>
      <w:r w:rsidRPr="00CD16BA">
        <w:rPr>
          <w:rFonts w:cs="Arial"/>
          <w:sz w:val="22"/>
          <w:szCs w:val="22"/>
        </w:rPr>
        <w:t xml:space="preserve"> N 1s NEXAFS </w:t>
      </w:r>
      <w:r w:rsidRPr="00CD16BA">
        <w:rPr>
          <w:sz w:val="22"/>
          <w:szCs w:val="22"/>
        </w:rPr>
        <w:t>approximate energy ranges and assignments of primary absorption peaks.</w:t>
      </w:r>
    </w:p>
    <w:p w14:paraId="68311E57" w14:textId="77777777" w:rsidR="007C424D" w:rsidRPr="00CD16BA" w:rsidRDefault="007C424D" w:rsidP="0039267A">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418"/>
        <w:gridCol w:w="1275"/>
        <w:gridCol w:w="4735"/>
      </w:tblGrid>
      <w:tr w:rsidR="007C424D" w:rsidRPr="00CD16BA" w14:paraId="1322D49D" w14:textId="77777777" w:rsidTr="00EF5BA1">
        <w:tc>
          <w:tcPr>
            <w:tcW w:w="1809" w:type="dxa"/>
            <w:tcBorders>
              <w:top w:val="single" w:sz="12" w:space="0" w:color="000000"/>
              <w:bottom w:val="single" w:sz="12" w:space="0" w:color="000000"/>
            </w:tcBorders>
            <w:vAlign w:val="center"/>
          </w:tcPr>
          <w:p w14:paraId="3F65DE20" w14:textId="77777777" w:rsidR="007C424D" w:rsidRPr="00CD16BA" w:rsidRDefault="007C424D" w:rsidP="0039267A">
            <w:pPr>
              <w:jc w:val="center"/>
              <w:rPr>
                <w:b/>
                <w:bCs/>
              </w:rPr>
            </w:pPr>
            <w:r w:rsidRPr="00CD16BA">
              <w:rPr>
                <w:b/>
                <w:bCs/>
              </w:rPr>
              <w:t>Peak Energy (eV)</w:t>
            </w:r>
          </w:p>
        </w:tc>
        <w:tc>
          <w:tcPr>
            <w:tcW w:w="1418" w:type="dxa"/>
            <w:tcBorders>
              <w:top w:val="single" w:sz="12" w:space="0" w:color="000000"/>
              <w:bottom w:val="single" w:sz="12" w:space="0" w:color="000000"/>
            </w:tcBorders>
            <w:vAlign w:val="center"/>
          </w:tcPr>
          <w:p w14:paraId="42074864" w14:textId="77777777" w:rsidR="007C424D" w:rsidRPr="00CD16BA" w:rsidRDefault="007C424D" w:rsidP="0039267A">
            <w:pPr>
              <w:jc w:val="center"/>
              <w:rPr>
                <w:b/>
                <w:bCs/>
              </w:rPr>
            </w:pPr>
            <w:r w:rsidRPr="00CD16BA">
              <w:rPr>
                <w:b/>
                <w:bCs/>
              </w:rPr>
              <w:t>Transition</w:t>
            </w:r>
          </w:p>
        </w:tc>
        <w:tc>
          <w:tcPr>
            <w:tcW w:w="1276" w:type="dxa"/>
            <w:tcBorders>
              <w:top w:val="single" w:sz="12" w:space="0" w:color="000000"/>
              <w:bottom w:val="single" w:sz="12" w:space="0" w:color="000000"/>
            </w:tcBorders>
            <w:vAlign w:val="center"/>
          </w:tcPr>
          <w:p w14:paraId="2C710B35" w14:textId="77777777" w:rsidR="007C424D" w:rsidRPr="00CD16BA" w:rsidRDefault="007C424D" w:rsidP="0039267A">
            <w:pPr>
              <w:jc w:val="center"/>
              <w:rPr>
                <w:b/>
                <w:bCs/>
              </w:rPr>
            </w:pPr>
            <w:r w:rsidRPr="00CD16BA">
              <w:rPr>
                <w:b/>
                <w:bCs/>
              </w:rPr>
              <w:t>Bond</w:t>
            </w:r>
          </w:p>
        </w:tc>
        <w:tc>
          <w:tcPr>
            <w:tcW w:w="4739" w:type="dxa"/>
            <w:tcBorders>
              <w:top w:val="single" w:sz="12" w:space="0" w:color="000000"/>
              <w:bottom w:val="single" w:sz="12" w:space="0" w:color="000000"/>
            </w:tcBorders>
            <w:vAlign w:val="center"/>
          </w:tcPr>
          <w:p w14:paraId="07C7B2CB" w14:textId="77777777" w:rsidR="007C424D" w:rsidRPr="00CD16BA" w:rsidRDefault="007C424D" w:rsidP="0039267A">
            <w:pPr>
              <w:jc w:val="center"/>
              <w:rPr>
                <w:b/>
                <w:bCs/>
              </w:rPr>
            </w:pPr>
            <w:r w:rsidRPr="00CD16BA">
              <w:rPr>
                <w:b/>
                <w:bCs/>
              </w:rPr>
              <w:t>N Forms</w:t>
            </w:r>
          </w:p>
        </w:tc>
      </w:tr>
      <w:tr w:rsidR="007C424D" w:rsidRPr="00CD16BA" w14:paraId="58A6164A" w14:textId="77777777" w:rsidTr="00EF5BA1">
        <w:tc>
          <w:tcPr>
            <w:tcW w:w="1809" w:type="dxa"/>
            <w:tcBorders>
              <w:top w:val="single" w:sz="12" w:space="0" w:color="000000"/>
              <w:bottom w:val="single" w:sz="8" w:space="0" w:color="000000"/>
            </w:tcBorders>
            <w:vAlign w:val="center"/>
          </w:tcPr>
          <w:p w14:paraId="3A434DB9" w14:textId="77777777" w:rsidR="007C424D" w:rsidRPr="00CD16BA" w:rsidRDefault="007C424D" w:rsidP="0039267A">
            <w:pPr>
              <w:jc w:val="center"/>
            </w:pPr>
            <w:r w:rsidRPr="00CD16BA">
              <w:t>398.6 – 402.2</w:t>
            </w:r>
          </w:p>
        </w:tc>
        <w:tc>
          <w:tcPr>
            <w:tcW w:w="1418" w:type="dxa"/>
            <w:tcBorders>
              <w:top w:val="single" w:sz="12" w:space="0" w:color="000000"/>
              <w:bottom w:val="single" w:sz="8" w:space="0" w:color="000000"/>
            </w:tcBorders>
            <w:vAlign w:val="center"/>
          </w:tcPr>
          <w:p w14:paraId="43097F02" w14:textId="77777777" w:rsidR="007C424D" w:rsidRPr="00CD16BA" w:rsidRDefault="007C424D" w:rsidP="0039267A">
            <w:pPr>
              <w:jc w:val="center"/>
            </w:pPr>
            <w:r w:rsidRPr="00CD16BA">
              <w:t>1s-</w:t>
            </w:r>
            <w:r w:rsidRPr="00CD16BA">
              <w:rPr>
                <w:rFonts w:cs="Lucida Grande"/>
              </w:rPr>
              <w:t>π*</w:t>
            </w:r>
          </w:p>
        </w:tc>
        <w:tc>
          <w:tcPr>
            <w:tcW w:w="1276" w:type="dxa"/>
            <w:tcBorders>
              <w:top w:val="single" w:sz="12" w:space="0" w:color="000000"/>
              <w:bottom w:val="single" w:sz="8" w:space="0" w:color="000000"/>
            </w:tcBorders>
            <w:vAlign w:val="center"/>
          </w:tcPr>
          <w:p w14:paraId="5E5A5088" w14:textId="77777777" w:rsidR="007C424D" w:rsidRPr="00CD16BA" w:rsidRDefault="007C424D" w:rsidP="0039267A">
            <w:pPr>
              <w:jc w:val="center"/>
            </w:pPr>
            <w:r w:rsidRPr="00CD16BA">
              <w:t>N=C</w:t>
            </w:r>
          </w:p>
          <w:p w14:paraId="49D06552" w14:textId="77777777" w:rsidR="007C424D" w:rsidRPr="00CD16BA" w:rsidRDefault="007C424D" w:rsidP="0039267A">
            <w:pPr>
              <w:jc w:val="center"/>
            </w:pPr>
          </w:p>
        </w:tc>
        <w:tc>
          <w:tcPr>
            <w:tcW w:w="4739" w:type="dxa"/>
            <w:tcBorders>
              <w:top w:val="single" w:sz="12" w:space="0" w:color="000000"/>
              <w:bottom w:val="single" w:sz="8" w:space="0" w:color="000000"/>
            </w:tcBorders>
            <w:vAlign w:val="center"/>
          </w:tcPr>
          <w:p w14:paraId="5ACBD48D" w14:textId="77777777" w:rsidR="007C424D" w:rsidRPr="00CD16BA" w:rsidRDefault="007C424D" w:rsidP="0039267A">
            <w:pPr>
              <w:jc w:val="center"/>
            </w:pPr>
            <w:r w:rsidRPr="00CD16BA">
              <w:t>Aromatic (Pyridinic, Pyrazinic, Pyramidinic)</w:t>
            </w:r>
          </w:p>
        </w:tc>
      </w:tr>
      <w:tr w:rsidR="007C424D" w:rsidRPr="00CD16BA" w14:paraId="5D5445B4" w14:textId="77777777" w:rsidTr="00EF5BA1">
        <w:tc>
          <w:tcPr>
            <w:tcW w:w="1809" w:type="dxa"/>
            <w:tcBorders>
              <w:top w:val="single" w:sz="8" w:space="0" w:color="000000"/>
              <w:bottom w:val="single" w:sz="8" w:space="0" w:color="000000"/>
            </w:tcBorders>
            <w:vAlign w:val="center"/>
          </w:tcPr>
          <w:p w14:paraId="76B1F264" w14:textId="77777777" w:rsidR="007C424D" w:rsidRPr="00CD16BA" w:rsidRDefault="007C424D" w:rsidP="0039267A">
            <w:pPr>
              <w:jc w:val="center"/>
            </w:pPr>
            <w:r w:rsidRPr="00CD16BA">
              <w:t>400.0 – 403.5</w:t>
            </w:r>
          </w:p>
        </w:tc>
        <w:tc>
          <w:tcPr>
            <w:tcW w:w="1418" w:type="dxa"/>
            <w:tcBorders>
              <w:top w:val="single" w:sz="8" w:space="0" w:color="000000"/>
              <w:bottom w:val="single" w:sz="8" w:space="0" w:color="000000"/>
            </w:tcBorders>
            <w:vAlign w:val="center"/>
          </w:tcPr>
          <w:p w14:paraId="23ACDA8B" w14:textId="77777777" w:rsidR="007C424D" w:rsidRPr="00CD16BA" w:rsidRDefault="007C424D" w:rsidP="0039267A">
            <w:pPr>
              <w:jc w:val="center"/>
            </w:pPr>
            <w:r w:rsidRPr="00CD16BA">
              <w:t>1s-</w:t>
            </w:r>
            <w:r w:rsidRPr="00CD16BA">
              <w:rPr>
                <w:rFonts w:cs="Lucida Grande"/>
              </w:rPr>
              <w:t>π*</w:t>
            </w:r>
          </w:p>
        </w:tc>
        <w:tc>
          <w:tcPr>
            <w:tcW w:w="1276" w:type="dxa"/>
            <w:tcBorders>
              <w:top w:val="single" w:sz="8" w:space="0" w:color="000000"/>
              <w:bottom w:val="single" w:sz="8" w:space="0" w:color="000000"/>
            </w:tcBorders>
            <w:vAlign w:val="center"/>
          </w:tcPr>
          <w:p w14:paraId="3948D5D9" w14:textId="77777777" w:rsidR="007C424D" w:rsidRPr="00CD16BA" w:rsidRDefault="007C424D" w:rsidP="0039267A">
            <w:pPr>
              <w:jc w:val="center"/>
            </w:pPr>
            <w:r w:rsidRPr="00CD16BA">
              <w:t>N-C</w:t>
            </w:r>
          </w:p>
        </w:tc>
        <w:tc>
          <w:tcPr>
            <w:tcW w:w="4739" w:type="dxa"/>
            <w:tcBorders>
              <w:top w:val="single" w:sz="8" w:space="0" w:color="000000"/>
              <w:bottom w:val="single" w:sz="8" w:space="0" w:color="000000"/>
            </w:tcBorders>
            <w:vAlign w:val="center"/>
          </w:tcPr>
          <w:p w14:paraId="3A40A705" w14:textId="77777777" w:rsidR="007C424D" w:rsidRPr="00CD16BA" w:rsidRDefault="007C424D" w:rsidP="0039267A">
            <w:pPr>
              <w:jc w:val="center"/>
            </w:pPr>
            <w:r w:rsidRPr="00CD16BA">
              <w:t>Aromatic (Pyrrolic, Pyrazolic, Imadazolic)</w:t>
            </w:r>
          </w:p>
        </w:tc>
      </w:tr>
      <w:tr w:rsidR="007C424D" w:rsidRPr="00CD16BA" w14:paraId="6E928D39" w14:textId="77777777" w:rsidTr="00EF5BA1">
        <w:tc>
          <w:tcPr>
            <w:tcW w:w="1809" w:type="dxa"/>
            <w:tcBorders>
              <w:top w:val="single" w:sz="8" w:space="0" w:color="000000"/>
              <w:bottom w:val="single" w:sz="8" w:space="0" w:color="000000"/>
            </w:tcBorders>
            <w:vAlign w:val="center"/>
          </w:tcPr>
          <w:p w14:paraId="0502F0E5" w14:textId="77777777" w:rsidR="007C424D" w:rsidRPr="00CD16BA" w:rsidRDefault="007C424D" w:rsidP="0039267A">
            <w:pPr>
              <w:jc w:val="center"/>
            </w:pPr>
            <w:r w:rsidRPr="00CD16BA">
              <w:t>400.7 – 402.5</w:t>
            </w:r>
          </w:p>
        </w:tc>
        <w:tc>
          <w:tcPr>
            <w:tcW w:w="1418" w:type="dxa"/>
            <w:tcBorders>
              <w:top w:val="single" w:sz="8" w:space="0" w:color="000000"/>
              <w:bottom w:val="single" w:sz="8" w:space="0" w:color="000000"/>
            </w:tcBorders>
            <w:vAlign w:val="center"/>
          </w:tcPr>
          <w:p w14:paraId="5CE0473F" w14:textId="77777777" w:rsidR="007C424D" w:rsidRPr="00CD16BA" w:rsidRDefault="007C424D" w:rsidP="0039267A">
            <w:pPr>
              <w:jc w:val="center"/>
            </w:pPr>
            <w:r w:rsidRPr="00CD16BA">
              <w:t>1s-</w:t>
            </w:r>
            <w:r w:rsidRPr="00CD16BA">
              <w:rPr>
                <w:rFonts w:cs="Lucida Grande"/>
              </w:rPr>
              <w:t>π*</w:t>
            </w:r>
          </w:p>
        </w:tc>
        <w:tc>
          <w:tcPr>
            <w:tcW w:w="1276" w:type="dxa"/>
            <w:tcBorders>
              <w:top w:val="single" w:sz="8" w:space="0" w:color="000000"/>
              <w:bottom w:val="single" w:sz="8" w:space="0" w:color="000000"/>
            </w:tcBorders>
            <w:vAlign w:val="center"/>
          </w:tcPr>
          <w:p w14:paraId="231A35B9" w14:textId="77777777" w:rsidR="007C424D" w:rsidRPr="00CD16BA" w:rsidRDefault="007C424D" w:rsidP="0039267A">
            <w:pPr>
              <w:jc w:val="center"/>
            </w:pPr>
            <w:r w:rsidRPr="00CD16BA">
              <w:t>NH</w:t>
            </w:r>
            <w:r w:rsidRPr="00CD16BA">
              <w:rPr>
                <w:vertAlign w:val="subscript"/>
              </w:rPr>
              <w:t>2</w:t>
            </w:r>
            <w:r w:rsidRPr="00CD16BA">
              <w:t>-C=O</w:t>
            </w:r>
          </w:p>
        </w:tc>
        <w:tc>
          <w:tcPr>
            <w:tcW w:w="4739" w:type="dxa"/>
            <w:tcBorders>
              <w:top w:val="single" w:sz="8" w:space="0" w:color="000000"/>
              <w:bottom w:val="single" w:sz="8" w:space="0" w:color="000000"/>
            </w:tcBorders>
            <w:vAlign w:val="center"/>
          </w:tcPr>
          <w:p w14:paraId="3F8BBB05" w14:textId="77777777" w:rsidR="007C424D" w:rsidRPr="00CD16BA" w:rsidRDefault="007C424D" w:rsidP="0039267A">
            <w:pPr>
              <w:jc w:val="center"/>
            </w:pPr>
            <w:r w:rsidRPr="00CD16BA">
              <w:t>Amide</w:t>
            </w:r>
          </w:p>
        </w:tc>
      </w:tr>
      <w:tr w:rsidR="007C424D" w:rsidRPr="00CD16BA" w14:paraId="41058171" w14:textId="77777777" w:rsidTr="00EF5BA1">
        <w:tc>
          <w:tcPr>
            <w:tcW w:w="1809" w:type="dxa"/>
            <w:tcBorders>
              <w:top w:val="single" w:sz="8" w:space="0" w:color="000000"/>
              <w:bottom w:val="single" w:sz="8" w:space="0" w:color="000000"/>
            </w:tcBorders>
            <w:vAlign w:val="center"/>
          </w:tcPr>
          <w:p w14:paraId="0740BED1" w14:textId="77777777" w:rsidR="007C424D" w:rsidRPr="00CD16BA" w:rsidRDefault="007C424D" w:rsidP="0039267A">
            <w:pPr>
              <w:jc w:val="center"/>
            </w:pPr>
            <w:r w:rsidRPr="00CD16BA">
              <w:t>405.5 – 409.7</w:t>
            </w:r>
          </w:p>
        </w:tc>
        <w:tc>
          <w:tcPr>
            <w:tcW w:w="1418" w:type="dxa"/>
            <w:tcBorders>
              <w:top w:val="single" w:sz="8" w:space="0" w:color="000000"/>
              <w:bottom w:val="single" w:sz="8" w:space="0" w:color="000000"/>
            </w:tcBorders>
            <w:vAlign w:val="center"/>
          </w:tcPr>
          <w:p w14:paraId="59E51C2F" w14:textId="77777777" w:rsidR="007C424D" w:rsidRPr="00CD16BA" w:rsidRDefault="007C424D" w:rsidP="0039267A">
            <w:pPr>
              <w:jc w:val="center"/>
            </w:pPr>
            <w:r w:rsidRPr="00CD16BA">
              <w:t>1s-</w:t>
            </w:r>
            <w:r w:rsidRPr="00CD16BA">
              <w:rPr>
                <w:rFonts w:cs="Lucida Grande"/>
              </w:rPr>
              <w:t>σ*</w:t>
            </w:r>
          </w:p>
        </w:tc>
        <w:tc>
          <w:tcPr>
            <w:tcW w:w="1276" w:type="dxa"/>
            <w:tcBorders>
              <w:top w:val="single" w:sz="8" w:space="0" w:color="000000"/>
              <w:bottom w:val="single" w:sz="8" w:space="0" w:color="000000"/>
            </w:tcBorders>
            <w:vAlign w:val="center"/>
          </w:tcPr>
          <w:p w14:paraId="4577231F" w14:textId="77777777" w:rsidR="007C424D" w:rsidRPr="00CD16BA" w:rsidRDefault="007C424D" w:rsidP="0039267A">
            <w:pPr>
              <w:jc w:val="center"/>
            </w:pPr>
            <w:r w:rsidRPr="00CD16BA">
              <w:t>N-C</w:t>
            </w:r>
          </w:p>
          <w:p w14:paraId="068B3342" w14:textId="77777777" w:rsidR="007C424D" w:rsidRPr="00CD16BA" w:rsidRDefault="007C424D" w:rsidP="0039267A">
            <w:pPr>
              <w:jc w:val="center"/>
            </w:pPr>
            <w:r w:rsidRPr="00CD16BA">
              <w:t>N-H</w:t>
            </w:r>
          </w:p>
        </w:tc>
        <w:tc>
          <w:tcPr>
            <w:tcW w:w="4739" w:type="dxa"/>
            <w:tcBorders>
              <w:top w:val="single" w:sz="8" w:space="0" w:color="000000"/>
              <w:bottom w:val="single" w:sz="8" w:space="0" w:color="000000"/>
            </w:tcBorders>
            <w:vAlign w:val="center"/>
          </w:tcPr>
          <w:p w14:paraId="253A1A09" w14:textId="77777777" w:rsidR="007C424D" w:rsidRPr="00CD16BA" w:rsidRDefault="007C424D" w:rsidP="0039267A">
            <w:pPr>
              <w:jc w:val="center"/>
            </w:pPr>
            <w:r w:rsidRPr="00CD16BA">
              <w:t>Amino</w:t>
            </w:r>
          </w:p>
        </w:tc>
      </w:tr>
    </w:tbl>
    <w:p w14:paraId="0B43B268" w14:textId="77777777" w:rsidR="007C424D" w:rsidRPr="00CD16BA" w:rsidRDefault="007C424D" w:rsidP="0039267A">
      <w:pPr>
        <w:spacing w:before="120"/>
        <w:rPr>
          <w:sz w:val="22"/>
          <w:szCs w:val="22"/>
        </w:rPr>
      </w:pPr>
      <w:r w:rsidRPr="00CD16BA">
        <w:rPr>
          <w:sz w:val="22"/>
          <w:szCs w:val="22"/>
        </w:rPr>
        <w:t>Sources: Peak assignments are based on data collected from the literature</w:t>
      </w:r>
      <w:r w:rsidRPr="00EF5BA1">
        <w:rPr>
          <w:noProof/>
          <w:sz w:val="22"/>
          <w:szCs w:val="22"/>
          <w:vertAlign w:val="superscript"/>
        </w:rPr>
        <w:t>26,29,30,81,82</w:t>
      </w:r>
      <w:r w:rsidRPr="00CD16BA">
        <w:rPr>
          <w:sz w:val="22"/>
          <w:szCs w:val="22"/>
        </w:rPr>
        <w:t xml:space="preserve"> and references therein. </w:t>
      </w:r>
    </w:p>
    <w:p w14:paraId="3F1FF7E7" w14:textId="77777777" w:rsidR="007C424D" w:rsidRPr="00CD16BA" w:rsidRDefault="007C424D" w:rsidP="0039267A">
      <w:pPr>
        <w:spacing w:before="120"/>
        <w:rPr>
          <w:sz w:val="22"/>
          <w:szCs w:val="22"/>
        </w:rPr>
      </w:pPr>
    </w:p>
    <w:p w14:paraId="487634A1" w14:textId="77777777" w:rsidR="007C424D" w:rsidRPr="00CD16BA" w:rsidRDefault="007C424D" w:rsidP="0039267A">
      <w:pPr>
        <w:spacing w:before="120"/>
        <w:jc w:val="both"/>
        <w:rPr>
          <w:sz w:val="22"/>
          <w:szCs w:val="22"/>
          <w:lang w:val="en-US"/>
        </w:rPr>
      </w:pPr>
      <w:r w:rsidRPr="00CD16BA">
        <w:rPr>
          <w:rFonts w:cs="Arial"/>
          <w:b/>
          <w:bCs/>
          <w:sz w:val="22"/>
          <w:szCs w:val="22"/>
        </w:rPr>
        <w:t xml:space="preserve">Supplementary Table 5. </w:t>
      </w:r>
      <w:r w:rsidRPr="00CD16BA">
        <w:rPr>
          <w:rFonts w:cs="Arial"/>
          <w:sz w:val="22"/>
          <w:szCs w:val="22"/>
        </w:rPr>
        <w:t xml:space="preserve">Molecular weight of GPS </w:t>
      </w:r>
      <w:r w:rsidRPr="00CD16BA">
        <w:rPr>
          <w:sz w:val="22"/>
          <w:szCs w:val="22"/>
          <w:lang w:val="en-US"/>
        </w:rPr>
        <w:t xml:space="preserve">determined from the particle hydrodynamic </w:t>
      </w:r>
      <w:r w:rsidRPr="00CD16BA">
        <w:rPr>
          <w:sz w:val="22"/>
          <w:szCs w:val="22"/>
        </w:rPr>
        <w:t>radii measured by Dynamic Light Scattering</w:t>
      </w:r>
      <w:r w:rsidRPr="00CD16BA">
        <w:rPr>
          <w:rFonts w:cs="Arial"/>
          <w:sz w:val="22"/>
          <w:szCs w:val="22"/>
        </w:rPr>
        <w:t xml:space="preserve">. </w:t>
      </w:r>
      <w:r w:rsidRPr="00CD16BA">
        <w:rPr>
          <w:sz w:val="22"/>
          <w:szCs w:val="22"/>
        </w:rPr>
        <w:t>The range of particle radii was found to be 3.25 – 4.36 nm with a maximum peak intensity at 3.77 nm. The hydrodynamic radius was then used to calculate the diffusion coefficient of GPS based on the Stokes-Einstein equation, which in turn was used to calculate the molecular weight</w:t>
      </w:r>
      <w:r w:rsidRPr="00EF5BA1">
        <w:rPr>
          <w:noProof/>
          <w:sz w:val="22"/>
          <w:szCs w:val="22"/>
          <w:vertAlign w:val="superscript"/>
        </w:rPr>
        <w:t>83</w:t>
      </w:r>
      <w:r w:rsidRPr="00CD16BA">
        <w:rPr>
          <w:sz w:val="22"/>
          <w:szCs w:val="22"/>
        </w:rPr>
        <w:t xml:space="preserve"> (see Methods in main text).</w:t>
      </w:r>
    </w:p>
    <w:p w14:paraId="79CDEAE9" w14:textId="77777777" w:rsidR="007C424D" w:rsidRPr="00CD16BA" w:rsidRDefault="007C424D" w:rsidP="0039267A">
      <w:pPr>
        <w:spacing w:before="120"/>
        <w:rPr>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2737"/>
        <w:gridCol w:w="1701"/>
        <w:gridCol w:w="2996"/>
      </w:tblGrid>
      <w:tr w:rsidR="007C424D" w:rsidRPr="00CD16BA" w14:paraId="394B6B59" w14:textId="77777777" w:rsidTr="00EF5BA1">
        <w:tc>
          <w:tcPr>
            <w:tcW w:w="1794" w:type="dxa"/>
            <w:tcBorders>
              <w:top w:val="single" w:sz="12" w:space="0" w:color="000000"/>
              <w:bottom w:val="single" w:sz="12" w:space="0" w:color="000000"/>
            </w:tcBorders>
            <w:vAlign w:val="center"/>
          </w:tcPr>
          <w:p w14:paraId="6BB9F875" w14:textId="77777777" w:rsidR="007C424D" w:rsidRPr="00CD16BA" w:rsidRDefault="007C424D" w:rsidP="0039267A">
            <w:pPr>
              <w:jc w:val="center"/>
              <w:rPr>
                <w:b/>
                <w:bCs/>
              </w:rPr>
            </w:pPr>
          </w:p>
        </w:tc>
        <w:tc>
          <w:tcPr>
            <w:tcW w:w="2737" w:type="dxa"/>
            <w:tcBorders>
              <w:top w:val="single" w:sz="12" w:space="0" w:color="000000"/>
              <w:bottom w:val="single" w:sz="12" w:space="0" w:color="000000"/>
            </w:tcBorders>
            <w:vAlign w:val="center"/>
          </w:tcPr>
          <w:p w14:paraId="587D9E9B" w14:textId="77777777" w:rsidR="007C424D" w:rsidRPr="00CD16BA" w:rsidRDefault="007C424D" w:rsidP="0039267A">
            <w:pPr>
              <w:jc w:val="center"/>
              <w:rPr>
                <w:b/>
                <w:bCs/>
              </w:rPr>
            </w:pPr>
            <w:r w:rsidRPr="00CD16BA">
              <w:rPr>
                <w:b/>
                <w:bCs/>
              </w:rPr>
              <w:t>Hydrodynamic Radius (nm)</w:t>
            </w:r>
          </w:p>
        </w:tc>
        <w:tc>
          <w:tcPr>
            <w:tcW w:w="1701" w:type="dxa"/>
            <w:tcBorders>
              <w:top w:val="single" w:sz="12" w:space="0" w:color="000000"/>
              <w:bottom w:val="single" w:sz="12" w:space="0" w:color="000000"/>
            </w:tcBorders>
            <w:vAlign w:val="center"/>
          </w:tcPr>
          <w:p w14:paraId="663A951F" w14:textId="77777777" w:rsidR="007C424D" w:rsidRPr="00CD16BA" w:rsidRDefault="007C424D" w:rsidP="0039267A">
            <w:pPr>
              <w:jc w:val="center"/>
              <w:rPr>
                <w:b/>
                <w:bCs/>
              </w:rPr>
            </w:pPr>
            <w:r w:rsidRPr="00CD16BA">
              <w:rPr>
                <w:b/>
                <w:bCs/>
              </w:rPr>
              <w:t>Diffusion Coefficient  (cm</w:t>
            </w:r>
            <w:r w:rsidRPr="00CD16BA">
              <w:rPr>
                <w:b/>
                <w:bCs/>
                <w:vertAlign w:val="superscript"/>
              </w:rPr>
              <w:t>2</w:t>
            </w:r>
            <w:r w:rsidRPr="00CD16BA">
              <w:rPr>
                <w:b/>
                <w:bCs/>
              </w:rPr>
              <w:t xml:space="preserve"> yr</w:t>
            </w:r>
            <w:r w:rsidRPr="00CD16BA">
              <w:rPr>
                <w:b/>
                <w:bCs/>
                <w:vertAlign w:val="superscript"/>
              </w:rPr>
              <w:t>-1</w:t>
            </w:r>
            <w:r w:rsidRPr="00CD16BA">
              <w:rPr>
                <w:b/>
                <w:bCs/>
              </w:rPr>
              <w:t>)</w:t>
            </w:r>
          </w:p>
        </w:tc>
        <w:tc>
          <w:tcPr>
            <w:tcW w:w="2996" w:type="dxa"/>
            <w:tcBorders>
              <w:top w:val="single" w:sz="12" w:space="0" w:color="000000"/>
              <w:bottom w:val="single" w:sz="12" w:space="0" w:color="000000"/>
            </w:tcBorders>
            <w:vAlign w:val="center"/>
          </w:tcPr>
          <w:p w14:paraId="7077A6EB" w14:textId="77777777" w:rsidR="007C424D" w:rsidRPr="00CD16BA" w:rsidRDefault="007C424D" w:rsidP="0039267A">
            <w:pPr>
              <w:jc w:val="center"/>
              <w:rPr>
                <w:b/>
                <w:bCs/>
              </w:rPr>
            </w:pPr>
            <w:r w:rsidRPr="00CD16BA">
              <w:rPr>
                <w:b/>
                <w:bCs/>
              </w:rPr>
              <w:t>Molecular weight (g mol</w:t>
            </w:r>
            <w:r w:rsidRPr="00CD16BA">
              <w:rPr>
                <w:b/>
                <w:bCs/>
                <w:vertAlign w:val="superscript"/>
              </w:rPr>
              <w:t>-1</w:t>
            </w:r>
            <w:r w:rsidRPr="00CD16BA">
              <w:rPr>
                <w:b/>
                <w:bCs/>
              </w:rPr>
              <w:t>)</w:t>
            </w:r>
          </w:p>
        </w:tc>
      </w:tr>
      <w:tr w:rsidR="007C424D" w:rsidRPr="00CD16BA" w14:paraId="0619F037" w14:textId="77777777" w:rsidTr="00EF5BA1">
        <w:tc>
          <w:tcPr>
            <w:tcW w:w="1794" w:type="dxa"/>
            <w:tcBorders>
              <w:top w:val="single" w:sz="12" w:space="0" w:color="000000"/>
            </w:tcBorders>
            <w:vAlign w:val="center"/>
          </w:tcPr>
          <w:p w14:paraId="1D62176A" w14:textId="77777777" w:rsidR="007C424D" w:rsidRPr="00CD16BA" w:rsidRDefault="007C424D" w:rsidP="0039267A">
            <w:pPr>
              <w:jc w:val="center"/>
            </w:pPr>
            <w:r w:rsidRPr="00CD16BA">
              <w:t>Nominal</w:t>
            </w:r>
          </w:p>
        </w:tc>
        <w:tc>
          <w:tcPr>
            <w:tcW w:w="2737" w:type="dxa"/>
            <w:tcBorders>
              <w:top w:val="single" w:sz="12" w:space="0" w:color="000000"/>
            </w:tcBorders>
            <w:vAlign w:val="center"/>
          </w:tcPr>
          <w:p w14:paraId="57290E6E" w14:textId="77777777" w:rsidR="007C424D" w:rsidRPr="00CD16BA" w:rsidRDefault="007C424D" w:rsidP="0039267A">
            <w:pPr>
              <w:jc w:val="center"/>
            </w:pPr>
            <w:r w:rsidRPr="00CD16BA">
              <w:t>3.77</w:t>
            </w:r>
          </w:p>
        </w:tc>
        <w:tc>
          <w:tcPr>
            <w:tcW w:w="1701" w:type="dxa"/>
            <w:tcBorders>
              <w:top w:val="single" w:sz="12" w:space="0" w:color="000000"/>
            </w:tcBorders>
            <w:vAlign w:val="center"/>
          </w:tcPr>
          <w:p w14:paraId="5D1B7264" w14:textId="77777777" w:rsidR="007C424D" w:rsidRPr="00CD16BA" w:rsidRDefault="007C424D" w:rsidP="0039267A">
            <w:pPr>
              <w:jc w:val="center"/>
            </w:pPr>
            <w:r w:rsidRPr="00CD16BA">
              <w:t>19.96</w:t>
            </w:r>
          </w:p>
        </w:tc>
        <w:tc>
          <w:tcPr>
            <w:tcW w:w="2996" w:type="dxa"/>
            <w:tcBorders>
              <w:top w:val="single" w:sz="12" w:space="0" w:color="000000"/>
            </w:tcBorders>
            <w:vAlign w:val="center"/>
          </w:tcPr>
          <w:p w14:paraId="01005DC5" w14:textId="77777777" w:rsidR="007C424D" w:rsidRPr="00CD16BA" w:rsidRDefault="007C424D" w:rsidP="0039267A">
            <w:pPr>
              <w:jc w:val="center"/>
            </w:pPr>
            <w:r w:rsidRPr="00CD16BA">
              <w:t>27067</w:t>
            </w:r>
          </w:p>
        </w:tc>
      </w:tr>
      <w:tr w:rsidR="007C424D" w:rsidRPr="00CD16BA" w14:paraId="39B7D7C0" w14:textId="77777777" w:rsidTr="00EF5BA1">
        <w:tc>
          <w:tcPr>
            <w:tcW w:w="1794" w:type="dxa"/>
            <w:vAlign w:val="center"/>
          </w:tcPr>
          <w:p w14:paraId="2C211073" w14:textId="77777777" w:rsidR="007C424D" w:rsidRPr="00CD16BA" w:rsidRDefault="007C424D" w:rsidP="0039267A">
            <w:pPr>
              <w:jc w:val="center"/>
            </w:pPr>
            <w:r w:rsidRPr="00CD16BA">
              <w:t>Maximum</w:t>
            </w:r>
          </w:p>
        </w:tc>
        <w:tc>
          <w:tcPr>
            <w:tcW w:w="2737" w:type="dxa"/>
            <w:vAlign w:val="center"/>
          </w:tcPr>
          <w:p w14:paraId="0B80E008" w14:textId="77777777" w:rsidR="007C424D" w:rsidRPr="00CD16BA" w:rsidRDefault="007C424D" w:rsidP="0039267A">
            <w:pPr>
              <w:jc w:val="center"/>
            </w:pPr>
            <w:r w:rsidRPr="00CD16BA">
              <w:t>4.36</w:t>
            </w:r>
          </w:p>
        </w:tc>
        <w:tc>
          <w:tcPr>
            <w:tcW w:w="1701" w:type="dxa"/>
            <w:vAlign w:val="center"/>
          </w:tcPr>
          <w:p w14:paraId="6A1F5BB2" w14:textId="77777777" w:rsidR="007C424D" w:rsidRPr="00CD16BA" w:rsidRDefault="007C424D" w:rsidP="0039267A">
            <w:pPr>
              <w:jc w:val="center"/>
            </w:pPr>
            <w:r w:rsidRPr="00CD16BA">
              <w:t>17.26</w:t>
            </w:r>
          </w:p>
        </w:tc>
        <w:tc>
          <w:tcPr>
            <w:tcW w:w="2996" w:type="dxa"/>
            <w:vAlign w:val="center"/>
          </w:tcPr>
          <w:p w14:paraId="500DBA7B" w14:textId="77777777" w:rsidR="007C424D" w:rsidRPr="00CD16BA" w:rsidRDefault="007C424D" w:rsidP="0039267A">
            <w:pPr>
              <w:jc w:val="center"/>
            </w:pPr>
            <w:r w:rsidRPr="00CD16BA">
              <w:t>41867</w:t>
            </w:r>
          </w:p>
        </w:tc>
      </w:tr>
      <w:tr w:rsidR="007C424D" w:rsidRPr="00CD16BA" w14:paraId="6757FF85" w14:textId="77777777" w:rsidTr="00EF5BA1">
        <w:tc>
          <w:tcPr>
            <w:tcW w:w="1794" w:type="dxa"/>
            <w:vAlign w:val="center"/>
          </w:tcPr>
          <w:p w14:paraId="5CDCBD23" w14:textId="77777777" w:rsidR="007C424D" w:rsidRPr="00CD16BA" w:rsidRDefault="007C424D" w:rsidP="0039267A">
            <w:pPr>
              <w:jc w:val="center"/>
            </w:pPr>
            <w:r w:rsidRPr="00CD16BA">
              <w:t>Minimum</w:t>
            </w:r>
          </w:p>
        </w:tc>
        <w:tc>
          <w:tcPr>
            <w:tcW w:w="2737" w:type="dxa"/>
            <w:vAlign w:val="center"/>
          </w:tcPr>
          <w:p w14:paraId="1B50C022" w14:textId="77777777" w:rsidR="007C424D" w:rsidRPr="00CD16BA" w:rsidRDefault="007C424D" w:rsidP="0039267A">
            <w:pPr>
              <w:jc w:val="center"/>
            </w:pPr>
            <w:r w:rsidRPr="00CD16BA">
              <w:t>3.25</w:t>
            </w:r>
          </w:p>
        </w:tc>
        <w:tc>
          <w:tcPr>
            <w:tcW w:w="1701" w:type="dxa"/>
            <w:vAlign w:val="center"/>
          </w:tcPr>
          <w:p w14:paraId="03E798B8" w14:textId="77777777" w:rsidR="007C424D" w:rsidRPr="00CD16BA" w:rsidRDefault="007C424D" w:rsidP="0039267A">
            <w:pPr>
              <w:jc w:val="center"/>
            </w:pPr>
            <w:r w:rsidRPr="00CD16BA">
              <w:t>23.16</w:t>
            </w:r>
          </w:p>
        </w:tc>
        <w:tc>
          <w:tcPr>
            <w:tcW w:w="2996" w:type="dxa"/>
            <w:vAlign w:val="center"/>
          </w:tcPr>
          <w:p w14:paraId="66DA7F71" w14:textId="77777777" w:rsidR="007C424D" w:rsidRPr="00CD16BA" w:rsidRDefault="007C424D" w:rsidP="0039267A">
            <w:pPr>
              <w:jc w:val="center"/>
            </w:pPr>
            <w:r w:rsidRPr="00CD16BA">
              <w:t>17341</w:t>
            </w:r>
          </w:p>
        </w:tc>
      </w:tr>
    </w:tbl>
    <w:p w14:paraId="3230763F" w14:textId="7800D371" w:rsidR="007C424D" w:rsidRPr="003A70DC" w:rsidRDefault="007C424D" w:rsidP="00151E6E">
      <w:pPr>
        <w:spacing w:line="276" w:lineRule="auto"/>
        <w:ind w:right="-46"/>
        <w:rPr>
          <w:rFonts w:eastAsia="Times New Roman" w:cstheme="minorHAnsi"/>
          <w:sz w:val="22"/>
          <w:szCs w:val="22"/>
          <w:lang w:eastAsia="en-GB"/>
        </w:rPr>
      </w:pPr>
      <w:r w:rsidRPr="003A70DC">
        <w:rPr>
          <w:rFonts w:cstheme="minorHAnsi"/>
          <w:b/>
          <w:sz w:val="22"/>
          <w:szCs w:val="22"/>
        </w:rPr>
        <w:lastRenderedPageBreak/>
        <w:t xml:space="preserve">Supplementary Table 6. Experimentally or literature determined range and extended range for the variable input parameters used in the Monte Carlo analysis. </w:t>
      </w:r>
      <w:r w:rsidRPr="003A70DC">
        <w:rPr>
          <w:rFonts w:eastAsia="Times New Roman" w:cstheme="minorHAnsi"/>
          <w:sz w:val="22"/>
          <w:szCs w:val="22"/>
          <w:vertAlign w:val="superscript"/>
          <w:lang w:eastAsia="en-GB"/>
        </w:rPr>
        <w:t>*</w:t>
      </w:r>
      <w:r w:rsidRPr="003A70DC">
        <w:rPr>
          <w:rFonts w:eastAsia="Times New Roman" w:cstheme="minorHAnsi"/>
          <w:sz w:val="22"/>
          <w:szCs w:val="22"/>
          <w:lang w:eastAsia="en-GB"/>
        </w:rPr>
        <w:t>Indicates cases where one standard deviation less than the original range minimum fell lower than zero and thus a low value of 10</w:t>
      </w:r>
      <w:r w:rsidRPr="003A70DC">
        <w:rPr>
          <w:rFonts w:eastAsia="Times New Roman" w:cstheme="minorHAnsi"/>
          <w:sz w:val="22"/>
          <w:szCs w:val="22"/>
          <w:vertAlign w:val="superscript"/>
          <w:lang w:eastAsia="en-GB"/>
        </w:rPr>
        <w:t>-15</w:t>
      </w:r>
      <w:r w:rsidRPr="003A70DC">
        <w:rPr>
          <w:rFonts w:eastAsia="Times New Roman" w:cstheme="minorHAnsi"/>
          <w:sz w:val="22"/>
          <w:szCs w:val="22"/>
          <w:lang w:eastAsia="en-GB"/>
        </w:rPr>
        <w:t xml:space="preserve"> was chosen.</w:t>
      </w:r>
    </w:p>
    <w:tbl>
      <w:tblPr>
        <w:tblW w:w="9595" w:type="dxa"/>
        <w:jc w:val="center"/>
        <w:tblLayout w:type="fixed"/>
        <w:tblLook w:val="04A0" w:firstRow="1" w:lastRow="0" w:firstColumn="1" w:lastColumn="0" w:noHBand="0" w:noVBand="1"/>
      </w:tblPr>
      <w:tblGrid>
        <w:gridCol w:w="1898"/>
        <w:gridCol w:w="850"/>
        <w:gridCol w:w="1221"/>
        <w:gridCol w:w="1542"/>
        <w:gridCol w:w="850"/>
        <w:gridCol w:w="1010"/>
        <w:gridCol w:w="660"/>
        <w:gridCol w:w="1564"/>
      </w:tblGrid>
      <w:tr w:rsidR="007C424D" w:rsidRPr="00151E6E" w14:paraId="4B219174" w14:textId="77777777" w:rsidTr="00474E11">
        <w:trPr>
          <w:trHeight w:val="300"/>
          <w:jc w:val="center"/>
        </w:trPr>
        <w:tc>
          <w:tcPr>
            <w:tcW w:w="1898" w:type="dxa"/>
            <w:tcBorders>
              <w:top w:val="single" w:sz="12" w:space="0" w:color="000000"/>
            </w:tcBorders>
            <w:shd w:val="clear" w:color="auto" w:fill="auto"/>
            <w:noWrap/>
            <w:vAlign w:val="center"/>
          </w:tcPr>
          <w:p w14:paraId="08350C2F" w14:textId="77777777" w:rsidR="007C424D" w:rsidRPr="00151E6E" w:rsidRDefault="007C424D" w:rsidP="0039267A">
            <w:pPr>
              <w:jc w:val="center"/>
              <w:rPr>
                <w:rFonts w:eastAsia="Times New Roman" w:cstheme="minorHAnsi"/>
                <w:b/>
                <w:bCs/>
                <w:sz w:val="20"/>
                <w:szCs w:val="20"/>
                <w:lang w:eastAsia="en-GB"/>
              </w:rPr>
            </w:pPr>
          </w:p>
        </w:tc>
        <w:tc>
          <w:tcPr>
            <w:tcW w:w="850" w:type="dxa"/>
            <w:tcBorders>
              <w:top w:val="single" w:sz="12" w:space="0" w:color="000000"/>
            </w:tcBorders>
            <w:vAlign w:val="center"/>
          </w:tcPr>
          <w:p w14:paraId="76210A83" w14:textId="77777777" w:rsidR="007C424D" w:rsidRPr="00151E6E" w:rsidRDefault="007C424D" w:rsidP="0039267A">
            <w:pPr>
              <w:jc w:val="center"/>
              <w:rPr>
                <w:rFonts w:cstheme="minorHAnsi"/>
                <w:b/>
                <w:bCs/>
                <w:sz w:val="20"/>
                <w:szCs w:val="20"/>
              </w:rPr>
            </w:pPr>
          </w:p>
        </w:tc>
        <w:tc>
          <w:tcPr>
            <w:tcW w:w="1221" w:type="dxa"/>
            <w:tcBorders>
              <w:top w:val="single" w:sz="12" w:space="0" w:color="000000"/>
            </w:tcBorders>
            <w:vAlign w:val="center"/>
          </w:tcPr>
          <w:p w14:paraId="6C9D4091" w14:textId="77777777" w:rsidR="007C424D" w:rsidRPr="00151E6E" w:rsidRDefault="007C424D" w:rsidP="0039267A">
            <w:pPr>
              <w:jc w:val="center"/>
              <w:rPr>
                <w:rFonts w:cstheme="minorHAnsi"/>
                <w:b/>
                <w:bCs/>
                <w:sz w:val="20"/>
                <w:szCs w:val="20"/>
              </w:rPr>
            </w:pPr>
          </w:p>
        </w:tc>
        <w:tc>
          <w:tcPr>
            <w:tcW w:w="1542" w:type="dxa"/>
            <w:tcBorders>
              <w:top w:val="single" w:sz="12" w:space="0" w:color="000000"/>
            </w:tcBorders>
            <w:vAlign w:val="center"/>
          </w:tcPr>
          <w:p w14:paraId="67C2F9FA" w14:textId="77777777" w:rsidR="007C424D" w:rsidRPr="00151E6E" w:rsidRDefault="007C424D" w:rsidP="0039267A">
            <w:pPr>
              <w:jc w:val="center"/>
              <w:rPr>
                <w:rFonts w:eastAsia="Times New Roman" w:cstheme="minorHAnsi"/>
                <w:b/>
                <w:bCs/>
                <w:sz w:val="20"/>
                <w:szCs w:val="20"/>
                <w:lang w:eastAsia="en-GB"/>
              </w:rPr>
            </w:pPr>
          </w:p>
        </w:tc>
        <w:tc>
          <w:tcPr>
            <w:tcW w:w="2520" w:type="dxa"/>
            <w:gridSpan w:val="3"/>
            <w:tcBorders>
              <w:top w:val="single" w:sz="12" w:space="0" w:color="000000"/>
            </w:tcBorders>
            <w:vAlign w:val="center"/>
          </w:tcPr>
          <w:p w14:paraId="3DFCDD0A" w14:textId="77777777" w:rsidR="007C424D" w:rsidRPr="00151E6E" w:rsidRDefault="007C424D" w:rsidP="0039267A">
            <w:pPr>
              <w:jc w:val="center"/>
              <w:rPr>
                <w:rFonts w:eastAsia="Times New Roman" w:cstheme="minorHAnsi"/>
                <w:b/>
                <w:bCs/>
                <w:sz w:val="20"/>
                <w:szCs w:val="20"/>
                <w:lang w:eastAsia="en-GB"/>
              </w:rPr>
            </w:pPr>
            <w:r w:rsidRPr="00151E6E">
              <w:rPr>
                <w:rFonts w:eastAsia="Times New Roman" w:cstheme="minorHAnsi"/>
                <w:b/>
                <w:bCs/>
                <w:sz w:val="20"/>
                <w:szCs w:val="20"/>
                <w:lang w:eastAsia="en-GB"/>
              </w:rPr>
              <w:t>Monte Carlo range</w:t>
            </w:r>
          </w:p>
        </w:tc>
        <w:tc>
          <w:tcPr>
            <w:tcW w:w="1564" w:type="dxa"/>
            <w:tcBorders>
              <w:top w:val="single" w:sz="12" w:space="0" w:color="000000"/>
            </w:tcBorders>
            <w:vAlign w:val="center"/>
          </w:tcPr>
          <w:p w14:paraId="28B88DB8" w14:textId="77777777" w:rsidR="007C424D" w:rsidRPr="00151E6E" w:rsidRDefault="007C424D" w:rsidP="0039267A">
            <w:pPr>
              <w:jc w:val="center"/>
              <w:rPr>
                <w:rFonts w:eastAsia="Times New Roman" w:cstheme="minorHAnsi"/>
                <w:b/>
                <w:bCs/>
                <w:sz w:val="20"/>
                <w:szCs w:val="20"/>
                <w:lang w:eastAsia="en-GB"/>
              </w:rPr>
            </w:pPr>
          </w:p>
        </w:tc>
      </w:tr>
      <w:tr w:rsidR="007C424D" w:rsidRPr="00151E6E" w14:paraId="5EDF7AC3" w14:textId="77777777" w:rsidTr="00474E11">
        <w:trPr>
          <w:trHeight w:val="300"/>
          <w:jc w:val="center"/>
        </w:trPr>
        <w:tc>
          <w:tcPr>
            <w:tcW w:w="1898" w:type="dxa"/>
            <w:tcBorders>
              <w:bottom w:val="single" w:sz="12" w:space="0" w:color="000000"/>
            </w:tcBorders>
            <w:shd w:val="clear" w:color="auto" w:fill="auto"/>
            <w:noWrap/>
            <w:vAlign w:val="center"/>
          </w:tcPr>
          <w:p w14:paraId="61D5DF2A" w14:textId="77777777" w:rsidR="007C424D" w:rsidRPr="00151E6E" w:rsidRDefault="007C424D" w:rsidP="0039267A">
            <w:pPr>
              <w:jc w:val="center"/>
              <w:rPr>
                <w:rFonts w:eastAsia="Times New Roman" w:cstheme="minorHAnsi"/>
                <w:b/>
                <w:bCs/>
                <w:sz w:val="20"/>
                <w:szCs w:val="20"/>
                <w:lang w:eastAsia="en-GB"/>
              </w:rPr>
            </w:pPr>
            <w:r w:rsidRPr="00151E6E">
              <w:rPr>
                <w:rFonts w:eastAsia="Times New Roman" w:cstheme="minorHAnsi"/>
                <w:b/>
                <w:bCs/>
                <w:sz w:val="20"/>
                <w:szCs w:val="20"/>
                <w:lang w:eastAsia="en-GB"/>
              </w:rPr>
              <w:t>Parameter</w:t>
            </w:r>
          </w:p>
        </w:tc>
        <w:tc>
          <w:tcPr>
            <w:tcW w:w="850" w:type="dxa"/>
            <w:tcBorders>
              <w:bottom w:val="single" w:sz="12" w:space="0" w:color="000000"/>
            </w:tcBorders>
            <w:vAlign w:val="center"/>
          </w:tcPr>
          <w:p w14:paraId="64DF27CC" w14:textId="77777777" w:rsidR="007C424D" w:rsidRPr="00151E6E" w:rsidRDefault="007C424D" w:rsidP="0039267A">
            <w:pPr>
              <w:jc w:val="center"/>
              <w:rPr>
                <w:rFonts w:cstheme="minorHAnsi"/>
                <w:b/>
                <w:bCs/>
                <w:sz w:val="20"/>
                <w:szCs w:val="20"/>
              </w:rPr>
            </w:pPr>
            <w:r w:rsidRPr="00151E6E">
              <w:rPr>
                <w:rFonts w:cstheme="minorHAnsi"/>
                <w:b/>
                <w:bCs/>
                <w:sz w:val="20"/>
                <w:szCs w:val="20"/>
              </w:rPr>
              <w:t>Symbol</w:t>
            </w:r>
          </w:p>
        </w:tc>
        <w:tc>
          <w:tcPr>
            <w:tcW w:w="1221" w:type="dxa"/>
            <w:tcBorders>
              <w:bottom w:val="single" w:sz="12" w:space="0" w:color="000000"/>
            </w:tcBorders>
            <w:vAlign w:val="center"/>
          </w:tcPr>
          <w:p w14:paraId="60069945" w14:textId="77777777" w:rsidR="007C424D" w:rsidRPr="00151E6E" w:rsidRDefault="007C424D" w:rsidP="0039267A">
            <w:pPr>
              <w:jc w:val="center"/>
              <w:rPr>
                <w:rFonts w:cstheme="minorHAnsi"/>
                <w:b/>
                <w:bCs/>
                <w:sz w:val="20"/>
                <w:szCs w:val="20"/>
              </w:rPr>
            </w:pPr>
            <w:r w:rsidRPr="00151E6E">
              <w:rPr>
                <w:rFonts w:cstheme="minorHAnsi"/>
                <w:b/>
                <w:bCs/>
                <w:sz w:val="20"/>
                <w:szCs w:val="20"/>
              </w:rPr>
              <w:t>Unit</w:t>
            </w:r>
          </w:p>
        </w:tc>
        <w:tc>
          <w:tcPr>
            <w:tcW w:w="1542" w:type="dxa"/>
            <w:tcBorders>
              <w:bottom w:val="single" w:sz="12" w:space="0" w:color="000000"/>
            </w:tcBorders>
            <w:vAlign w:val="center"/>
          </w:tcPr>
          <w:p w14:paraId="7832D5F0" w14:textId="77777777" w:rsidR="007C424D" w:rsidRPr="00151E6E" w:rsidRDefault="007C424D" w:rsidP="0039267A">
            <w:pPr>
              <w:jc w:val="center"/>
              <w:rPr>
                <w:rFonts w:eastAsia="Times New Roman" w:cstheme="minorHAnsi"/>
                <w:b/>
                <w:bCs/>
                <w:sz w:val="20"/>
                <w:szCs w:val="20"/>
                <w:lang w:eastAsia="en-GB"/>
              </w:rPr>
            </w:pPr>
            <w:r w:rsidRPr="00151E6E">
              <w:rPr>
                <w:rFonts w:eastAsia="Times New Roman" w:cstheme="minorHAnsi"/>
                <w:b/>
                <w:bCs/>
                <w:sz w:val="20"/>
                <w:szCs w:val="20"/>
                <w:lang w:eastAsia="en-GB"/>
              </w:rPr>
              <w:t>Experimentally or literature determined range</w:t>
            </w:r>
          </w:p>
        </w:tc>
        <w:tc>
          <w:tcPr>
            <w:tcW w:w="850" w:type="dxa"/>
            <w:tcBorders>
              <w:bottom w:val="single" w:sz="12" w:space="0" w:color="000000"/>
            </w:tcBorders>
            <w:vAlign w:val="center"/>
          </w:tcPr>
          <w:p w14:paraId="51464B47" w14:textId="77777777" w:rsidR="007C424D" w:rsidRPr="00151E6E" w:rsidRDefault="007C424D" w:rsidP="0039267A">
            <w:pPr>
              <w:jc w:val="center"/>
              <w:rPr>
                <w:rFonts w:eastAsia="Times New Roman" w:cstheme="minorHAnsi"/>
                <w:b/>
                <w:bCs/>
                <w:sz w:val="20"/>
                <w:szCs w:val="20"/>
                <w:lang w:eastAsia="en-GB"/>
              </w:rPr>
            </w:pPr>
            <w:r w:rsidRPr="00151E6E">
              <w:rPr>
                <w:rFonts w:eastAsia="Times New Roman" w:cstheme="minorHAnsi"/>
                <w:b/>
                <w:bCs/>
                <w:sz w:val="20"/>
                <w:szCs w:val="20"/>
                <w:lang w:eastAsia="en-GB"/>
              </w:rPr>
              <w:t>mean</w:t>
            </w:r>
          </w:p>
        </w:tc>
        <w:tc>
          <w:tcPr>
            <w:tcW w:w="1010" w:type="dxa"/>
            <w:tcBorders>
              <w:bottom w:val="single" w:sz="12" w:space="0" w:color="000000"/>
            </w:tcBorders>
            <w:shd w:val="clear" w:color="auto" w:fill="auto"/>
            <w:noWrap/>
            <w:vAlign w:val="center"/>
          </w:tcPr>
          <w:p w14:paraId="10C2BCA3" w14:textId="77777777" w:rsidR="007C424D" w:rsidRPr="00151E6E" w:rsidRDefault="007C424D" w:rsidP="0039267A">
            <w:pPr>
              <w:jc w:val="center"/>
              <w:rPr>
                <w:rFonts w:eastAsia="Times New Roman" w:cstheme="minorHAnsi"/>
                <w:b/>
                <w:bCs/>
                <w:sz w:val="20"/>
                <w:szCs w:val="20"/>
                <w:lang w:eastAsia="en-GB"/>
              </w:rPr>
            </w:pPr>
            <w:r w:rsidRPr="00151E6E">
              <w:rPr>
                <w:rFonts w:eastAsia="Times New Roman" w:cstheme="minorHAnsi"/>
                <w:b/>
                <w:bCs/>
                <w:sz w:val="20"/>
                <w:szCs w:val="20"/>
                <w:lang w:eastAsia="en-GB"/>
              </w:rPr>
              <w:t>min</w:t>
            </w:r>
          </w:p>
        </w:tc>
        <w:tc>
          <w:tcPr>
            <w:tcW w:w="660" w:type="dxa"/>
            <w:tcBorders>
              <w:bottom w:val="single" w:sz="12" w:space="0" w:color="000000"/>
            </w:tcBorders>
            <w:shd w:val="clear" w:color="auto" w:fill="auto"/>
            <w:noWrap/>
            <w:vAlign w:val="center"/>
          </w:tcPr>
          <w:p w14:paraId="19CB6487" w14:textId="77777777" w:rsidR="007C424D" w:rsidRPr="00151E6E" w:rsidRDefault="007C424D" w:rsidP="0039267A">
            <w:pPr>
              <w:jc w:val="center"/>
              <w:rPr>
                <w:rFonts w:eastAsia="Times New Roman" w:cstheme="minorHAnsi"/>
                <w:b/>
                <w:bCs/>
                <w:sz w:val="20"/>
                <w:szCs w:val="20"/>
                <w:lang w:eastAsia="en-GB"/>
              </w:rPr>
            </w:pPr>
            <w:r w:rsidRPr="00151E6E">
              <w:rPr>
                <w:rFonts w:eastAsia="Times New Roman" w:cstheme="minorHAnsi"/>
                <w:b/>
                <w:bCs/>
                <w:sz w:val="20"/>
                <w:szCs w:val="20"/>
                <w:lang w:eastAsia="en-GB"/>
              </w:rPr>
              <w:t>max</w:t>
            </w:r>
          </w:p>
        </w:tc>
        <w:tc>
          <w:tcPr>
            <w:tcW w:w="1564" w:type="dxa"/>
            <w:tcBorders>
              <w:bottom w:val="single" w:sz="12" w:space="0" w:color="000000"/>
            </w:tcBorders>
            <w:vAlign w:val="center"/>
          </w:tcPr>
          <w:p w14:paraId="2ADC4212" w14:textId="77777777" w:rsidR="007C424D" w:rsidRPr="00151E6E" w:rsidRDefault="007C424D" w:rsidP="0039267A">
            <w:pPr>
              <w:jc w:val="center"/>
              <w:rPr>
                <w:rFonts w:eastAsia="Times New Roman" w:cstheme="minorHAnsi"/>
                <w:b/>
                <w:bCs/>
                <w:sz w:val="20"/>
                <w:szCs w:val="20"/>
                <w:lang w:eastAsia="en-GB"/>
              </w:rPr>
            </w:pPr>
            <w:r w:rsidRPr="00151E6E">
              <w:rPr>
                <w:rFonts w:eastAsia="Times New Roman" w:cstheme="minorHAnsi"/>
                <w:b/>
                <w:bCs/>
                <w:sz w:val="20"/>
                <w:szCs w:val="20"/>
                <w:lang w:eastAsia="en-GB"/>
              </w:rPr>
              <w:t>*Note</w:t>
            </w:r>
          </w:p>
        </w:tc>
      </w:tr>
      <w:tr w:rsidR="007C424D" w:rsidRPr="00151E6E" w14:paraId="076F9023" w14:textId="77777777" w:rsidTr="00474E11">
        <w:trPr>
          <w:trHeight w:val="300"/>
          <w:jc w:val="center"/>
        </w:trPr>
        <w:tc>
          <w:tcPr>
            <w:tcW w:w="1898" w:type="dxa"/>
            <w:tcBorders>
              <w:top w:val="single" w:sz="12" w:space="0" w:color="000000"/>
              <w:bottom w:val="single" w:sz="8" w:space="0" w:color="000000"/>
            </w:tcBorders>
            <w:shd w:val="clear" w:color="auto" w:fill="auto"/>
            <w:noWrap/>
            <w:vAlign w:val="center"/>
          </w:tcPr>
          <w:p w14:paraId="3E757CF5"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Experimental GPS production rate with Fe catalysis</w:t>
            </w:r>
          </w:p>
        </w:tc>
        <w:tc>
          <w:tcPr>
            <w:tcW w:w="850" w:type="dxa"/>
            <w:tcBorders>
              <w:top w:val="single" w:sz="12" w:space="0" w:color="000000"/>
              <w:bottom w:val="single" w:sz="8" w:space="0" w:color="000000"/>
            </w:tcBorders>
            <w:vAlign w:val="center"/>
          </w:tcPr>
          <w:p w14:paraId="3C478EFB" w14:textId="77777777" w:rsidR="007C424D" w:rsidRPr="00151E6E" w:rsidRDefault="007C424D" w:rsidP="0039267A">
            <w:pPr>
              <w:rPr>
                <w:rFonts w:cstheme="minorHAnsi"/>
                <w:i/>
                <w:iCs/>
                <w:sz w:val="20"/>
                <w:szCs w:val="20"/>
              </w:rPr>
            </w:pPr>
            <w:proofErr w:type="spellStart"/>
            <w:r w:rsidRPr="00151E6E">
              <w:rPr>
                <w:rFonts w:cstheme="minorHAnsi"/>
                <w:i/>
                <w:iCs/>
                <w:sz w:val="20"/>
                <w:szCs w:val="20"/>
              </w:rPr>
              <w:t>R</w:t>
            </w:r>
            <w:r w:rsidRPr="00151E6E">
              <w:rPr>
                <w:rFonts w:cstheme="minorHAnsi"/>
                <w:i/>
                <w:iCs/>
                <w:sz w:val="20"/>
                <w:szCs w:val="20"/>
                <w:vertAlign w:val="subscript"/>
              </w:rPr>
              <w:t>Lab</w:t>
            </w:r>
            <w:proofErr w:type="spellEnd"/>
          </w:p>
        </w:tc>
        <w:tc>
          <w:tcPr>
            <w:tcW w:w="1221" w:type="dxa"/>
            <w:tcBorders>
              <w:top w:val="single" w:sz="12" w:space="0" w:color="000000"/>
              <w:bottom w:val="single" w:sz="8" w:space="0" w:color="000000"/>
            </w:tcBorders>
            <w:vAlign w:val="center"/>
          </w:tcPr>
          <w:p w14:paraId="20451411" w14:textId="5574BC40" w:rsidR="007C424D" w:rsidRPr="00151E6E" w:rsidRDefault="003200BD" w:rsidP="0039267A">
            <w:pPr>
              <w:rPr>
                <w:rFonts w:cstheme="minorHAnsi"/>
                <w:sz w:val="20"/>
                <w:szCs w:val="20"/>
              </w:rPr>
            </w:pPr>
            <w:r>
              <w:rPr>
                <w:rFonts w:cstheme="minorHAnsi"/>
                <w:sz w:val="20"/>
                <w:szCs w:val="20"/>
              </w:rPr>
              <w:t xml:space="preserve">nmol </w:t>
            </w:r>
            <w:r w:rsidR="007C424D" w:rsidRPr="00151E6E">
              <w:rPr>
                <w:rFonts w:cstheme="minorHAnsi"/>
                <w:sz w:val="20"/>
                <w:szCs w:val="20"/>
              </w:rPr>
              <w:t>L</w:t>
            </w:r>
            <w:r w:rsidR="007C424D" w:rsidRPr="00151E6E">
              <w:rPr>
                <w:rFonts w:cstheme="minorHAnsi"/>
                <w:sz w:val="20"/>
                <w:szCs w:val="20"/>
                <w:vertAlign w:val="superscript"/>
              </w:rPr>
              <w:t>-1</w:t>
            </w:r>
            <w:r>
              <w:rPr>
                <w:rFonts w:cstheme="minorHAnsi"/>
                <w:sz w:val="20"/>
                <w:szCs w:val="20"/>
              </w:rPr>
              <w:t xml:space="preserve"> </w:t>
            </w:r>
            <w:r w:rsidR="007C424D" w:rsidRPr="00151E6E">
              <w:rPr>
                <w:rFonts w:cstheme="minorHAnsi"/>
                <w:sz w:val="20"/>
                <w:szCs w:val="20"/>
              </w:rPr>
              <w:t>yr</w:t>
            </w:r>
            <w:r w:rsidR="007C424D" w:rsidRPr="00151E6E">
              <w:rPr>
                <w:rFonts w:cstheme="minorHAnsi"/>
                <w:sz w:val="20"/>
                <w:szCs w:val="20"/>
                <w:vertAlign w:val="superscript"/>
              </w:rPr>
              <w:t>-1</w:t>
            </w:r>
          </w:p>
        </w:tc>
        <w:tc>
          <w:tcPr>
            <w:tcW w:w="1542" w:type="dxa"/>
            <w:tcBorders>
              <w:top w:val="single" w:sz="12" w:space="0" w:color="000000"/>
              <w:bottom w:val="single" w:sz="8" w:space="0" w:color="000000"/>
            </w:tcBorders>
            <w:vAlign w:val="center"/>
          </w:tcPr>
          <w:p w14:paraId="151FA4B3"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9, 16.2, 21.4</w:t>
            </w:r>
          </w:p>
        </w:tc>
        <w:tc>
          <w:tcPr>
            <w:tcW w:w="850" w:type="dxa"/>
            <w:tcBorders>
              <w:top w:val="single" w:sz="12" w:space="0" w:color="000000"/>
              <w:bottom w:val="single" w:sz="8" w:space="0" w:color="000000"/>
            </w:tcBorders>
            <w:vAlign w:val="center"/>
          </w:tcPr>
          <w:p w14:paraId="79FE164E"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15.5</w:t>
            </w:r>
          </w:p>
        </w:tc>
        <w:tc>
          <w:tcPr>
            <w:tcW w:w="1010" w:type="dxa"/>
            <w:tcBorders>
              <w:top w:val="single" w:sz="12" w:space="0" w:color="000000"/>
              <w:bottom w:val="single" w:sz="8" w:space="0" w:color="000000"/>
            </w:tcBorders>
            <w:shd w:val="clear" w:color="auto" w:fill="auto"/>
            <w:noWrap/>
            <w:vAlign w:val="center"/>
          </w:tcPr>
          <w:p w14:paraId="23AA9FC8"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2.77</w:t>
            </w:r>
          </w:p>
        </w:tc>
        <w:tc>
          <w:tcPr>
            <w:tcW w:w="660" w:type="dxa"/>
            <w:tcBorders>
              <w:top w:val="single" w:sz="12" w:space="0" w:color="000000"/>
              <w:bottom w:val="single" w:sz="8" w:space="0" w:color="000000"/>
            </w:tcBorders>
            <w:shd w:val="clear" w:color="auto" w:fill="auto"/>
            <w:noWrap/>
            <w:vAlign w:val="center"/>
          </w:tcPr>
          <w:p w14:paraId="63C06F6E"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27.6</w:t>
            </w:r>
          </w:p>
        </w:tc>
        <w:tc>
          <w:tcPr>
            <w:tcW w:w="1564" w:type="dxa"/>
            <w:tcBorders>
              <w:top w:val="single" w:sz="12" w:space="0" w:color="000000"/>
              <w:bottom w:val="single" w:sz="8" w:space="0" w:color="000000"/>
            </w:tcBorders>
            <w:vAlign w:val="center"/>
          </w:tcPr>
          <w:p w14:paraId="687FBC81"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Experimentally determined (Figure 3)</w:t>
            </w:r>
          </w:p>
        </w:tc>
      </w:tr>
      <w:tr w:rsidR="007C424D" w:rsidRPr="00151E6E" w14:paraId="70B28E88" w14:textId="77777777" w:rsidTr="00474E11">
        <w:trPr>
          <w:trHeight w:val="300"/>
          <w:jc w:val="center"/>
        </w:trPr>
        <w:tc>
          <w:tcPr>
            <w:tcW w:w="1898" w:type="dxa"/>
            <w:tcBorders>
              <w:top w:val="single" w:sz="8" w:space="0" w:color="000000"/>
              <w:bottom w:val="single" w:sz="8" w:space="0" w:color="000000"/>
            </w:tcBorders>
            <w:shd w:val="clear" w:color="auto" w:fill="auto"/>
            <w:noWrap/>
            <w:vAlign w:val="center"/>
          </w:tcPr>
          <w:p w14:paraId="5DF93813"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Experimental GPS production rate with Mn catalysis</w:t>
            </w:r>
          </w:p>
        </w:tc>
        <w:tc>
          <w:tcPr>
            <w:tcW w:w="850" w:type="dxa"/>
            <w:tcBorders>
              <w:top w:val="single" w:sz="8" w:space="0" w:color="000000"/>
              <w:bottom w:val="single" w:sz="8" w:space="0" w:color="000000"/>
            </w:tcBorders>
            <w:vAlign w:val="center"/>
          </w:tcPr>
          <w:p w14:paraId="3CE914EF" w14:textId="77777777" w:rsidR="007C424D" w:rsidRPr="00151E6E" w:rsidRDefault="007C424D" w:rsidP="0039267A">
            <w:pPr>
              <w:rPr>
                <w:rFonts w:cstheme="minorHAnsi"/>
                <w:i/>
                <w:iCs/>
                <w:sz w:val="20"/>
                <w:szCs w:val="20"/>
              </w:rPr>
            </w:pPr>
            <w:proofErr w:type="spellStart"/>
            <w:r w:rsidRPr="00151E6E">
              <w:rPr>
                <w:rFonts w:cstheme="minorHAnsi"/>
                <w:i/>
                <w:iCs/>
                <w:sz w:val="20"/>
                <w:szCs w:val="20"/>
              </w:rPr>
              <w:t>R</w:t>
            </w:r>
            <w:r w:rsidRPr="00151E6E">
              <w:rPr>
                <w:rFonts w:cstheme="minorHAnsi"/>
                <w:i/>
                <w:iCs/>
                <w:sz w:val="20"/>
                <w:szCs w:val="20"/>
                <w:vertAlign w:val="subscript"/>
              </w:rPr>
              <w:t>Lab</w:t>
            </w:r>
            <w:proofErr w:type="spellEnd"/>
          </w:p>
        </w:tc>
        <w:tc>
          <w:tcPr>
            <w:tcW w:w="1221" w:type="dxa"/>
            <w:tcBorders>
              <w:top w:val="single" w:sz="8" w:space="0" w:color="000000"/>
              <w:bottom w:val="single" w:sz="8" w:space="0" w:color="000000"/>
            </w:tcBorders>
            <w:vAlign w:val="center"/>
          </w:tcPr>
          <w:p w14:paraId="54D4DB1B" w14:textId="59DD7084" w:rsidR="007C424D" w:rsidRPr="00151E6E" w:rsidRDefault="003200BD" w:rsidP="0039267A">
            <w:pPr>
              <w:rPr>
                <w:rFonts w:cstheme="minorHAnsi"/>
                <w:sz w:val="20"/>
                <w:szCs w:val="20"/>
              </w:rPr>
            </w:pPr>
            <w:r>
              <w:rPr>
                <w:rFonts w:cstheme="minorHAnsi"/>
                <w:sz w:val="20"/>
                <w:szCs w:val="20"/>
              </w:rPr>
              <w:t xml:space="preserve">nmol </w:t>
            </w:r>
            <w:r w:rsidR="007C424D" w:rsidRPr="00151E6E">
              <w:rPr>
                <w:rFonts w:cstheme="minorHAnsi"/>
                <w:sz w:val="20"/>
                <w:szCs w:val="20"/>
              </w:rPr>
              <w:t>L</w:t>
            </w:r>
            <w:r w:rsidR="007C424D" w:rsidRPr="00151E6E">
              <w:rPr>
                <w:rFonts w:cstheme="minorHAnsi"/>
                <w:sz w:val="20"/>
                <w:szCs w:val="20"/>
                <w:vertAlign w:val="superscript"/>
              </w:rPr>
              <w:t>-1</w:t>
            </w:r>
            <w:r>
              <w:rPr>
                <w:rFonts w:cstheme="minorHAnsi"/>
                <w:sz w:val="20"/>
                <w:szCs w:val="20"/>
              </w:rPr>
              <w:t xml:space="preserve"> </w:t>
            </w:r>
            <w:r w:rsidR="007C424D" w:rsidRPr="00151E6E">
              <w:rPr>
                <w:rFonts w:cstheme="minorHAnsi"/>
                <w:sz w:val="20"/>
                <w:szCs w:val="20"/>
              </w:rPr>
              <w:t>yr</w:t>
            </w:r>
            <w:r w:rsidR="007C424D" w:rsidRPr="00151E6E">
              <w:rPr>
                <w:rFonts w:cstheme="minorHAnsi"/>
                <w:sz w:val="20"/>
                <w:szCs w:val="20"/>
                <w:vertAlign w:val="superscript"/>
              </w:rPr>
              <w:t>-1</w:t>
            </w:r>
          </w:p>
        </w:tc>
        <w:tc>
          <w:tcPr>
            <w:tcW w:w="1542" w:type="dxa"/>
            <w:tcBorders>
              <w:top w:val="single" w:sz="8" w:space="0" w:color="000000"/>
              <w:bottom w:val="single" w:sz="8" w:space="0" w:color="000000"/>
            </w:tcBorders>
            <w:vAlign w:val="center"/>
          </w:tcPr>
          <w:p w14:paraId="04E68330"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8, 14.2, 29</w:t>
            </w:r>
          </w:p>
        </w:tc>
        <w:tc>
          <w:tcPr>
            <w:tcW w:w="850" w:type="dxa"/>
            <w:tcBorders>
              <w:top w:val="single" w:sz="8" w:space="0" w:color="000000"/>
              <w:bottom w:val="single" w:sz="8" w:space="0" w:color="000000"/>
            </w:tcBorders>
            <w:vAlign w:val="center"/>
          </w:tcPr>
          <w:p w14:paraId="1A437CE4"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17.1</w:t>
            </w:r>
          </w:p>
        </w:tc>
        <w:tc>
          <w:tcPr>
            <w:tcW w:w="1010" w:type="dxa"/>
            <w:tcBorders>
              <w:top w:val="single" w:sz="8" w:space="0" w:color="000000"/>
              <w:bottom w:val="single" w:sz="8" w:space="0" w:color="000000"/>
            </w:tcBorders>
            <w:shd w:val="clear" w:color="auto" w:fill="auto"/>
            <w:noWrap/>
            <w:vAlign w:val="center"/>
          </w:tcPr>
          <w:p w14:paraId="2A1AF000"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1.0E-15</w:t>
            </w:r>
            <w:r w:rsidRPr="00151E6E">
              <w:rPr>
                <w:rFonts w:eastAsia="Times New Roman" w:cstheme="minorHAnsi"/>
                <w:sz w:val="20"/>
                <w:szCs w:val="20"/>
                <w:vertAlign w:val="superscript"/>
                <w:lang w:eastAsia="en-GB"/>
              </w:rPr>
              <w:t>*</w:t>
            </w:r>
          </w:p>
        </w:tc>
        <w:tc>
          <w:tcPr>
            <w:tcW w:w="660" w:type="dxa"/>
            <w:tcBorders>
              <w:top w:val="single" w:sz="8" w:space="0" w:color="000000"/>
              <w:bottom w:val="single" w:sz="8" w:space="0" w:color="000000"/>
            </w:tcBorders>
            <w:shd w:val="clear" w:color="auto" w:fill="auto"/>
            <w:noWrap/>
            <w:vAlign w:val="center"/>
          </w:tcPr>
          <w:p w14:paraId="6675FA2D"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39.8</w:t>
            </w:r>
          </w:p>
        </w:tc>
        <w:tc>
          <w:tcPr>
            <w:tcW w:w="1564" w:type="dxa"/>
            <w:tcBorders>
              <w:top w:val="single" w:sz="8" w:space="0" w:color="000000"/>
              <w:bottom w:val="single" w:sz="8" w:space="0" w:color="000000"/>
            </w:tcBorders>
            <w:vAlign w:val="center"/>
          </w:tcPr>
          <w:p w14:paraId="570B89CE"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Experimentally determined (Figure 3 )</w:t>
            </w:r>
          </w:p>
        </w:tc>
      </w:tr>
      <w:tr w:rsidR="007C424D" w:rsidRPr="00151E6E" w14:paraId="2C51CE1E" w14:textId="77777777" w:rsidTr="00474E11">
        <w:trPr>
          <w:trHeight w:val="300"/>
          <w:jc w:val="center"/>
        </w:trPr>
        <w:tc>
          <w:tcPr>
            <w:tcW w:w="1898" w:type="dxa"/>
            <w:tcBorders>
              <w:top w:val="single" w:sz="8" w:space="0" w:color="000000"/>
              <w:bottom w:val="single" w:sz="8" w:space="0" w:color="000000"/>
            </w:tcBorders>
            <w:shd w:val="clear" w:color="auto" w:fill="auto"/>
            <w:noWrap/>
            <w:vAlign w:val="center"/>
          </w:tcPr>
          <w:p w14:paraId="0D12EA6D"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Arrhenius activation energy</w:t>
            </w:r>
          </w:p>
        </w:tc>
        <w:tc>
          <w:tcPr>
            <w:tcW w:w="850" w:type="dxa"/>
            <w:tcBorders>
              <w:top w:val="single" w:sz="8" w:space="0" w:color="000000"/>
              <w:bottom w:val="single" w:sz="8" w:space="0" w:color="000000"/>
            </w:tcBorders>
            <w:vAlign w:val="center"/>
          </w:tcPr>
          <w:p w14:paraId="29B8042F" w14:textId="77777777" w:rsidR="007C424D" w:rsidRPr="00151E6E" w:rsidRDefault="007C424D" w:rsidP="0039267A">
            <w:pPr>
              <w:rPr>
                <w:rFonts w:eastAsia="Times New Roman" w:cstheme="minorHAnsi"/>
                <w:i/>
                <w:iCs/>
                <w:sz w:val="20"/>
                <w:szCs w:val="20"/>
                <w:lang w:eastAsia="en-GB"/>
              </w:rPr>
            </w:pPr>
            <w:proofErr w:type="spellStart"/>
            <w:r w:rsidRPr="00151E6E">
              <w:rPr>
                <w:rFonts w:eastAsia="Times New Roman" w:cstheme="minorHAnsi"/>
                <w:i/>
                <w:iCs/>
                <w:sz w:val="20"/>
                <w:szCs w:val="20"/>
                <w:lang w:eastAsia="en-GB"/>
              </w:rPr>
              <w:t>Ea</w:t>
            </w:r>
            <w:proofErr w:type="spellEnd"/>
          </w:p>
        </w:tc>
        <w:tc>
          <w:tcPr>
            <w:tcW w:w="1221" w:type="dxa"/>
            <w:tcBorders>
              <w:top w:val="single" w:sz="8" w:space="0" w:color="000000"/>
              <w:bottom w:val="single" w:sz="8" w:space="0" w:color="000000"/>
            </w:tcBorders>
            <w:vAlign w:val="center"/>
          </w:tcPr>
          <w:p w14:paraId="1385357A" w14:textId="68C926CB"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kJ</w:t>
            </w:r>
            <w:r w:rsidR="003200BD">
              <w:rPr>
                <w:rFonts w:eastAsia="Times New Roman" w:cstheme="minorHAnsi"/>
                <w:sz w:val="20"/>
                <w:szCs w:val="20"/>
                <w:lang w:eastAsia="en-GB"/>
              </w:rPr>
              <w:t xml:space="preserve"> </w:t>
            </w:r>
            <w:r w:rsidRPr="00151E6E">
              <w:rPr>
                <w:rFonts w:eastAsia="Times New Roman" w:cstheme="minorHAnsi"/>
                <w:sz w:val="20"/>
                <w:szCs w:val="20"/>
                <w:lang w:eastAsia="en-GB"/>
              </w:rPr>
              <w:t>mol</w:t>
            </w:r>
            <w:r w:rsidRPr="00151E6E">
              <w:rPr>
                <w:rFonts w:eastAsia="Times New Roman" w:cstheme="minorHAnsi"/>
                <w:sz w:val="20"/>
                <w:szCs w:val="20"/>
                <w:vertAlign w:val="superscript"/>
                <w:lang w:eastAsia="en-GB"/>
              </w:rPr>
              <w:t>-1</w:t>
            </w:r>
          </w:p>
        </w:tc>
        <w:tc>
          <w:tcPr>
            <w:tcW w:w="1542" w:type="dxa"/>
            <w:tcBorders>
              <w:top w:val="single" w:sz="8" w:space="0" w:color="000000"/>
              <w:bottom w:val="single" w:sz="8" w:space="0" w:color="000000"/>
            </w:tcBorders>
            <w:vAlign w:val="center"/>
          </w:tcPr>
          <w:p w14:paraId="786137D9"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23–238</w:t>
            </w:r>
          </w:p>
        </w:tc>
        <w:tc>
          <w:tcPr>
            <w:tcW w:w="850" w:type="dxa"/>
            <w:tcBorders>
              <w:top w:val="single" w:sz="8" w:space="0" w:color="000000"/>
              <w:bottom w:val="single" w:sz="8" w:space="0" w:color="000000"/>
            </w:tcBorders>
            <w:vAlign w:val="center"/>
          </w:tcPr>
          <w:p w14:paraId="44A87851"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131</w:t>
            </w:r>
          </w:p>
        </w:tc>
        <w:tc>
          <w:tcPr>
            <w:tcW w:w="1010" w:type="dxa"/>
            <w:tcBorders>
              <w:top w:val="single" w:sz="8" w:space="0" w:color="000000"/>
              <w:bottom w:val="single" w:sz="8" w:space="0" w:color="000000"/>
            </w:tcBorders>
            <w:shd w:val="clear" w:color="auto" w:fill="auto"/>
            <w:noWrap/>
            <w:vAlign w:val="center"/>
          </w:tcPr>
          <w:p w14:paraId="0E1C9844"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1.0E-15</w:t>
            </w:r>
            <w:r w:rsidRPr="00151E6E">
              <w:rPr>
                <w:rFonts w:eastAsia="Times New Roman" w:cstheme="minorHAnsi"/>
                <w:sz w:val="20"/>
                <w:szCs w:val="20"/>
                <w:vertAlign w:val="superscript"/>
                <w:lang w:eastAsia="en-GB"/>
              </w:rPr>
              <w:t>*</w:t>
            </w:r>
          </w:p>
        </w:tc>
        <w:tc>
          <w:tcPr>
            <w:tcW w:w="660" w:type="dxa"/>
            <w:tcBorders>
              <w:top w:val="single" w:sz="8" w:space="0" w:color="000000"/>
              <w:bottom w:val="single" w:sz="8" w:space="0" w:color="000000"/>
            </w:tcBorders>
            <w:shd w:val="clear" w:color="auto" w:fill="auto"/>
            <w:noWrap/>
            <w:vAlign w:val="center"/>
          </w:tcPr>
          <w:p w14:paraId="7A0A1E33"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390</w:t>
            </w:r>
          </w:p>
        </w:tc>
        <w:tc>
          <w:tcPr>
            <w:tcW w:w="1564" w:type="dxa"/>
            <w:tcBorders>
              <w:top w:val="single" w:sz="8" w:space="0" w:color="000000"/>
              <w:bottom w:val="single" w:sz="8" w:space="0" w:color="000000"/>
            </w:tcBorders>
            <w:vAlign w:val="center"/>
          </w:tcPr>
          <w:p w14:paraId="71357EE3"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From literature</w:t>
            </w:r>
            <w:r w:rsidRPr="00151E6E">
              <w:rPr>
                <w:rFonts w:cstheme="minorHAnsi"/>
                <w:noProof/>
                <w:vertAlign w:val="superscript"/>
              </w:rPr>
              <w:t>60</w:t>
            </w:r>
          </w:p>
        </w:tc>
      </w:tr>
      <w:tr w:rsidR="007C424D" w:rsidRPr="00151E6E" w14:paraId="34D875D7" w14:textId="77777777" w:rsidTr="00474E11">
        <w:trPr>
          <w:trHeight w:val="300"/>
          <w:jc w:val="center"/>
        </w:trPr>
        <w:tc>
          <w:tcPr>
            <w:tcW w:w="1898" w:type="dxa"/>
            <w:tcBorders>
              <w:top w:val="single" w:sz="8" w:space="0" w:color="000000"/>
              <w:bottom w:val="single" w:sz="8" w:space="0" w:color="000000"/>
            </w:tcBorders>
            <w:shd w:val="clear" w:color="auto" w:fill="auto"/>
            <w:noWrap/>
            <w:vAlign w:val="center"/>
          </w:tcPr>
          <w:p w14:paraId="595D0DEB"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Molecular weight</w:t>
            </w:r>
          </w:p>
        </w:tc>
        <w:tc>
          <w:tcPr>
            <w:tcW w:w="850" w:type="dxa"/>
            <w:tcBorders>
              <w:top w:val="single" w:sz="8" w:space="0" w:color="000000"/>
              <w:bottom w:val="single" w:sz="8" w:space="0" w:color="000000"/>
            </w:tcBorders>
            <w:vAlign w:val="center"/>
          </w:tcPr>
          <w:p w14:paraId="61EBD2FA" w14:textId="77777777" w:rsidR="007C424D" w:rsidRPr="00151E6E" w:rsidRDefault="007C424D" w:rsidP="0039267A">
            <w:pPr>
              <w:rPr>
                <w:rFonts w:cstheme="minorHAnsi"/>
                <w:i/>
                <w:iCs/>
                <w:sz w:val="20"/>
                <w:szCs w:val="20"/>
              </w:rPr>
            </w:pPr>
            <w:r w:rsidRPr="00151E6E">
              <w:rPr>
                <w:rFonts w:eastAsia="Times New Roman" w:cstheme="minorHAnsi"/>
                <w:i/>
                <w:iCs/>
                <w:sz w:val="20"/>
                <w:szCs w:val="20"/>
                <w:lang w:eastAsia="en-GB"/>
              </w:rPr>
              <w:t>MW</w:t>
            </w:r>
          </w:p>
        </w:tc>
        <w:tc>
          <w:tcPr>
            <w:tcW w:w="1221" w:type="dxa"/>
            <w:tcBorders>
              <w:top w:val="single" w:sz="8" w:space="0" w:color="000000"/>
              <w:bottom w:val="single" w:sz="8" w:space="0" w:color="000000"/>
            </w:tcBorders>
            <w:vAlign w:val="center"/>
          </w:tcPr>
          <w:p w14:paraId="2F099C29" w14:textId="0E8571E9" w:rsidR="007C424D" w:rsidRPr="00151E6E" w:rsidRDefault="003200BD" w:rsidP="0039267A">
            <w:pPr>
              <w:rPr>
                <w:rFonts w:cstheme="minorHAnsi"/>
                <w:sz w:val="20"/>
                <w:szCs w:val="20"/>
              </w:rPr>
            </w:pPr>
            <w:r>
              <w:rPr>
                <w:rFonts w:eastAsia="Times New Roman" w:cstheme="minorHAnsi"/>
                <w:sz w:val="20"/>
                <w:szCs w:val="20"/>
                <w:lang w:eastAsia="en-GB"/>
              </w:rPr>
              <w:t xml:space="preserve">g </w:t>
            </w:r>
            <w:r w:rsidR="007C424D" w:rsidRPr="00151E6E">
              <w:rPr>
                <w:rFonts w:eastAsia="Times New Roman" w:cstheme="minorHAnsi"/>
                <w:sz w:val="20"/>
                <w:szCs w:val="20"/>
                <w:lang w:eastAsia="en-GB"/>
              </w:rPr>
              <w:t>mol</w:t>
            </w:r>
            <w:r w:rsidR="007C424D" w:rsidRPr="00151E6E">
              <w:rPr>
                <w:rFonts w:eastAsia="Times New Roman" w:cstheme="minorHAnsi"/>
                <w:sz w:val="20"/>
                <w:szCs w:val="20"/>
                <w:vertAlign w:val="superscript"/>
                <w:lang w:eastAsia="en-GB"/>
              </w:rPr>
              <w:t>-1</w:t>
            </w:r>
          </w:p>
        </w:tc>
        <w:tc>
          <w:tcPr>
            <w:tcW w:w="1542" w:type="dxa"/>
            <w:tcBorders>
              <w:top w:val="single" w:sz="8" w:space="0" w:color="000000"/>
              <w:bottom w:val="single" w:sz="8" w:space="0" w:color="000000"/>
            </w:tcBorders>
            <w:vAlign w:val="center"/>
          </w:tcPr>
          <w:p w14:paraId="1EB8947B"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17341– 41867</w:t>
            </w:r>
          </w:p>
        </w:tc>
        <w:tc>
          <w:tcPr>
            <w:tcW w:w="850" w:type="dxa"/>
            <w:tcBorders>
              <w:top w:val="single" w:sz="8" w:space="0" w:color="000000"/>
              <w:bottom w:val="single" w:sz="8" w:space="0" w:color="000000"/>
            </w:tcBorders>
            <w:vAlign w:val="center"/>
          </w:tcPr>
          <w:p w14:paraId="2A250661"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3.0E+4</w:t>
            </w:r>
          </w:p>
        </w:tc>
        <w:tc>
          <w:tcPr>
            <w:tcW w:w="1010" w:type="dxa"/>
            <w:tcBorders>
              <w:top w:val="single" w:sz="8" w:space="0" w:color="000000"/>
              <w:bottom w:val="single" w:sz="8" w:space="0" w:color="000000"/>
            </w:tcBorders>
            <w:shd w:val="clear" w:color="auto" w:fill="auto"/>
            <w:noWrap/>
            <w:vAlign w:val="center"/>
          </w:tcPr>
          <w:p w14:paraId="69728CF4"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1.0E-15</w:t>
            </w:r>
            <w:r w:rsidRPr="00151E6E">
              <w:rPr>
                <w:rFonts w:eastAsia="Times New Roman" w:cstheme="minorHAnsi"/>
                <w:sz w:val="20"/>
                <w:szCs w:val="20"/>
                <w:vertAlign w:val="superscript"/>
                <w:lang w:eastAsia="en-GB"/>
              </w:rPr>
              <w:t>*</w:t>
            </w:r>
          </w:p>
        </w:tc>
        <w:tc>
          <w:tcPr>
            <w:tcW w:w="660" w:type="dxa"/>
            <w:tcBorders>
              <w:top w:val="single" w:sz="8" w:space="0" w:color="000000"/>
              <w:bottom w:val="single" w:sz="8" w:space="0" w:color="000000"/>
            </w:tcBorders>
            <w:shd w:val="clear" w:color="auto" w:fill="auto"/>
            <w:noWrap/>
            <w:vAlign w:val="center"/>
          </w:tcPr>
          <w:p w14:paraId="6A96650C"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5.9E+4</w:t>
            </w:r>
          </w:p>
        </w:tc>
        <w:tc>
          <w:tcPr>
            <w:tcW w:w="1564" w:type="dxa"/>
            <w:tcBorders>
              <w:top w:val="single" w:sz="8" w:space="0" w:color="000000"/>
              <w:bottom w:val="single" w:sz="8" w:space="0" w:color="000000"/>
            </w:tcBorders>
            <w:vAlign w:val="center"/>
          </w:tcPr>
          <w:p w14:paraId="26AF7998"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Experimentally determined (Supplementary Table 5).</w:t>
            </w:r>
          </w:p>
        </w:tc>
      </w:tr>
      <w:tr w:rsidR="007C424D" w:rsidRPr="00151E6E" w14:paraId="2898166F" w14:textId="77777777" w:rsidTr="00474E11">
        <w:trPr>
          <w:trHeight w:val="300"/>
          <w:jc w:val="center"/>
        </w:trPr>
        <w:tc>
          <w:tcPr>
            <w:tcW w:w="1898" w:type="dxa"/>
            <w:tcBorders>
              <w:top w:val="single" w:sz="8" w:space="0" w:color="000000"/>
              <w:bottom w:val="single" w:sz="8" w:space="0" w:color="000000"/>
            </w:tcBorders>
            <w:shd w:val="clear" w:color="auto" w:fill="auto"/>
            <w:noWrap/>
            <w:vAlign w:val="center"/>
          </w:tcPr>
          <w:p w14:paraId="6F2D86BB"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Carbon content when using Fe catalysis</w:t>
            </w:r>
          </w:p>
        </w:tc>
        <w:tc>
          <w:tcPr>
            <w:tcW w:w="850" w:type="dxa"/>
            <w:tcBorders>
              <w:top w:val="single" w:sz="8" w:space="0" w:color="000000"/>
              <w:bottom w:val="single" w:sz="8" w:space="0" w:color="000000"/>
            </w:tcBorders>
            <w:vAlign w:val="center"/>
          </w:tcPr>
          <w:p w14:paraId="409694AB" w14:textId="77777777" w:rsidR="007C424D" w:rsidRPr="00151E6E" w:rsidRDefault="007C424D" w:rsidP="0039267A">
            <w:pPr>
              <w:rPr>
                <w:rFonts w:cstheme="minorHAnsi"/>
                <w:i/>
                <w:iCs/>
                <w:sz w:val="20"/>
                <w:szCs w:val="20"/>
              </w:rPr>
            </w:pPr>
            <w:proofErr w:type="spellStart"/>
            <w:r w:rsidRPr="00151E6E">
              <w:rPr>
                <w:rFonts w:eastAsia="Times New Roman" w:cstheme="minorHAnsi"/>
                <w:i/>
                <w:iCs/>
                <w:sz w:val="20"/>
                <w:szCs w:val="20"/>
                <w:lang w:eastAsia="en-GB"/>
              </w:rPr>
              <w:t>C</w:t>
            </w:r>
            <w:r w:rsidRPr="00151E6E">
              <w:rPr>
                <w:rFonts w:eastAsia="Times New Roman" w:cstheme="minorHAnsi"/>
                <w:i/>
                <w:iCs/>
                <w:sz w:val="20"/>
                <w:szCs w:val="20"/>
                <w:vertAlign w:val="subscript"/>
                <w:lang w:eastAsia="en-GB"/>
              </w:rPr>
              <w:t>Cont</w:t>
            </w:r>
            <w:proofErr w:type="spellEnd"/>
          </w:p>
        </w:tc>
        <w:tc>
          <w:tcPr>
            <w:tcW w:w="1221" w:type="dxa"/>
            <w:tcBorders>
              <w:top w:val="single" w:sz="8" w:space="0" w:color="000000"/>
              <w:bottom w:val="single" w:sz="8" w:space="0" w:color="000000"/>
            </w:tcBorders>
            <w:vAlign w:val="center"/>
          </w:tcPr>
          <w:p w14:paraId="6BD22AC7" w14:textId="77777777" w:rsidR="007C424D" w:rsidRPr="00151E6E" w:rsidRDefault="007C424D" w:rsidP="0039267A">
            <w:pPr>
              <w:rPr>
                <w:rFonts w:cstheme="minorHAnsi"/>
                <w:sz w:val="20"/>
                <w:szCs w:val="20"/>
              </w:rPr>
            </w:pPr>
            <w:proofErr w:type="spellStart"/>
            <w:r w:rsidRPr="00151E6E">
              <w:rPr>
                <w:rFonts w:eastAsia="Times New Roman" w:cstheme="minorHAnsi"/>
                <w:sz w:val="20"/>
                <w:szCs w:val="20"/>
                <w:lang w:eastAsia="en-GB"/>
              </w:rPr>
              <w:t>wt</w:t>
            </w:r>
            <w:proofErr w:type="spellEnd"/>
            <w:r w:rsidRPr="00151E6E">
              <w:rPr>
                <w:rFonts w:eastAsia="Times New Roman" w:cstheme="minorHAnsi"/>
                <w:sz w:val="20"/>
                <w:szCs w:val="20"/>
                <w:lang w:eastAsia="en-GB"/>
              </w:rPr>
              <w:t>%</w:t>
            </w:r>
          </w:p>
        </w:tc>
        <w:tc>
          <w:tcPr>
            <w:tcW w:w="1542" w:type="dxa"/>
            <w:tcBorders>
              <w:top w:val="single" w:sz="8" w:space="0" w:color="000000"/>
              <w:bottom w:val="single" w:sz="8" w:space="0" w:color="000000"/>
            </w:tcBorders>
            <w:vAlign w:val="center"/>
          </w:tcPr>
          <w:p w14:paraId="78BFF925"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35.68– 35.84</w:t>
            </w:r>
          </w:p>
        </w:tc>
        <w:tc>
          <w:tcPr>
            <w:tcW w:w="850" w:type="dxa"/>
            <w:tcBorders>
              <w:top w:val="single" w:sz="8" w:space="0" w:color="000000"/>
              <w:bottom w:val="single" w:sz="8" w:space="0" w:color="000000"/>
            </w:tcBorders>
            <w:vAlign w:val="center"/>
          </w:tcPr>
          <w:p w14:paraId="77C5ED29"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35.8</w:t>
            </w:r>
          </w:p>
        </w:tc>
        <w:tc>
          <w:tcPr>
            <w:tcW w:w="1010" w:type="dxa"/>
            <w:tcBorders>
              <w:top w:val="single" w:sz="8" w:space="0" w:color="000000"/>
              <w:bottom w:val="single" w:sz="8" w:space="0" w:color="000000"/>
            </w:tcBorders>
            <w:shd w:val="clear" w:color="auto" w:fill="auto"/>
            <w:noWrap/>
            <w:vAlign w:val="center"/>
          </w:tcPr>
          <w:p w14:paraId="7F282D4F"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35.6</w:t>
            </w:r>
          </w:p>
        </w:tc>
        <w:tc>
          <w:tcPr>
            <w:tcW w:w="660" w:type="dxa"/>
            <w:tcBorders>
              <w:top w:val="single" w:sz="8" w:space="0" w:color="000000"/>
              <w:bottom w:val="single" w:sz="8" w:space="0" w:color="000000"/>
            </w:tcBorders>
            <w:shd w:val="clear" w:color="auto" w:fill="auto"/>
            <w:noWrap/>
            <w:vAlign w:val="center"/>
          </w:tcPr>
          <w:p w14:paraId="435F33CC"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36.0</w:t>
            </w:r>
          </w:p>
        </w:tc>
        <w:tc>
          <w:tcPr>
            <w:tcW w:w="1564" w:type="dxa"/>
            <w:tcBorders>
              <w:top w:val="single" w:sz="8" w:space="0" w:color="000000"/>
              <w:bottom w:val="single" w:sz="8" w:space="0" w:color="000000"/>
            </w:tcBorders>
            <w:vAlign w:val="center"/>
          </w:tcPr>
          <w:p w14:paraId="3652FBF1"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Experimentally determined (Supplementary Table 1)</w:t>
            </w:r>
          </w:p>
        </w:tc>
      </w:tr>
      <w:tr w:rsidR="007C424D" w:rsidRPr="00151E6E" w14:paraId="36A2321D" w14:textId="77777777" w:rsidTr="00474E11">
        <w:trPr>
          <w:trHeight w:val="300"/>
          <w:jc w:val="center"/>
        </w:trPr>
        <w:tc>
          <w:tcPr>
            <w:tcW w:w="1898" w:type="dxa"/>
            <w:tcBorders>
              <w:top w:val="single" w:sz="8" w:space="0" w:color="000000"/>
              <w:bottom w:val="single" w:sz="8" w:space="0" w:color="000000"/>
            </w:tcBorders>
            <w:shd w:val="clear" w:color="auto" w:fill="auto"/>
            <w:noWrap/>
            <w:vAlign w:val="center"/>
          </w:tcPr>
          <w:p w14:paraId="6DA1578B"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Carbon content when using Mn catalysis</w:t>
            </w:r>
          </w:p>
        </w:tc>
        <w:tc>
          <w:tcPr>
            <w:tcW w:w="850" w:type="dxa"/>
            <w:tcBorders>
              <w:top w:val="single" w:sz="8" w:space="0" w:color="000000"/>
              <w:bottom w:val="single" w:sz="8" w:space="0" w:color="000000"/>
            </w:tcBorders>
            <w:vAlign w:val="center"/>
          </w:tcPr>
          <w:p w14:paraId="61A86AAD" w14:textId="77777777" w:rsidR="007C424D" w:rsidRPr="00151E6E" w:rsidRDefault="007C424D" w:rsidP="0039267A">
            <w:pPr>
              <w:rPr>
                <w:rFonts w:cstheme="minorHAnsi"/>
                <w:i/>
                <w:iCs/>
                <w:sz w:val="20"/>
                <w:szCs w:val="20"/>
              </w:rPr>
            </w:pPr>
            <w:proofErr w:type="spellStart"/>
            <w:r w:rsidRPr="00151E6E">
              <w:rPr>
                <w:rFonts w:eastAsia="Times New Roman" w:cstheme="minorHAnsi"/>
                <w:i/>
                <w:iCs/>
                <w:sz w:val="20"/>
                <w:szCs w:val="20"/>
                <w:lang w:eastAsia="en-GB"/>
              </w:rPr>
              <w:t>C</w:t>
            </w:r>
            <w:r w:rsidRPr="00151E6E">
              <w:rPr>
                <w:rFonts w:eastAsia="Times New Roman" w:cstheme="minorHAnsi"/>
                <w:i/>
                <w:iCs/>
                <w:sz w:val="20"/>
                <w:szCs w:val="20"/>
                <w:vertAlign w:val="subscript"/>
                <w:lang w:eastAsia="en-GB"/>
              </w:rPr>
              <w:t>Cont</w:t>
            </w:r>
            <w:proofErr w:type="spellEnd"/>
          </w:p>
        </w:tc>
        <w:tc>
          <w:tcPr>
            <w:tcW w:w="1221" w:type="dxa"/>
            <w:tcBorders>
              <w:top w:val="single" w:sz="8" w:space="0" w:color="000000"/>
              <w:bottom w:val="single" w:sz="8" w:space="0" w:color="000000"/>
            </w:tcBorders>
            <w:vAlign w:val="center"/>
          </w:tcPr>
          <w:p w14:paraId="1511605E" w14:textId="77777777" w:rsidR="007C424D" w:rsidRPr="00151E6E" w:rsidRDefault="007C424D" w:rsidP="0039267A">
            <w:pPr>
              <w:rPr>
                <w:rFonts w:cstheme="minorHAnsi"/>
                <w:sz w:val="20"/>
                <w:szCs w:val="20"/>
              </w:rPr>
            </w:pPr>
            <w:proofErr w:type="spellStart"/>
            <w:r w:rsidRPr="00151E6E">
              <w:rPr>
                <w:rFonts w:eastAsia="Times New Roman" w:cstheme="minorHAnsi"/>
                <w:sz w:val="20"/>
                <w:szCs w:val="20"/>
                <w:lang w:eastAsia="en-GB"/>
              </w:rPr>
              <w:t>wt</w:t>
            </w:r>
            <w:proofErr w:type="spellEnd"/>
            <w:r w:rsidRPr="00151E6E">
              <w:rPr>
                <w:rFonts w:eastAsia="Times New Roman" w:cstheme="minorHAnsi"/>
                <w:sz w:val="20"/>
                <w:szCs w:val="20"/>
                <w:lang w:eastAsia="en-GB"/>
              </w:rPr>
              <w:t>%</w:t>
            </w:r>
          </w:p>
        </w:tc>
        <w:tc>
          <w:tcPr>
            <w:tcW w:w="1542" w:type="dxa"/>
            <w:tcBorders>
              <w:top w:val="single" w:sz="8" w:space="0" w:color="000000"/>
              <w:bottom w:val="single" w:sz="8" w:space="0" w:color="000000"/>
            </w:tcBorders>
            <w:vAlign w:val="center"/>
          </w:tcPr>
          <w:p w14:paraId="56AAB0BE"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36.16– 36.30</w:t>
            </w:r>
          </w:p>
        </w:tc>
        <w:tc>
          <w:tcPr>
            <w:tcW w:w="850" w:type="dxa"/>
            <w:tcBorders>
              <w:top w:val="single" w:sz="8" w:space="0" w:color="000000"/>
              <w:bottom w:val="single" w:sz="8" w:space="0" w:color="000000"/>
            </w:tcBorders>
            <w:vAlign w:val="center"/>
          </w:tcPr>
          <w:p w14:paraId="6D4B4482"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36.2</w:t>
            </w:r>
          </w:p>
        </w:tc>
        <w:tc>
          <w:tcPr>
            <w:tcW w:w="1010" w:type="dxa"/>
            <w:tcBorders>
              <w:top w:val="single" w:sz="8" w:space="0" w:color="000000"/>
              <w:bottom w:val="single" w:sz="8" w:space="0" w:color="000000"/>
            </w:tcBorders>
            <w:shd w:val="clear" w:color="auto" w:fill="auto"/>
            <w:noWrap/>
            <w:vAlign w:val="center"/>
          </w:tcPr>
          <w:p w14:paraId="7B90271C"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36.2</w:t>
            </w:r>
          </w:p>
        </w:tc>
        <w:tc>
          <w:tcPr>
            <w:tcW w:w="660" w:type="dxa"/>
            <w:tcBorders>
              <w:top w:val="single" w:sz="8" w:space="0" w:color="000000"/>
              <w:bottom w:val="single" w:sz="8" w:space="0" w:color="000000"/>
            </w:tcBorders>
            <w:shd w:val="clear" w:color="auto" w:fill="auto"/>
            <w:noWrap/>
            <w:vAlign w:val="center"/>
          </w:tcPr>
          <w:p w14:paraId="64394EFC" w14:textId="77777777" w:rsidR="007C424D" w:rsidRPr="00151E6E" w:rsidRDefault="007C424D" w:rsidP="00151E6E">
            <w:pPr>
              <w:jc w:val="center"/>
              <w:rPr>
                <w:rFonts w:eastAsia="Times New Roman" w:cstheme="minorHAnsi"/>
                <w:sz w:val="20"/>
                <w:szCs w:val="20"/>
                <w:lang w:eastAsia="en-GB"/>
              </w:rPr>
            </w:pPr>
            <w:r w:rsidRPr="00151E6E">
              <w:rPr>
                <w:rFonts w:eastAsia="Times New Roman" w:cstheme="minorHAnsi"/>
                <w:sz w:val="20"/>
                <w:szCs w:val="20"/>
                <w:lang w:eastAsia="en-GB"/>
              </w:rPr>
              <w:t>36.3</w:t>
            </w:r>
          </w:p>
        </w:tc>
        <w:tc>
          <w:tcPr>
            <w:tcW w:w="1564" w:type="dxa"/>
            <w:tcBorders>
              <w:top w:val="single" w:sz="8" w:space="0" w:color="000000"/>
              <w:bottom w:val="single" w:sz="8" w:space="0" w:color="000000"/>
            </w:tcBorders>
            <w:vAlign w:val="center"/>
          </w:tcPr>
          <w:p w14:paraId="05981675" w14:textId="77777777" w:rsidR="007C424D" w:rsidRPr="00151E6E" w:rsidRDefault="007C424D" w:rsidP="0039267A">
            <w:pPr>
              <w:rPr>
                <w:rFonts w:eastAsia="Times New Roman" w:cstheme="minorHAnsi"/>
                <w:sz w:val="20"/>
                <w:szCs w:val="20"/>
                <w:lang w:eastAsia="en-GB"/>
              </w:rPr>
            </w:pPr>
            <w:r w:rsidRPr="00151E6E">
              <w:rPr>
                <w:rFonts w:eastAsia="Times New Roman" w:cstheme="minorHAnsi"/>
                <w:sz w:val="20"/>
                <w:szCs w:val="20"/>
                <w:lang w:eastAsia="en-GB"/>
              </w:rPr>
              <w:t>Experimentally determined (Supplementary Table 1)</w:t>
            </w:r>
          </w:p>
        </w:tc>
      </w:tr>
    </w:tbl>
    <w:p w14:paraId="07695170" w14:textId="77777777" w:rsidR="007C424D" w:rsidRPr="00CD16BA" w:rsidRDefault="007C424D" w:rsidP="0039267A">
      <w:pPr>
        <w:jc w:val="both"/>
        <w:rPr>
          <w:b/>
          <w:sz w:val="22"/>
          <w:szCs w:val="22"/>
        </w:rPr>
      </w:pPr>
    </w:p>
    <w:p w14:paraId="6E65F36D" w14:textId="77777777" w:rsidR="007C424D" w:rsidRDefault="007C424D" w:rsidP="00784DFC">
      <w:pPr>
        <w:jc w:val="both"/>
        <w:rPr>
          <w:b/>
          <w:sz w:val="22"/>
          <w:szCs w:val="22"/>
        </w:rPr>
      </w:pPr>
    </w:p>
    <w:p w14:paraId="58389036" w14:textId="77777777" w:rsidR="007C424D" w:rsidRDefault="007C424D" w:rsidP="00784DFC">
      <w:pPr>
        <w:jc w:val="both"/>
        <w:rPr>
          <w:b/>
          <w:sz w:val="22"/>
          <w:szCs w:val="22"/>
        </w:rPr>
      </w:pPr>
    </w:p>
    <w:p w14:paraId="0D014BF3" w14:textId="77777777" w:rsidR="007C424D" w:rsidRDefault="007C424D" w:rsidP="00784DFC">
      <w:pPr>
        <w:jc w:val="both"/>
        <w:rPr>
          <w:b/>
          <w:sz w:val="22"/>
          <w:szCs w:val="22"/>
        </w:rPr>
      </w:pPr>
    </w:p>
    <w:p w14:paraId="05CB6513" w14:textId="77777777" w:rsidR="007C424D" w:rsidRDefault="007C424D" w:rsidP="00784DFC">
      <w:pPr>
        <w:jc w:val="both"/>
        <w:rPr>
          <w:b/>
          <w:sz w:val="22"/>
          <w:szCs w:val="22"/>
        </w:rPr>
      </w:pPr>
    </w:p>
    <w:p w14:paraId="66F13B6E" w14:textId="77777777" w:rsidR="007C424D" w:rsidRDefault="007C424D" w:rsidP="00784DFC">
      <w:pPr>
        <w:jc w:val="both"/>
        <w:rPr>
          <w:b/>
          <w:sz w:val="22"/>
          <w:szCs w:val="22"/>
        </w:rPr>
      </w:pPr>
    </w:p>
    <w:p w14:paraId="4F81C746" w14:textId="77777777" w:rsidR="007C424D" w:rsidRDefault="007C424D" w:rsidP="00784DFC">
      <w:pPr>
        <w:jc w:val="both"/>
        <w:rPr>
          <w:b/>
          <w:sz w:val="22"/>
          <w:szCs w:val="22"/>
        </w:rPr>
      </w:pPr>
    </w:p>
    <w:p w14:paraId="40C699E1" w14:textId="77777777" w:rsidR="007C424D" w:rsidRDefault="007C424D" w:rsidP="00784DFC">
      <w:pPr>
        <w:jc w:val="both"/>
        <w:rPr>
          <w:b/>
          <w:sz w:val="22"/>
          <w:szCs w:val="22"/>
        </w:rPr>
      </w:pPr>
    </w:p>
    <w:p w14:paraId="1E0A113A" w14:textId="77777777" w:rsidR="007C424D" w:rsidRDefault="007C424D" w:rsidP="00784DFC">
      <w:pPr>
        <w:jc w:val="both"/>
        <w:rPr>
          <w:b/>
          <w:sz w:val="22"/>
          <w:szCs w:val="22"/>
        </w:rPr>
      </w:pPr>
    </w:p>
    <w:p w14:paraId="0343924D" w14:textId="77777777" w:rsidR="007C424D" w:rsidRDefault="007C424D" w:rsidP="00784DFC">
      <w:pPr>
        <w:jc w:val="both"/>
        <w:rPr>
          <w:b/>
          <w:sz w:val="22"/>
          <w:szCs w:val="22"/>
        </w:rPr>
      </w:pPr>
    </w:p>
    <w:p w14:paraId="5250383D" w14:textId="77777777" w:rsidR="007C424D" w:rsidRDefault="007C424D" w:rsidP="00784DFC">
      <w:pPr>
        <w:jc w:val="both"/>
        <w:rPr>
          <w:b/>
          <w:sz w:val="22"/>
          <w:szCs w:val="22"/>
        </w:rPr>
      </w:pPr>
    </w:p>
    <w:p w14:paraId="6A8A52B4" w14:textId="77777777" w:rsidR="007C424D" w:rsidRDefault="007C424D" w:rsidP="00784DFC">
      <w:pPr>
        <w:jc w:val="both"/>
        <w:rPr>
          <w:b/>
          <w:sz w:val="22"/>
          <w:szCs w:val="22"/>
        </w:rPr>
      </w:pPr>
    </w:p>
    <w:p w14:paraId="5793AC5D" w14:textId="77777777" w:rsidR="007C424D" w:rsidRDefault="007C424D" w:rsidP="00784DFC">
      <w:pPr>
        <w:jc w:val="both"/>
        <w:rPr>
          <w:b/>
          <w:sz w:val="22"/>
          <w:szCs w:val="22"/>
        </w:rPr>
      </w:pPr>
    </w:p>
    <w:p w14:paraId="574857FB" w14:textId="77777777" w:rsidR="007C424D" w:rsidRDefault="007C424D" w:rsidP="00784DFC">
      <w:pPr>
        <w:jc w:val="both"/>
        <w:rPr>
          <w:b/>
          <w:sz w:val="22"/>
          <w:szCs w:val="22"/>
        </w:rPr>
      </w:pPr>
    </w:p>
    <w:p w14:paraId="0D641D1E" w14:textId="77777777" w:rsidR="007C424D" w:rsidRDefault="007C424D" w:rsidP="00784DFC">
      <w:pPr>
        <w:jc w:val="both"/>
        <w:rPr>
          <w:b/>
          <w:sz w:val="22"/>
          <w:szCs w:val="22"/>
        </w:rPr>
      </w:pPr>
    </w:p>
    <w:p w14:paraId="54BDAEB6" w14:textId="77777777" w:rsidR="007C424D" w:rsidRDefault="007C424D" w:rsidP="00784DFC">
      <w:pPr>
        <w:jc w:val="both"/>
        <w:rPr>
          <w:b/>
          <w:sz w:val="22"/>
          <w:szCs w:val="22"/>
        </w:rPr>
      </w:pPr>
    </w:p>
    <w:p w14:paraId="0BE45968" w14:textId="77777777" w:rsidR="007C424D" w:rsidRDefault="007C424D" w:rsidP="00784DFC">
      <w:pPr>
        <w:jc w:val="both"/>
        <w:rPr>
          <w:b/>
          <w:sz w:val="22"/>
          <w:szCs w:val="22"/>
        </w:rPr>
      </w:pPr>
    </w:p>
    <w:p w14:paraId="5246A3BA" w14:textId="77777777" w:rsidR="007C424D" w:rsidRDefault="007C424D" w:rsidP="00784DFC">
      <w:pPr>
        <w:jc w:val="both"/>
        <w:rPr>
          <w:b/>
          <w:sz w:val="22"/>
          <w:szCs w:val="22"/>
        </w:rPr>
      </w:pPr>
    </w:p>
    <w:p w14:paraId="7B03F234" w14:textId="77777777" w:rsidR="007C424D" w:rsidRDefault="007C424D" w:rsidP="00784DFC">
      <w:pPr>
        <w:jc w:val="both"/>
        <w:rPr>
          <w:b/>
          <w:sz w:val="22"/>
          <w:szCs w:val="22"/>
        </w:rPr>
      </w:pPr>
    </w:p>
    <w:p w14:paraId="616FBAB6" w14:textId="77777777" w:rsidR="007C424D" w:rsidRDefault="007C424D" w:rsidP="00784DFC">
      <w:pPr>
        <w:jc w:val="both"/>
        <w:rPr>
          <w:b/>
          <w:sz w:val="22"/>
          <w:szCs w:val="22"/>
        </w:rPr>
      </w:pPr>
    </w:p>
    <w:p w14:paraId="165AC1D8" w14:textId="77777777" w:rsidR="007C424D" w:rsidRDefault="007C424D" w:rsidP="00784DFC">
      <w:pPr>
        <w:jc w:val="both"/>
        <w:rPr>
          <w:b/>
          <w:sz w:val="22"/>
          <w:szCs w:val="22"/>
        </w:rPr>
      </w:pPr>
    </w:p>
    <w:p w14:paraId="32CB3A43" w14:textId="77777777" w:rsidR="007C424D" w:rsidRDefault="007C424D" w:rsidP="00784DFC">
      <w:pPr>
        <w:jc w:val="both"/>
        <w:rPr>
          <w:b/>
          <w:sz w:val="22"/>
          <w:szCs w:val="22"/>
        </w:rPr>
      </w:pPr>
    </w:p>
    <w:p w14:paraId="3986D80F" w14:textId="77777777" w:rsidR="007C424D" w:rsidRDefault="007C424D" w:rsidP="00784DFC">
      <w:pPr>
        <w:jc w:val="both"/>
        <w:rPr>
          <w:b/>
          <w:sz w:val="22"/>
          <w:szCs w:val="22"/>
        </w:rPr>
      </w:pPr>
    </w:p>
    <w:p w14:paraId="051B8860" w14:textId="77777777" w:rsidR="007C424D" w:rsidRDefault="007C424D" w:rsidP="00784DFC">
      <w:pPr>
        <w:jc w:val="both"/>
        <w:rPr>
          <w:b/>
          <w:sz w:val="22"/>
          <w:szCs w:val="22"/>
        </w:rPr>
      </w:pPr>
    </w:p>
    <w:p w14:paraId="0C4B84F3" w14:textId="77777777" w:rsidR="007C424D" w:rsidRDefault="007C424D" w:rsidP="00784DFC">
      <w:pPr>
        <w:jc w:val="both"/>
        <w:rPr>
          <w:b/>
          <w:sz w:val="22"/>
          <w:szCs w:val="22"/>
        </w:rPr>
      </w:pPr>
    </w:p>
    <w:p w14:paraId="483808FC" w14:textId="77777777" w:rsidR="007C424D" w:rsidRDefault="007C424D" w:rsidP="00784DFC">
      <w:pPr>
        <w:jc w:val="both"/>
        <w:rPr>
          <w:b/>
          <w:sz w:val="22"/>
          <w:szCs w:val="22"/>
        </w:rPr>
      </w:pPr>
    </w:p>
    <w:p w14:paraId="47AD9D55" w14:textId="77777777" w:rsidR="008C10D5" w:rsidRDefault="008C10D5" w:rsidP="00784DFC">
      <w:pPr>
        <w:jc w:val="both"/>
        <w:rPr>
          <w:b/>
          <w:sz w:val="22"/>
          <w:szCs w:val="22"/>
        </w:rPr>
      </w:pPr>
    </w:p>
    <w:p w14:paraId="28BD99EB" w14:textId="77777777" w:rsidR="007C424D" w:rsidRPr="00CD16BA" w:rsidRDefault="007C424D" w:rsidP="00784DFC">
      <w:pPr>
        <w:jc w:val="both"/>
        <w:rPr>
          <w:bCs/>
          <w:sz w:val="22"/>
          <w:szCs w:val="22"/>
        </w:rPr>
      </w:pPr>
      <w:r w:rsidRPr="00CD16BA">
        <w:rPr>
          <w:b/>
          <w:sz w:val="22"/>
          <w:szCs w:val="22"/>
        </w:rPr>
        <w:lastRenderedPageBreak/>
        <w:t xml:space="preserve">Supplementary Figure 1: </w:t>
      </w:r>
      <w:r w:rsidRPr="00CD16BA">
        <w:rPr>
          <w:bCs/>
          <w:sz w:val="22"/>
          <w:szCs w:val="22"/>
        </w:rPr>
        <w:t xml:space="preserve">Schematic showing simplified Maillard Reaction, in which the carbonyl group of a sugar reacts with the amino group of an amino acid, to form water and an unstable Schiff base of </w:t>
      </w:r>
      <w:proofErr w:type="spellStart"/>
      <w:r w:rsidRPr="00CD16BA">
        <w:rPr>
          <w:bCs/>
          <w:sz w:val="22"/>
          <w:szCs w:val="22"/>
        </w:rPr>
        <w:t>glycosylamine</w:t>
      </w:r>
      <w:proofErr w:type="spellEnd"/>
      <w:r w:rsidRPr="00CD16BA">
        <w:rPr>
          <w:bCs/>
          <w:sz w:val="22"/>
          <w:szCs w:val="22"/>
        </w:rPr>
        <w:t xml:space="preserve">; the </w:t>
      </w:r>
      <w:proofErr w:type="spellStart"/>
      <w:r w:rsidRPr="00CD16BA">
        <w:rPr>
          <w:bCs/>
          <w:sz w:val="22"/>
          <w:szCs w:val="22"/>
        </w:rPr>
        <w:t>glycosylamine</w:t>
      </w:r>
      <w:proofErr w:type="spellEnd"/>
      <w:r w:rsidRPr="00CD16BA">
        <w:rPr>
          <w:bCs/>
          <w:sz w:val="22"/>
          <w:szCs w:val="22"/>
        </w:rPr>
        <w:t xml:space="preserve"> then undergoes </w:t>
      </w:r>
      <w:proofErr w:type="spellStart"/>
      <w:r w:rsidRPr="00CD16BA">
        <w:rPr>
          <w:bCs/>
          <w:sz w:val="22"/>
          <w:szCs w:val="22"/>
        </w:rPr>
        <w:t>Amadori</w:t>
      </w:r>
      <w:proofErr w:type="spellEnd"/>
      <w:r w:rsidRPr="00CD16BA">
        <w:rPr>
          <w:bCs/>
          <w:sz w:val="22"/>
          <w:szCs w:val="22"/>
        </w:rPr>
        <w:t xml:space="preserve"> rearrangement to form an amino ketone compound; the </w:t>
      </w:r>
      <w:proofErr w:type="spellStart"/>
      <w:r w:rsidRPr="00CD16BA">
        <w:rPr>
          <w:bCs/>
          <w:sz w:val="22"/>
          <w:szCs w:val="22"/>
        </w:rPr>
        <w:t>Amadori</w:t>
      </w:r>
      <w:proofErr w:type="spellEnd"/>
      <w:r w:rsidRPr="00CD16BA">
        <w:rPr>
          <w:bCs/>
          <w:sz w:val="22"/>
          <w:szCs w:val="22"/>
        </w:rPr>
        <w:t xml:space="preserve"> rearrangement product then undergoes a range of other rearrangement and condensation reactions to form a plethora of different products that contain aromatic C and N-substituted rings with carbonyl, carboxyl and amino functional groups</w:t>
      </w:r>
      <w:r w:rsidRPr="0021248E">
        <w:rPr>
          <w:bCs/>
          <w:noProof/>
          <w:sz w:val="22"/>
          <w:szCs w:val="22"/>
          <w:vertAlign w:val="superscript"/>
        </w:rPr>
        <w:t>4</w:t>
      </w:r>
      <w:r w:rsidRPr="00CD16BA">
        <w:rPr>
          <w:bCs/>
          <w:sz w:val="22"/>
          <w:szCs w:val="22"/>
        </w:rPr>
        <w:t>.</w:t>
      </w:r>
    </w:p>
    <w:p w14:paraId="0CC69534" w14:textId="77777777" w:rsidR="007C424D" w:rsidRDefault="007C424D" w:rsidP="00784DFC">
      <w:pPr>
        <w:jc w:val="both"/>
        <w:rPr>
          <w:bCs/>
          <w:sz w:val="22"/>
          <w:szCs w:val="22"/>
        </w:rPr>
      </w:pPr>
      <w:r w:rsidRPr="00CD16BA">
        <w:rPr>
          <w:b/>
          <w:noProof/>
          <w:lang w:eastAsia="en-GB"/>
        </w:rPr>
        <w:drawing>
          <wp:inline distT="0" distB="0" distL="0" distR="0" wp14:anchorId="6CE1236F" wp14:editId="141955DC">
            <wp:extent cx="5731510" cy="3608705"/>
            <wp:effectExtent l="0" t="0" r="0" b="0"/>
            <wp:docPr id="1690180886" name="Picture 169018088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5"/>
                    <a:stretch>
                      <a:fillRect/>
                    </a:stretch>
                  </pic:blipFill>
                  <pic:spPr>
                    <a:xfrm>
                      <a:off x="0" y="0"/>
                      <a:ext cx="5731510" cy="3608705"/>
                    </a:xfrm>
                    <a:prstGeom prst="rect">
                      <a:avLst/>
                    </a:prstGeom>
                  </pic:spPr>
                </pic:pic>
              </a:graphicData>
            </a:graphic>
          </wp:inline>
        </w:drawing>
      </w:r>
    </w:p>
    <w:p w14:paraId="3956B4A6" w14:textId="77777777" w:rsidR="007C424D" w:rsidRDefault="007C424D" w:rsidP="00784DFC">
      <w:pPr>
        <w:jc w:val="both"/>
        <w:rPr>
          <w:bCs/>
          <w:sz w:val="22"/>
          <w:szCs w:val="22"/>
        </w:rPr>
      </w:pPr>
    </w:p>
    <w:p w14:paraId="4E5D0617" w14:textId="77777777" w:rsidR="007C424D" w:rsidRPr="00CD16BA" w:rsidRDefault="007C424D" w:rsidP="00784DFC">
      <w:pPr>
        <w:jc w:val="both"/>
        <w:rPr>
          <w:bCs/>
          <w:sz w:val="22"/>
          <w:szCs w:val="22"/>
        </w:rPr>
      </w:pPr>
    </w:p>
    <w:p w14:paraId="61BF8CA0" w14:textId="77777777" w:rsidR="007C424D" w:rsidRPr="00CD16BA" w:rsidRDefault="007C424D" w:rsidP="0039267A">
      <w:pPr>
        <w:jc w:val="both"/>
        <w:rPr>
          <w:b/>
          <w:sz w:val="22"/>
          <w:szCs w:val="22"/>
        </w:rPr>
      </w:pPr>
      <w:r w:rsidRPr="00CD16BA">
        <w:rPr>
          <w:b/>
          <w:sz w:val="22"/>
          <w:szCs w:val="22"/>
        </w:rPr>
        <w:t xml:space="preserve">Supplementary Figure 2: </w:t>
      </w:r>
      <w:r w:rsidRPr="00CD16BA">
        <w:rPr>
          <w:sz w:val="22"/>
          <w:szCs w:val="22"/>
        </w:rPr>
        <w:t>C and N</w:t>
      </w:r>
      <w:r w:rsidRPr="00CD16BA">
        <w:rPr>
          <w:b/>
          <w:sz w:val="22"/>
          <w:szCs w:val="22"/>
        </w:rPr>
        <w:t xml:space="preserve"> </w:t>
      </w:r>
      <w:r w:rsidRPr="00CD16BA">
        <w:rPr>
          <w:sz w:val="22"/>
          <w:szCs w:val="22"/>
        </w:rPr>
        <w:t xml:space="preserve">1s NEXAFS data plotted as energy (eV) vs. normalised absorbance (arbitrary units). Grey bands show energy regions in which spectral features associated with Maillard reaction products are expected to appear. </w:t>
      </w:r>
      <w:r w:rsidRPr="00CD16BA">
        <w:rPr>
          <w:b/>
          <w:sz w:val="22"/>
          <w:szCs w:val="22"/>
        </w:rPr>
        <w:t>a.</w:t>
      </w:r>
      <w:r w:rsidRPr="00CD16BA">
        <w:rPr>
          <w:sz w:val="22"/>
          <w:szCs w:val="22"/>
        </w:rPr>
        <w:t xml:space="preserve"> C spectra and </w:t>
      </w:r>
      <w:r w:rsidRPr="00CD16BA">
        <w:rPr>
          <w:b/>
          <w:sz w:val="22"/>
          <w:szCs w:val="22"/>
        </w:rPr>
        <w:t>b.</w:t>
      </w:r>
      <w:r w:rsidRPr="00CD16BA">
        <w:rPr>
          <w:sz w:val="22"/>
          <w:szCs w:val="22"/>
        </w:rPr>
        <w:t xml:space="preserve"> N spectra for glucose, glycine and experimentally produced geopolymerised carbon (GPS) in the absence (</w:t>
      </w:r>
      <w:proofErr w:type="spellStart"/>
      <w:r w:rsidRPr="00CD16BA">
        <w:rPr>
          <w:sz w:val="22"/>
          <w:szCs w:val="22"/>
        </w:rPr>
        <w:t>GPS_no</w:t>
      </w:r>
      <w:proofErr w:type="spellEnd"/>
      <w:r w:rsidRPr="00CD16BA">
        <w:rPr>
          <w:sz w:val="22"/>
          <w:szCs w:val="22"/>
        </w:rPr>
        <w:t xml:space="preserve"> catalyst) and presence of dissolved Fe (</w:t>
      </w:r>
      <w:proofErr w:type="spellStart"/>
      <w:r w:rsidRPr="00CD16BA">
        <w:rPr>
          <w:sz w:val="22"/>
          <w:szCs w:val="22"/>
        </w:rPr>
        <w:t>GPS_dissolved</w:t>
      </w:r>
      <w:proofErr w:type="spellEnd"/>
      <w:r w:rsidRPr="00CD16BA">
        <w:rPr>
          <w:sz w:val="22"/>
          <w:szCs w:val="22"/>
        </w:rPr>
        <w:t xml:space="preserve"> Fe), Fe mineral (</w:t>
      </w:r>
      <w:proofErr w:type="spellStart"/>
      <w:r w:rsidRPr="00CD16BA">
        <w:rPr>
          <w:sz w:val="22"/>
          <w:szCs w:val="22"/>
        </w:rPr>
        <w:t>GPS_ferrihydrite</w:t>
      </w:r>
      <w:proofErr w:type="spellEnd"/>
      <w:r w:rsidRPr="00CD16BA">
        <w:rPr>
          <w:sz w:val="22"/>
          <w:szCs w:val="22"/>
        </w:rPr>
        <w:t>), dissolved Mn (</w:t>
      </w:r>
      <w:proofErr w:type="spellStart"/>
      <w:r w:rsidRPr="00CD16BA">
        <w:rPr>
          <w:sz w:val="22"/>
          <w:szCs w:val="22"/>
        </w:rPr>
        <w:t>GPS_dissolved</w:t>
      </w:r>
      <w:proofErr w:type="spellEnd"/>
      <w:r w:rsidRPr="00CD16BA">
        <w:rPr>
          <w:sz w:val="22"/>
          <w:szCs w:val="22"/>
        </w:rPr>
        <w:t xml:space="preserve"> Mn), Mn mineral (</w:t>
      </w:r>
      <w:proofErr w:type="spellStart"/>
      <w:r w:rsidRPr="00CD16BA">
        <w:rPr>
          <w:sz w:val="22"/>
          <w:szCs w:val="22"/>
        </w:rPr>
        <w:t>GPS_birnessite</w:t>
      </w:r>
      <w:proofErr w:type="spellEnd"/>
      <w:r w:rsidRPr="00CD16BA">
        <w:rPr>
          <w:sz w:val="22"/>
          <w:szCs w:val="22"/>
        </w:rPr>
        <w:t>), and associated with ferrihydrite (</w:t>
      </w:r>
      <w:proofErr w:type="spellStart"/>
      <w:r w:rsidRPr="00CD16BA">
        <w:rPr>
          <w:sz w:val="22"/>
          <w:szCs w:val="22"/>
        </w:rPr>
        <w:t>GPS_ferrihydrite</w:t>
      </w:r>
      <w:proofErr w:type="spellEnd"/>
      <w:r w:rsidRPr="00CD16BA">
        <w:rPr>
          <w:sz w:val="22"/>
          <w:szCs w:val="22"/>
        </w:rPr>
        <w:t xml:space="preserve"> associated); </w:t>
      </w:r>
      <w:r w:rsidRPr="00CD16BA">
        <w:rPr>
          <w:b/>
          <w:sz w:val="22"/>
          <w:szCs w:val="22"/>
        </w:rPr>
        <w:t>c.</w:t>
      </w:r>
      <w:r w:rsidRPr="00CD16BA">
        <w:rPr>
          <w:sz w:val="22"/>
          <w:szCs w:val="22"/>
        </w:rPr>
        <w:t xml:space="preserve"> C spectra and </w:t>
      </w:r>
      <w:r w:rsidRPr="00CD16BA">
        <w:rPr>
          <w:b/>
          <w:sz w:val="22"/>
          <w:szCs w:val="22"/>
        </w:rPr>
        <w:t>d.</w:t>
      </w:r>
      <w:r w:rsidRPr="00CD16BA">
        <w:rPr>
          <w:sz w:val="22"/>
          <w:szCs w:val="22"/>
        </w:rPr>
        <w:t xml:space="preserve"> N spectra for biopolymers, amino acids, nucleotide bases and nucleic acids. Panel </w:t>
      </w:r>
      <w:r w:rsidRPr="00CD16BA">
        <w:rPr>
          <w:b/>
          <w:bCs/>
          <w:sz w:val="22"/>
          <w:szCs w:val="22"/>
        </w:rPr>
        <w:t>a.</w:t>
      </w:r>
      <w:r w:rsidRPr="00CD16BA">
        <w:rPr>
          <w:sz w:val="22"/>
          <w:szCs w:val="22"/>
        </w:rPr>
        <w:t xml:space="preserve"> also shows C spectra for experimentally produced GPS using glucose and either lysine (</w:t>
      </w:r>
      <w:proofErr w:type="spellStart"/>
      <w:r w:rsidRPr="00CD16BA">
        <w:rPr>
          <w:sz w:val="22"/>
          <w:szCs w:val="22"/>
        </w:rPr>
        <w:t>GPS_no</w:t>
      </w:r>
      <w:proofErr w:type="spellEnd"/>
      <w:r w:rsidRPr="00CD16BA">
        <w:rPr>
          <w:sz w:val="22"/>
          <w:szCs w:val="22"/>
        </w:rPr>
        <w:t xml:space="preserve"> </w:t>
      </w:r>
      <w:proofErr w:type="spellStart"/>
      <w:r w:rsidRPr="00CD16BA">
        <w:rPr>
          <w:sz w:val="22"/>
          <w:szCs w:val="22"/>
        </w:rPr>
        <w:t>catalyst_lys</w:t>
      </w:r>
      <w:proofErr w:type="spellEnd"/>
      <w:r w:rsidRPr="00CD16BA">
        <w:rPr>
          <w:sz w:val="22"/>
          <w:szCs w:val="22"/>
        </w:rPr>
        <w:t>) or aspartic acid (</w:t>
      </w:r>
      <w:proofErr w:type="spellStart"/>
      <w:r w:rsidRPr="00CD16BA">
        <w:rPr>
          <w:sz w:val="22"/>
          <w:szCs w:val="22"/>
        </w:rPr>
        <w:t>GPS_no</w:t>
      </w:r>
      <w:proofErr w:type="spellEnd"/>
      <w:r w:rsidRPr="00CD16BA">
        <w:rPr>
          <w:sz w:val="22"/>
          <w:szCs w:val="22"/>
        </w:rPr>
        <w:t xml:space="preserve"> </w:t>
      </w:r>
      <w:proofErr w:type="spellStart"/>
      <w:r w:rsidRPr="00CD16BA">
        <w:rPr>
          <w:sz w:val="22"/>
          <w:szCs w:val="22"/>
        </w:rPr>
        <w:t>catalyst_asp</w:t>
      </w:r>
      <w:proofErr w:type="spellEnd"/>
      <w:r w:rsidRPr="00CD16BA">
        <w:rPr>
          <w:sz w:val="22"/>
          <w:szCs w:val="22"/>
        </w:rPr>
        <w:t>) with the same spectral features as experimentally produced GPS using glucose</w:t>
      </w:r>
      <w:r w:rsidRPr="00CD16BA">
        <w:rPr>
          <w:rFonts w:cstheme="minorHAnsi"/>
          <w:sz w:val="22"/>
          <w:szCs w:val="22"/>
        </w:rPr>
        <w:t xml:space="preserve"> and glycine (</w:t>
      </w:r>
      <w:proofErr w:type="spellStart"/>
      <w:r w:rsidRPr="00CD16BA">
        <w:rPr>
          <w:rFonts w:cstheme="minorHAnsi"/>
          <w:sz w:val="22"/>
          <w:szCs w:val="22"/>
        </w:rPr>
        <w:t>GPS_no</w:t>
      </w:r>
      <w:proofErr w:type="spellEnd"/>
      <w:r w:rsidRPr="00CD16BA">
        <w:rPr>
          <w:rFonts w:cstheme="minorHAnsi"/>
          <w:sz w:val="22"/>
          <w:szCs w:val="22"/>
        </w:rPr>
        <w:t xml:space="preserve"> catalyst).  </w:t>
      </w:r>
    </w:p>
    <w:p w14:paraId="0C82C206" w14:textId="77777777" w:rsidR="007C424D" w:rsidRPr="00CD16BA" w:rsidRDefault="007C424D" w:rsidP="0039267A">
      <w:pPr>
        <w:jc w:val="both"/>
        <w:rPr>
          <w:sz w:val="22"/>
          <w:szCs w:val="22"/>
        </w:rPr>
      </w:pPr>
    </w:p>
    <w:p w14:paraId="0F5A293D" w14:textId="77777777" w:rsidR="007C424D" w:rsidRPr="00CD16BA" w:rsidRDefault="007C424D" w:rsidP="0039267A">
      <w:pPr>
        <w:jc w:val="both"/>
        <w:rPr>
          <w:sz w:val="22"/>
          <w:szCs w:val="22"/>
        </w:rPr>
      </w:pPr>
      <w:r w:rsidRPr="00CD16BA">
        <w:rPr>
          <w:sz w:val="22"/>
          <w:szCs w:val="22"/>
        </w:rPr>
        <w:t>Biopolymer spectra for protein (bovine albumin serum), polysaccharide (alginate) and lipid (1,2-dipalmitoyl-sn-glycero-3-phosphoethanolamine) are reproduced here from the literature (C spectra</w:t>
      </w:r>
      <w:r w:rsidRPr="00EF5BA1">
        <w:rPr>
          <w:noProof/>
          <w:sz w:val="22"/>
          <w:szCs w:val="22"/>
          <w:vertAlign w:val="superscript"/>
        </w:rPr>
        <w:t>84</w:t>
      </w:r>
      <w:r w:rsidRPr="00CD16BA">
        <w:rPr>
          <w:sz w:val="22"/>
          <w:szCs w:val="22"/>
        </w:rPr>
        <w:t xml:space="preserve"> and protein N spectrum</w:t>
      </w:r>
      <w:r w:rsidRPr="00EF5BA1">
        <w:rPr>
          <w:noProof/>
          <w:sz w:val="22"/>
          <w:szCs w:val="22"/>
          <w:vertAlign w:val="superscript"/>
        </w:rPr>
        <w:t>85</w:t>
      </w:r>
      <w:r w:rsidRPr="00CD16BA">
        <w:rPr>
          <w:sz w:val="22"/>
          <w:szCs w:val="22"/>
        </w:rPr>
        <w:t>), where all spectra were recorded in transmission mode. Amino acid spectra for alanine and aspartic acid, and the aromatic amino acids histidine, phenylalanine, tyrosine and tryptophan are reproduced here from the literature</w:t>
      </w:r>
      <w:r w:rsidRPr="00984FEC">
        <w:rPr>
          <w:noProof/>
          <w:sz w:val="22"/>
          <w:szCs w:val="22"/>
          <w:vertAlign w:val="superscript"/>
        </w:rPr>
        <w:t>26</w:t>
      </w:r>
      <w:r w:rsidRPr="00CD16BA">
        <w:rPr>
          <w:sz w:val="22"/>
          <w:szCs w:val="22"/>
        </w:rPr>
        <w:t>, where spectra were recorded in partial electron yield (PEY) mode. Nucleotide base spectra for cytosine, uracil, thymine, guanine and adenine are reproduced here from the literature</w:t>
      </w:r>
      <w:r w:rsidRPr="00984FEC">
        <w:rPr>
          <w:noProof/>
          <w:sz w:val="22"/>
          <w:szCs w:val="22"/>
          <w:vertAlign w:val="superscript"/>
        </w:rPr>
        <w:t>29</w:t>
      </w:r>
      <w:r w:rsidRPr="00CD16BA">
        <w:rPr>
          <w:sz w:val="22"/>
          <w:szCs w:val="22"/>
        </w:rPr>
        <w:t>, where spectra were recorded in PEY mode. Nucleic acids DNA and RNA are reproduced here from the literature and were recorded in transmission mode (DNA C spectrum)</w:t>
      </w:r>
      <w:r w:rsidRPr="00CD16BA">
        <w:rPr>
          <w:noProof/>
          <w:sz w:val="22"/>
          <w:szCs w:val="22"/>
          <w:vertAlign w:val="superscript"/>
        </w:rPr>
        <w:t xml:space="preserve"> </w:t>
      </w:r>
      <w:r>
        <w:rPr>
          <w:noProof/>
          <w:sz w:val="22"/>
          <w:szCs w:val="22"/>
          <w:vertAlign w:val="superscript"/>
        </w:rPr>
        <w:t>84</w:t>
      </w:r>
      <w:r w:rsidRPr="00CD16BA">
        <w:rPr>
          <w:sz w:val="22"/>
          <w:szCs w:val="22"/>
        </w:rPr>
        <w:t xml:space="preserve"> or total fluorescence yield (TFY) mode (DNA and RNA N spectra)</w:t>
      </w:r>
      <w:r w:rsidRPr="00CD16BA">
        <w:rPr>
          <w:noProof/>
          <w:sz w:val="22"/>
          <w:szCs w:val="22"/>
          <w:vertAlign w:val="superscript"/>
        </w:rPr>
        <w:t xml:space="preserve"> </w:t>
      </w:r>
      <w:r>
        <w:rPr>
          <w:noProof/>
          <w:sz w:val="22"/>
          <w:szCs w:val="22"/>
          <w:vertAlign w:val="superscript"/>
        </w:rPr>
        <w:t>86</w:t>
      </w:r>
      <w:r w:rsidRPr="00CD16BA">
        <w:rPr>
          <w:sz w:val="22"/>
          <w:szCs w:val="22"/>
        </w:rPr>
        <w:t>.</w:t>
      </w:r>
    </w:p>
    <w:p w14:paraId="10ECC076" w14:textId="77777777" w:rsidR="007C424D" w:rsidRPr="00CD16BA" w:rsidRDefault="007C424D" w:rsidP="0039267A">
      <w:pPr>
        <w:jc w:val="both"/>
        <w:rPr>
          <w:sz w:val="22"/>
          <w:szCs w:val="22"/>
        </w:rPr>
      </w:pPr>
    </w:p>
    <w:p w14:paraId="65A0244A" w14:textId="77777777" w:rsidR="007C424D" w:rsidRPr="00CD16BA" w:rsidRDefault="007C424D" w:rsidP="0039267A">
      <w:pPr>
        <w:jc w:val="both"/>
        <w:rPr>
          <w:sz w:val="22"/>
          <w:szCs w:val="22"/>
        </w:rPr>
      </w:pPr>
      <w:r w:rsidRPr="00CD16BA">
        <w:rPr>
          <w:sz w:val="22"/>
          <w:szCs w:val="22"/>
        </w:rPr>
        <w:t xml:space="preserve">It should be noted that </w:t>
      </w:r>
      <w:r w:rsidRPr="00CD16BA">
        <w:rPr>
          <w:rFonts w:cs="Lucida Grande"/>
          <w:sz w:val="22"/>
          <w:szCs w:val="22"/>
        </w:rPr>
        <w:t>significant spectral content in the carbonyl C region (C region 2) is inconsistent with the primary biomolecules (proteins, polysaccharides and lipids)</w:t>
      </w:r>
      <w:r w:rsidRPr="00984FEC">
        <w:rPr>
          <w:rFonts w:cs="Lucida Grande"/>
          <w:noProof/>
          <w:sz w:val="22"/>
          <w:szCs w:val="22"/>
          <w:vertAlign w:val="superscript"/>
        </w:rPr>
        <w:t xml:space="preserve"> 24</w:t>
      </w:r>
      <w:r w:rsidRPr="00CD16BA">
        <w:rPr>
          <w:rFonts w:cs="Lucida Grande"/>
          <w:sz w:val="22"/>
          <w:szCs w:val="22"/>
        </w:rPr>
        <w:t>, and content in both C region 2 and N region 1 is also inconsistent with the most prevalent amino acids in marine sediments (aspartic acid, glycine, alanine)</w:t>
      </w:r>
      <w:r w:rsidRPr="00CA2715">
        <w:rPr>
          <w:rFonts w:cs="Lucida Grande"/>
          <w:noProof/>
          <w:sz w:val="22"/>
          <w:szCs w:val="22"/>
          <w:vertAlign w:val="superscript"/>
        </w:rPr>
        <w:t xml:space="preserve"> 25</w:t>
      </w:r>
      <w:r>
        <w:rPr>
          <w:rFonts w:cs="Lucida Grande"/>
          <w:sz w:val="22"/>
          <w:szCs w:val="22"/>
        </w:rPr>
        <w:t>.</w:t>
      </w:r>
      <w:r w:rsidRPr="00CD16BA">
        <w:rPr>
          <w:sz w:val="22"/>
          <w:szCs w:val="22"/>
        </w:rPr>
        <w:t xml:space="preserve"> It should also be noted that while some aromatic amino acids possess a C NEXAFS peak or some spectral content in C region 2 (histidine, tyrosine and tryptophan) and N NEXAFS peaks in N region 1 (histidine and tryptophan), these amino acids are generally present as only very </w:t>
      </w:r>
      <w:r w:rsidRPr="00CD16BA">
        <w:rPr>
          <w:sz w:val="22"/>
          <w:szCs w:val="22"/>
        </w:rPr>
        <w:lastRenderedPageBreak/>
        <w:t>minor components of the marine sediment amino acid profile</w:t>
      </w:r>
      <w:r w:rsidRPr="00CA2715">
        <w:rPr>
          <w:noProof/>
          <w:sz w:val="22"/>
          <w:szCs w:val="22"/>
          <w:vertAlign w:val="superscript"/>
        </w:rPr>
        <w:t>25</w:t>
      </w:r>
      <w:r w:rsidRPr="00CD16BA">
        <w:rPr>
          <w:sz w:val="22"/>
          <w:szCs w:val="22"/>
        </w:rPr>
        <w:t xml:space="preserve">. Finally while </w:t>
      </w:r>
      <w:r w:rsidRPr="00CD16BA">
        <w:rPr>
          <w:rFonts w:cs="Lucida Grande"/>
          <w:sz w:val="22"/>
          <w:szCs w:val="22"/>
        </w:rPr>
        <w:t xml:space="preserve">spectral content in C region 2 and N region 1 may also result from the presence of nucleic acids or nucleic acid fragments, these </w:t>
      </w:r>
      <w:r w:rsidRPr="00CD16BA">
        <w:rPr>
          <w:sz w:val="22"/>
          <w:szCs w:val="22"/>
          <w:lang w:val="en-US"/>
        </w:rPr>
        <w:t>are extremely labile, and their persistence as a significant component of sedimentary organics is unlikely</w:t>
      </w:r>
      <w:r w:rsidRPr="00CA2715">
        <w:rPr>
          <w:noProof/>
          <w:sz w:val="22"/>
          <w:szCs w:val="22"/>
          <w:vertAlign w:val="superscript"/>
          <w:lang w:val="en-US"/>
        </w:rPr>
        <w:t>31</w:t>
      </w:r>
      <w:r w:rsidRPr="00CD16BA">
        <w:rPr>
          <w:sz w:val="22"/>
          <w:szCs w:val="22"/>
          <w:lang w:val="en-US"/>
        </w:rPr>
        <w:t>.</w:t>
      </w:r>
    </w:p>
    <w:p w14:paraId="4B9D1847" w14:textId="77777777" w:rsidR="007C424D" w:rsidRPr="00CD16BA" w:rsidRDefault="007C424D" w:rsidP="0039267A">
      <w:pPr>
        <w:jc w:val="both"/>
        <w:rPr>
          <w:sz w:val="22"/>
          <w:szCs w:val="22"/>
        </w:rPr>
      </w:pPr>
    </w:p>
    <w:p w14:paraId="64B93D1F" w14:textId="77777777" w:rsidR="007C424D" w:rsidRPr="00CD16BA" w:rsidRDefault="007C424D" w:rsidP="0039267A">
      <w:pPr>
        <w:jc w:val="both"/>
        <w:rPr>
          <w:sz w:val="22"/>
          <w:szCs w:val="22"/>
        </w:rPr>
      </w:pPr>
      <w:r w:rsidRPr="00CD16BA">
        <w:rPr>
          <w:sz w:val="22"/>
          <w:szCs w:val="22"/>
        </w:rPr>
        <w:t>We compare only spectral peak positions between the literature spectra and our experimentally produced geopolymerised carbon (GPS) spectra, although literature spectra collected in transmission mode are comparable to our spectra for both spectral peak positions and amplitudes. Spectra are stacked with an arbitrary offset for clarity.</w:t>
      </w:r>
    </w:p>
    <w:p w14:paraId="316ACC98" w14:textId="77777777" w:rsidR="007C424D" w:rsidRPr="00CD16BA" w:rsidRDefault="007C424D" w:rsidP="0010647B">
      <w:pPr>
        <w:jc w:val="center"/>
        <w:rPr>
          <w:sz w:val="22"/>
          <w:szCs w:val="22"/>
        </w:rPr>
      </w:pPr>
      <w:r w:rsidRPr="00CD16BA">
        <w:rPr>
          <w:noProof/>
          <w:sz w:val="22"/>
          <w:szCs w:val="22"/>
        </w:rPr>
        <w:lastRenderedPageBreak/>
        <w:drawing>
          <wp:inline distT="0" distB="0" distL="0" distR="0" wp14:anchorId="2AFF8834" wp14:editId="2818FDF8">
            <wp:extent cx="4458970" cy="9689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a:srcRect t="2137"/>
                    <a:stretch/>
                  </pic:blipFill>
                  <pic:spPr bwMode="auto">
                    <a:xfrm>
                      <a:off x="0" y="0"/>
                      <a:ext cx="4458970" cy="9689888"/>
                    </a:xfrm>
                    <a:prstGeom prst="rect">
                      <a:avLst/>
                    </a:prstGeom>
                    <a:ln>
                      <a:noFill/>
                    </a:ln>
                    <a:extLst>
                      <a:ext uri="{53640926-AAD7-44D8-BBD7-CCE9431645EC}">
                        <a14:shadowObscured xmlns:a14="http://schemas.microsoft.com/office/drawing/2010/main"/>
                      </a:ext>
                    </a:extLst>
                  </pic:spPr>
                </pic:pic>
              </a:graphicData>
            </a:graphic>
          </wp:inline>
        </w:drawing>
      </w:r>
    </w:p>
    <w:p w14:paraId="6937A022" w14:textId="77777777" w:rsidR="007C424D" w:rsidRPr="00CD16BA" w:rsidRDefault="007C424D" w:rsidP="0039267A">
      <w:pPr>
        <w:jc w:val="both"/>
        <w:rPr>
          <w:rFonts w:cstheme="minorHAnsi"/>
          <w:bCs/>
          <w:sz w:val="22"/>
          <w:szCs w:val="22"/>
        </w:rPr>
      </w:pPr>
      <w:r w:rsidRPr="00CD16BA">
        <w:rPr>
          <w:rFonts w:cstheme="minorHAnsi"/>
          <w:b/>
          <w:sz w:val="22"/>
          <w:szCs w:val="22"/>
        </w:rPr>
        <w:lastRenderedPageBreak/>
        <w:t xml:space="preserve">Supplementary Figure 3. </w:t>
      </w:r>
      <w:r w:rsidRPr="00CD16BA">
        <w:rPr>
          <w:rFonts w:cstheme="minorHAnsi"/>
          <w:bCs/>
          <w:sz w:val="22"/>
          <w:szCs w:val="22"/>
        </w:rPr>
        <w:t xml:space="preserve">SCION Earth Evolution Model with inclusion of changes to OC burial attributed to GPS production. Here the present day GPS burial flux is assumed to be 4.05 </w:t>
      </w:r>
      <w:proofErr w:type="spellStart"/>
      <w:r w:rsidRPr="00CD16BA">
        <w:rPr>
          <w:rFonts w:cstheme="minorHAnsi"/>
          <w:bCs/>
          <w:sz w:val="22"/>
          <w:szCs w:val="22"/>
        </w:rPr>
        <w:t>Tg</w:t>
      </w:r>
      <w:proofErr w:type="spellEnd"/>
      <w:r w:rsidRPr="00CD16BA">
        <w:rPr>
          <w:rFonts w:cstheme="minorHAnsi"/>
          <w:bCs/>
          <w:sz w:val="22"/>
          <w:szCs w:val="22"/>
        </w:rPr>
        <w:t xml:space="preserve"> C yr</w:t>
      </w:r>
      <w:r w:rsidRPr="00CD16BA">
        <w:rPr>
          <w:rFonts w:cstheme="minorHAnsi"/>
          <w:bCs/>
          <w:sz w:val="22"/>
          <w:szCs w:val="22"/>
          <w:vertAlign w:val="superscript"/>
        </w:rPr>
        <w:t>-1</w:t>
      </w:r>
      <w:r w:rsidRPr="00CD16BA">
        <w:rPr>
          <w:rFonts w:cstheme="minorHAnsi"/>
          <w:bCs/>
          <w:sz w:val="22"/>
          <w:szCs w:val="22"/>
        </w:rPr>
        <w:t>. Black line shows the original SCION baseline over Phanerozoic time</w:t>
      </w:r>
      <w:r w:rsidRPr="00EF5BA1">
        <w:rPr>
          <w:rFonts w:cstheme="minorHAnsi"/>
          <w:bCs/>
          <w:noProof/>
          <w:sz w:val="22"/>
          <w:szCs w:val="22"/>
          <w:vertAlign w:val="superscript"/>
        </w:rPr>
        <w:t>45</w:t>
      </w:r>
      <w:r w:rsidRPr="00CD16BA">
        <w:rPr>
          <w:rFonts w:cstheme="minorHAnsi"/>
          <w:bCs/>
          <w:sz w:val="22"/>
          <w:szCs w:val="22"/>
        </w:rPr>
        <w:t xml:space="preserve">, pink solid line shows GPS burial fraction treated independently of other model OC burial and held at 5 </w:t>
      </w:r>
      <m:oMath>
        <m:r>
          <m:rPr>
            <m:sty m:val="p"/>
          </m:rPr>
          <w:rPr>
            <w:rFonts w:ascii="Cambria Math" w:eastAsiaTheme="minorEastAsia" w:hAnsi="Cambria Math" w:cstheme="minorHAnsi"/>
            <w:sz w:val="22"/>
            <w:szCs w:val="22"/>
          </w:rPr>
          <m:t>×</m:t>
        </m:r>
      </m:oMath>
      <w:r w:rsidRPr="00CD16BA">
        <w:rPr>
          <w:rFonts w:cstheme="minorHAnsi"/>
          <w:bCs/>
          <w:sz w:val="22"/>
          <w:szCs w:val="22"/>
        </w:rPr>
        <w:t xml:space="preserve"> present day rate, blue line shows the same scenario with GPS burial held at </w:t>
      </w:r>
      <m:oMath>
        <m:f>
          <m:fPr>
            <m:ctrlPr>
              <w:rPr>
                <w:rFonts w:ascii="Cambria Math" w:hAnsi="Cambria Math" w:cstheme="minorHAnsi"/>
                <w:bCs/>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5</m:t>
            </m:r>
          </m:den>
        </m:f>
        <m:r>
          <m:rPr>
            <m:sty m:val="p"/>
          </m:rPr>
          <w:rPr>
            <w:rFonts w:ascii="Cambria Math" w:eastAsiaTheme="minorEastAsia" w:hAnsi="Cambria Math" w:cstheme="minorHAnsi"/>
            <w:sz w:val="22"/>
            <w:szCs w:val="22"/>
          </w:rPr>
          <m:t>×</m:t>
        </m:r>
      </m:oMath>
      <w:r w:rsidRPr="00CD16BA">
        <w:rPr>
          <w:rFonts w:cstheme="minorHAnsi"/>
          <w:bCs/>
          <w:sz w:val="22"/>
          <w:szCs w:val="22"/>
        </w:rPr>
        <w:t xml:space="preserve"> present day rate.  </w:t>
      </w:r>
      <w:r w:rsidRPr="00CD16BA">
        <w:rPr>
          <w:rFonts w:cstheme="minorHAnsi"/>
          <w:b/>
          <w:sz w:val="22"/>
          <w:szCs w:val="22"/>
        </w:rPr>
        <w:t>A.</w:t>
      </w:r>
      <w:r w:rsidRPr="00CD16BA">
        <w:rPr>
          <w:rFonts w:cstheme="minorHAnsi"/>
          <w:bCs/>
          <w:sz w:val="22"/>
          <w:szCs w:val="22"/>
        </w:rPr>
        <w:t xml:space="preserve"> atmospheric O</w:t>
      </w:r>
      <w:r w:rsidRPr="00CD16BA">
        <w:rPr>
          <w:rFonts w:cstheme="minorHAnsi"/>
          <w:bCs/>
          <w:sz w:val="22"/>
          <w:szCs w:val="22"/>
          <w:vertAlign w:val="subscript"/>
        </w:rPr>
        <w:t>2</w:t>
      </w:r>
      <w:r w:rsidRPr="00CD16BA">
        <w:rPr>
          <w:rFonts w:cstheme="minorHAnsi"/>
          <w:bCs/>
          <w:sz w:val="22"/>
          <w:szCs w:val="22"/>
        </w:rPr>
        <w:t xml:space="preserve">, </w:t>
      </w:r>
      <w:r w:rsidRPr="00CD16BA">
        <w:rPr>
          <w:rFonts w:cstheme="minorHAnsi"/>
          <w:b/>
          <w:sz w:val="22"/>
          <w:szCs w:val="22"/>
        </w:rPr>
        <w:t>B.</w:t>
      </w:r>
      <w:r w:rsidRPr="00CD16BA">
        <w:rPr>
          <w:rFonts w:cstheme="minorHAnsi"/>
          <w:bCs/>
          <w:sz w:val="22"/>
          <w:szCs w:val="22"/>
        </w:rPr>
        <w:t xml:space="preserve"> atmospheric CO</w:t>
      </w:r>
      <w:r w:rsidRPr="00CD16BA">
        <w:rPr>
          <w:rFonts w:cstheme="minorHAnsi"/>
          <w:bCs/>
          <w:sz w:val="22"/>
          <w:szCs w:val="22"/>
          <w:vertAlign w:val="subscript"/>
        </w:rPr>
        <w:t>2</w:t>
      </w:r>
      <w:r w:rsidRPr="00CD16BA">
        <w:rPr>
          <w:rFonts w:cstheme="minorHAnsi"/>
          <w:bCs/>
          <w:sz w:val="22"/>
          <w:szCs w:val="22"/>
        </w:rPr>
        <w:t xml:space="preserve">, and </w:t>
      </w:r>
      <w:r w:rsidRPr="00CD16BA">
        <w:rPr>
          <w:rFonts w:cstheme="minorHAnsi"/>
          <w:b/>
          <w:sz w:val="22"/>
          <w:szCs w:val="22"/>
        </w:rPr>
        <w:t>C.</w:t>
      </w:r>
      <w:r w:rsidRPr="00CD16BA">
        <w:rPr>
          <w:rFonts w:cstheme="minorHAnsi"/>
          <w:bCs/>
          <w:sz w:val="22"/>
          <w:szCs w:val="22"/>
        </w:rPr>
        <w:t xml:space="preserve"> global average surface temperature. In all panels yellow shows the proxy data compilation</w:t>
      </w:r>
      <w:r w:rsidRPr="00EF5BA1">
        <w:rPr>
          <w:rFonts w:cstheme="minorHAnsi"/>
          <w:bCs/>
          <w:noProof/>
          <w:sz w:val="22"/>
          <w:szCs w:val="22"/>
          <w:vertAlign w:val="superscript"/>
        </w:rPr>
        <w:t>87-91</w:t>
      </w:r>
      <w:r w:rsidRPr="00CD16BA">
        <w:rPr>
          <w:rFonts w:cstheme="minorHAnsi"/>
          <w:bCs/>
          <w:sz w:val="22"/>
          <w:szCs w:val="22"/>
        </w:rPr>
        <w:t xml:space="preserve">. </w:t>
      </w:r>
    </w:p>
    <w:p w14:paraId="16072C0B" w14:textId="77777777" w:rsidR="007C424D" w:rsidRPr="00CD16BA" w:rsidRDefault="007C424D" w:rsidP="0039267A">
      <w:pPr>
        <w:jc w:val="both"/>
        <w:rPr>
          <w:rFonts w:cstheme="minorHAnsi"/>
          <w:bCs/>
          <w:sz w:val="22"/>
          <w:szCs w:val="22"/>
          <w:highlight w:val="cyan"/>
        </w:rPr>
      </w:pPr>
      <w:r w:rsidRPr="00CD16BA">
        <w:rPr>
          <w:rFonts w:cstheme="minorHAnsi"/>
          <w:bCs/>
          <w:noProof/>
          <w:sz w:val="22"/>
          <w:szCs w:val="22"/>
        </w:rPr>
        <w:drawing>
          <wp:inline distT="0" distB="0" distL="0" distR="0" wp14:anchorId="61D3ED15" wp14:editId="1A3B1E3D">
            <wp:extent cx="5346700" cy="51816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7"/>
                    <a:stretch>
                      <a:fillRect/>
                    </a:stretch>
                  </pic:blipFill>
                  <pic:spPr>
                    <a:xfrm>
                      <a:off x="0" y="0"/>
                      <a:ext cx="5346700" cy="5181600"/>
                    </a:xfrm>
                    <a:prstGeom prst="rect">
                      <a:avLst/>
                    </a:prstGeom>
                  </pic:spPr>
                </pic:pic>
              </a:graphicData>
            </a:graphic>
          </wp:inline>
        </w:drawing>
      </w:r>
    </w:p>
    <w:p w14:paraId="2C3166DB" w14:textId="77777777" w:rsidR="007C424D" w:rsidRDefault="007C424D" w:rsidP="0039267A">
      <w:pPr>
        <w:jc w:val="center"/>
        <w:rPr>
          <w:rFonts w:cstheme="minorHAnsi"/>
          <w:bCs/>
          <w:sz w:val="22"/>
          <w:szCs w:val="22"/>
        </w:rPr>
      </w:pPr>
    </w:p>
    <w:p w14:paraId="1859F69C" w14:textId="77777777" w:rsidR="008C10D5" w:rsidRPr="00CD16BA" w:rsidRDefault="008C10D5" w:rsidP="008C10D5">
      <w:pPr>
        <w:rPr>
          <w:rFonts w:cstheme="minorHAnsi"/>
          <w:bCs/>
          <w:sz w:val="22"/>
          <w:szCs w:val="22"/>
        </w:rPr>
      </w:pPr>
    </w:p>
    <w:p w14:paraId="7E43B69F" w14:textId="77777777" w:rsidR="007C424D" w:rsidRPr="00CD16BA" w:rsidRDefault="007C424D" w:rsidP="0039267A">
      <w:pPr>
        <w:rPr>
          <w:sz w:val="22"/>
          <w:szCs w:val="22"/>
        </w:rPr>
        <w:sectPr w:rsidR="007C424D" w:rsidRPr="00CD16BA" w:rsidSect="0039267A">
          <w:pgSz w:w="11901" w:h="16840"/>
          <w:pgMar w:top="873" w:right="1440" w:bottom="816" w:left="1225" w:header="709" w:footer="709" w:gutter="0"/>
          <w:lnNumType w:countBy="1" w:restart="continuous"/>
          <w:cols w:space="708"/>
          <w:docGrid w:linePitch="360"/>
        </w:sectPr>
      </w:pPr>
    </w:p>
    <w:p w14:paraId="06C1F484" w14:textId="77777777" w:rsidR="007C424D" w:rsidRPr="00CD16BA" w:rsidRDefault="007C424D" w:rsidP="0039267A">
      <w:pPr>
        <w:jc w:val="both"/>
        <w:rPr>
          <w:sz w:val="22"/>
          <w:szCs w:val="22"/>
          <w:lang w:val="en-US"/>
        </w:rPr>
      </w:pPr>
      <w:r w:rsidRPr="00CD16BA">
        <w:rPr>
          <w:b/>
          <w:bCs/>
          <w:sz w:val="22"/>
          <w:szCs w:val="22"/>
          <w:lang w:val="en-US"/>
        </w:rPr>
        <w:lastRenderedPageBreak/>
        <w:t>References</w:t>
      </w:r>
    </w:p>
    <w:p w14:paraId="59CE1E14" w14:textId="77777777" w:rsidR="007C424D" w:rsidRPr="00EF5BA1" w:rsidRDefault="007C424D" w:rsidP="00EF5BA1">
      <w:pPr>
        <w:pStyle w:val="EndNoteBibliography"/>
        <w:ind w:left="720" w:hanging="720"/>
        <w:rPr>
          <w:noProof/>
        </w:rPr>
      </w:pPr>
      <w:r w:rsidRPr="00EF5BA1">
        <w:rPr>
          <w:noProof/>
        </w:rPr>
        <w:t>1</w:t>
      </w:r>
      <w:r w:rsidRPr="00EF5BA1">
        <w:rPr>
          <w:noProof/>
        </w:rPr>
        <w:tab/>
        <w:t xml:space="preserve">Hedges, J. Polymerization of humic substances in natural environments. </w:t>
      </w:r>
      <w:r w:rsidRPr="00EF5BA1">
        <w:rPr>
          <w:i/>
          <w:noProof/>
        </w:rPr>
        <w:t>Humic substances and their role in the environment</w:t>
      </w:r>
      <w:r w:rsidRPr="00EF5BA1">
        <w:rPr>
          <w:noProof/>
        </w:rPr>
        <w:t xml:space="preserve">, 605-625 (1988). </w:t>
      </w:r>
    </w:p>
    <w:p w14:paraId="5364D2F6" w14:textId="77777777" w:rsidR="007C424D" w:rsidRPr="00EF5BA1" w:rsidRDefault="007C424D" w:rsidP="00EF5BA1">
      <w:pPr>
        <w:pStyle w:val="EndNoteBibliography"/>
        <w:ind w:left="720" w:hanging="720"/>
        <w:rPr>
          <w:noProof/>
        </w:rPr>
      </w:pPr>
      <w:r w:rsidRPr="00EF5BA1">
        <w:rPr>
          <w:noProof/>
        </w:rPr>
        <w:t>2</w:t>
      </w:r>
      <w:r w:rsidRPr="00EF5BA1">
        <w:rPr>
          <w:noProof/>
        </w:rPr>
        <w:tab/>
        <w:t xml:space="preserve">Burdige, D. Preservation of organic matter in marine sediments: controls, mechanisms, and an imbalance in sediment organic carbon budgets? </w:t>
      </w:r>
      <w:r w:rsidRPr="00EF5BA1">
        <w:rPr>
          <w:i/>
          <w:noProof/>
        </w:rPr>
        <w:t>Chemical reviews</w:t>
      </w:r>
      <w:r w:rsidRPr="00EF5BA1">
        <w:rPr>
          <w:noProof/>
        </w:rPr>
        <w:t xml:space="preserve"> </w:t>
      </w:r>
      <w:r w:rsidRPr="00EF5BA1">
        <w:rPr>
          <w:b/>
          <w:noProof/>
        </w:rPr>
        <w:t>107</w:t>
      </w:r>
      <w:r w:rsidRPr="00EF5BA1">
        <w:rPr>
          <w:noProof/>
        </w:rPr>
        <w:t xml:space="preserve">, 467-485 (2007). </w:t>
      </w:r>
    </w:p>
    <w:p w14:paraId="5DFDFE35" w14:textId="77777777" w:rsidR="007C424D" w:rsidRPr="00EF5BA1" w:rsidRDefault="007C424D" w:rsidP="00EF5BA1">
      <w:pPr>
        <w:pStyle w:val="EndNoteBibliography"/>
        <w:ind w:left="720" w:hanging="720"/>
        <w:rPr>
          <w:noProof/>
        </w:rPr>
      </w:pPr>
      <w:r w:rsidRPr="00EF5BA1">
        <w:rPr>
          <w:noProof/>
        </w:rPr>
        <w:t>3</w:t>
      </w:r>
      <w:r w:rsidRPr="00EF5BA1">
        <w:rPr>
          <w:noProof/>
        </w:rPr>
        <w:tab/>
        <w:t xml:space="preserve">Burdige, D. </w:t>
      </w:r>
      <w:r w:rsidRPr="00EF5BA1">
        <w:rPr>
          <w:i/>
          <w:noProof/>
        </w:rPr>
        <w:t>Geochemistry of marine sediments</w:t>
      </w:r>
      <w:r w:rsidRPr="00EF5BA1">
        <w:rPr>
          <w:noProof/>
        </w:rPr>
        <w:t>.  (Princeton University Press, 2006).</w:t>
      </w:r>
    </w:p>
    <w:p w14:paraId="740E2519" w14:textId="77777777" w:rsidR="007C424D" w:rsidRPr="00EF5BA1" w:rsidRDefault="007C424D" w:rsidP="00EF5BA1">
      <w:pPr>
        <w:pStyle w:val="EndNoteBibliography"/>
        <w:ind w:left="720" w:hanging="720"/>
        <w:rPr>
          <w:noProof/>
        </w:rPr>
      </w:pPr>
      <w:r w:rsidRPr="00EF5BA1">
        <w:rPr>
          <w:noProof/>
        </w:rPr>
        <w:t>4</w:t>
      </w:r>
      <w:r w:rsidRPr="00EF5BA1">
        <w:rPr>
          <w:noProof/>
        </w:rPr>
        <w:tab/>
        <w:t xml:space="preserve">Wang, H.-Y., Qian, H. &amp; Yao, W.-R. Melanoidins produced by the Maillard reaction: Structure and biological activity. </w:t>
      </w:r>
      <w:r w:rsidRPr="00EF5BA1">
        <w:rPr>
          <w:i/>
          <w:noProof/>
        </w:rPr>
        <w:t>Food chemistry</w:t>
      </w:r>
      <w:r w:rsidRPr="00EF5BA1">
        <w:rPr>
          <w:noProof/>
        </w:rPr>
        <w:t xml:space="preserve"> </w:t>
      </w:r>
      <w:r w:rsidRPr="00EF5BA1">
        <w:rPr>
          <w:b/>
          <w:noProof/>
        </w:rPr>
        <w:t>128</w:t>
      </w:r>
      <w:r w:rsidRPr="00EF5BA1">
        <w:rPr>
          <w:noProof/>
        </w:rPr>
        <w:t xml:space="preserve">, 573-584 (2011). </w:t>
      </w:r>
    </w:p>
    <w:p w14:paraId="5DB214DC" w14:textId="77777777" w:rsidR="007C424D" w:rsidRPr="00EF5BA1" w:rsidRDefault="007C424D" w:rsidP="00EF5BA1">
      <w:pPr>
        <w:pStyle w:val="EndNoteBibliography"/>
        <w:ind w:left="720" w:hanging="720"/>
        <w:rPr>
          <w:noProof/>
        </w:rPr>
      </w:pPr>
      <w:r w:rsidRPr="00EF5BA1">
        <w:rPr>
          <w:noProof/>
        </w:rPr>
        <w:t>5</w:t>
      </w:r>
      <w:r w:rsidRPr="00EF5BA1">
        <w:rPr>
          <w:noProof/>
        </w:rPr>
        <w:tab/>
        <w:t xml:space="preserve">Adams, A., Abbaspour Tehrani, K., Keršienė, M., Venskutonis, R. &amp; De Kimpe, N. Characterization of model melanoidins by the thermal degradation profile. </w:t>
      </w:r>
      <w:r w:rsidRPr="00EF5BA1">
        <w:rPr>
          <w:i/>
          <w:noProof/>
        </w:rPr>
        <w:t>Journal of Agricultural and Food chemistry</w:t>
      </w:r>
      <w:r w:rsidRPr="00EF5BA1">
        <w:rPr>
          <w:noProof/>
        </w:rPr>
        <w:t xml:space="preserve"> </w:t>
      </w:r>
      <w:r w:rsidRPr="00EF5BA1">
        <w:rPr>
          <w:b/>
          <w:noProof/>
        </w:rPr>
        <w:t>51</w:t>
      </w:r>
      <w:r w:rsidRPr="00EF5BA1">
        <w:rPr>
          <w:noProof/>
        </w:rPr>
        <w:t xml:space="preserve">, 4338-4343 (2003). </w:t>
      </w:r>
    </w:p>
    <w:p w14:paraId="13D7219A" w14:textId="77777777" w:rsidR="007C424D" w:rsidRPr="00EF5BA1" w:rsidRDefault="007C424D" w:rsidP="00EF5BA1">
      <w:pPr>
        <w:pStyle w:val="EndNoteBibliography"/>
        <w:ind w:left="720" w:hanging="720"/>
        <w:rPr>
          <w:noProof/>
        </w:rPr>
      </w:pPr>
      <w:r w:rsidRPr="00EF5BA1">
        <w:rPr>
          <w:noProof/>
        </w:rPr>
        <w:t>6</w:t>
      </w:r>
      <w:r w:rsidRPr="00EF5BA1">
        <w:rPr>
          <w:noProof/>
        </w:rPr>
        <w:tab/>
        <w:t xml:space="preserve">Adams, A., Borrelli, R., Fogliano, V. &amp; De Kimpe, N. Thermal degradation studies of food melanoidins. </w:t>
      </w:r>
      <w:r w:rsidRPr="00EF5BA1">
        <w:rPr>
          <w:i/>
          <w:noProof/>
        </w:rPr>
        <w:t>Journal of Agricultural and Food Chemistry</w:t>
      </w:r>
      <w:r w:rsidRPr="00EF5BA1">
        <w:rPr>
          <w:noProof/>
        </w:rPr>
        <w:t xml:space="preserve"> </w:t>
      </w:r>
      <w:r w:rsidRPr="00EF5BA1">
        <w:rPr>
          <w:b/>
          <w:noProof/>
        </w:rPr>
        <w:t>53</w:t>
      </w:r>
      <w:r w:rsidRPr="00EF5BA1">
        <w:rPr>
          <w:noProof/>
        </w:rPr>
        <w:t xml:space="preserve">, 4136-4142 (2005). </w:t>
      </w:r>
    </w:p>
    <w:p w14:paraId="3F30D714" w14:textId="77777777" w:rsidR="007C424D" w:rsidRPr="00EF5BA1" w:rsidRDefault="007C424D" w:rsidP="00EF5BA1">
      <w:pPr>
        <w:pStyle w:val="EndNoteBibliography"/>
        <w:ind w:left="720" w:hanging="720"/>
        <w:rPr>
          <w:noProof/>
        </w:rPr>
      </w:pPr>
      <w:r w:rsidRPr="00EF5BA1">
        <w:rPr>
          <w:noProof/>
        </w:rPr>
        <w:t>7</w:t>
      </w:r>
      <w:r w:rsidRPr="00EF5BA1">
        <w:rPr>
          <w:noProof/>
        </w:rPr>
        <w:tab/>
        <w:t xml:space="preserve">Ames, J., Bailey, R. &amp; Mann, J. Analysis of Furanone, Pyranone, and New Heterocyclic Colored Compounds from Sugar− Glycine Model Maillard Systems. </w:t>
      </w:r>
      <w:r w:rsidRPr="00EF5BA1">
        <w:rPr>
          <w:i/>
          <w:noProof/>
        </w:rPr>
        <w:t>Journal of agricultural and food chemistry</w:t>
      </w:r>
      <w:r w:rsidRPr="00EF5BA1">
        <w:rPr>
          <w:noProof/>
        </w:rPr>
        <w:t xml:space="preserve"> </w:t>
      </w:r>
      <w:r w:rsidRPr="00EF5BA1">
        <w:rPr>
          <w:b/>
          <w:noProof/>
        </w:rPr>
        <w:t>47</w:t>
      </w:r>
      <w:r w:rsidRPr="00EF5BA1">
        <w:rPr>
          <w:noProof/>
        </w:rPr>
        <w:t xml:space="preserve">, 438-443 (1999). </w:t>
      </w:r>
    </w:p>
    <w:p w14:paraId="4FB7F4B4" w14:textId="77777777" w:rsidR="007C424D" w:rsidRPr="00EF5BA1" w:rsidRDefault="007C424D" w:rsidP="00EF5BA1">
      <w:pPr>
        <w:pStyle w:val="EndNoteBibliography"/>
        <w:ind w:left="720" w:hanging="720"/>
        <w:rPr>
          <w:noProof/>
        </w:rPr>
      </w:pPr>
      <w:r w:rsidRPr="00EF5BA1">
        <w:rPr>
          <w:noProof/>
        </w:rPr>
        <w:t>8</w:t>
      </w:r>
      <w:r w:rsidRPr="00EF5BA1">
        <w:rPr>
          <w:noProof/>
        </w:rPr>
        <w:tab/>
        <w:t xml:space="preserve">Chen, C., Dynes, J., Wang, J. &amp; Sparks, D. Properties of Fe-organic matter associations via coprecipitation versus adsorption. </w:t>
      </w:r>
      <w:r w:rsidRPr="00EF5BA1">
        <w:rPr>
          <w:i/>
          <w:noProof/>
        </w:rPr>
        <w:t>Environmental science &amp; technology</w:t>
      </w:r>
      <w:r w:rsidRPr="00EF5BA1">
        <w:rPr>
          <w:noProof/>
        </w:rPr>
        <w:t xml:space="preserve"> </w:t>
      </w:r>
      <w:r w:rsidRPr="00EF5BA1">
        <w:rPr>
          <w:b/>
          <w:noProof/>
        </w:rPr>
        <w:t>48</w:t>
      </w:r>
      <w:r w:rsidRPr="00EF5BA1">
        <w:rPr>
          <w:noProof/>
        </w:rPr>
        <w:t xml:space="preserve">, 13751-13759 (2014). </w:t>
      </w:r>
    </w:p>
    <w:p w14:paraId="5F338072" w14:textId="77777777" w:rsidR="007C424D" w:rsidRPr="00EF5BA1" w:rsidRDefault="007C424D" w:rsidP="00EF5BA1">
      <w:pPr>
        <w:pStyle w:val="EndNoteBibliography"/>
        <w:ind w:left="720" w:hanging="720"/>
        <w:rPr>
          <w:noProof/>
        </w:rPr>
      </w:pPr>
      <w:r w:rsidRPr="00EF5BA1">
        <w:rPr>
          <w:noProof/>
        </w:rPr>
        <w:t>9</w:t>
      </w:r>
      <w:r w:rsidRPr="00EF5BA1">
        <w:rPr>
          <w:noProof/>
        </w:rPr>
        <w:tab/>
        <w:t xml:space="preserve">Gu, C. &amp; Karthikeyan, K. Sorption of the antimicrobial ciprofloxacin to aluminum and iron hydrous oxides. </w:t>
      </w:r>
      <w:r w:rsidRPr="00EF5BA1">
        <w:rPr>
          <w:i/>
          <w:noProof/>
        </w:rPr>
        <w:t>Environmental science &amp; technology</w:t>
      </w:r>
      <w:r w:rsidRPr="00EF5BA1">
        <w:rPr>
          <w:noProof/>
        </w:rPr>
        <w:t xml:space="preserve"> </w:t>
      </w:r>
      <w:r w:rsidRPr="00EF5BA1">
        <w:rPr>
          <w:b/>
          <w:noProof/>
        </w:rPr>
        <w:t>39</w:t>
      </w:r>
      <w:r w:rsidRPr="00EF5BA1">
        <w:rPr>
          <w:noProof/>
        </w:rPr>
        <w:t xml:space="preserve">, 9166-9173 (2005). </w:t>
      </w:r>
    </w:p>
    <w:p w14:paraId="55D37433" w14:textId="77777777" w:rsidR="007C424D" w:rsidRPr="00EF5BA1" w:rsidRDefault="007C424D" w:rsidP="00EF5BA1">
      <w:pPr>
        <w:pStyle w:val="EndNoteBibliography"/>
        <w:ind w:left="720" w:hanging="720"/>
        <w:rPr>
          <w:noProof/>
        </w:rPr>
      </w:pPr>
      <w:r w:rsidRPr="00EF5BA1">
        <w:rPr>
          <w:noProof/>
        </w:rPr>
        <w:t>10</w:t>
      </w:r>
      <w:r w:rsidRPr="00EF5BA1">
        <w:rPr>
          <w:noProof/>
        </w:rPr>
        <w:tab/>
        <w:t xml:space="preserve">Al-Mustafa, J. &amp; Tashtoush, B. Iron (II) and iron (III) perchlorate complexes of ciprofloxacin and norfloxacin. </w:t>
      </w:r>
      <w:r w:rsidRPr="00EF5BA1">
        <w:rPr>
          <w:i/>
          <w:noProof/>
        </w:rPr>
        <w:t>Journal of Coordination Chemistry</w:t>
      </w:r>
      <w:r w:rsidRPr="00EF5BA1">
        <w:rPr>
          <w:noProof/>
        </w:rPr>
        <w:t xml:space="preserve"> </w:t>
      </w:r>
      <w:r w:rsidRPr="00EF5BA1">
        <w:rPr>
          <w:b/>
          <w:noProof/>
        </w:rPr>
        <w:t>56</w:t>
      </w:r>
      <w:r w:rsidRPr="00EF5BA1">
        <w:rPr>
          <w:noProof/>
        </w:rPr>
        <w:t xml:space="preserve">, 113-124 (2003). </w:t>
      </w:r>
    </w:p>
    <w:p w14:paraId="2C1D99C0" w14:textId="77777777" w:rsidR="007C424D" w:rsidRPr="00EF5BA1" w:rsidRDefault="007C424D" w:rsidP="00EF5BA1">
      <w:pPr>
        <w:pStyle w:val="EndNoteBibliography"/>
        <w:ind w:left="720" w:hanging="720"/>
        <w:rPr>
          <w:noProof/>
        </w:rPr>
      </w:pPr>
      <w:r w:rsidRPr="00EF5BA1">
        <w:rPr>
          <w:noProof/>
        </w:rPr>
        <w:t>11</w:t>
      </w:r>
      <w:r w:rsidRPr="00EF5BA1">
        <w:rPr>
          <w:noProof/>
        </w:rPr>
        <w:tab/>
        <w:t xml:space="preserve">Trivedi, P. &amp; Vasudevan, D. Spectroscopic investigation of ciprofloxacin speciation at the goethite− water interface. </w:t>
      </w:r>
      <w:r w:rsidRPr="00EF5BA1">
        <w:rPr>
          <w:i/>
          <w:noProof/>
        </w:rPr>
        <w:t>Environmental science &amp; technology</w:t>
      </w:r>
      <w:r w:rsidRPr="00EF5BA1">
        <w:rPr>
          <w:noProof/>
        </w:rPr>
        <w:t xml:space="preserve"> </w:t>
      </w:r>
      <w:r w:rsidRPr="00EF5BA1">
        <w:rPr>
          <w:b/>
          <w:noProof/>
        </w:rPr>
        <w:t>41</w:t>
      </w:r>
      <w:r w:rsidRPr="00EF5BA1">
        <w:rPr>
          <w:noProof/>
        </w:rPr>
        <w:t xml:space="preserve">, 3153-3158 (2007). </w:t>
      </w:r>
    </w:p>
    <w:p w14:paraId="06A030B2" w14:textId="77777777" w:rsidR="007C424D" w:rsidRPr="00EF5BA1" w:rsidRDefault="007C424D" w:rsidP="00EF5BA1">
      <w:pPr>
        <w:pStyle w:val="EndNoteBibliography"/>
        <w:ind w:left="720" w:hanging="720"/>
        <w:rPr>
          <w:noProof/>
        </w:rPr>
      </w:pPr>
      <w:r w:rsidRPr="00EF5BA1">
        <w:rPr>
          <w:noProof/>
        </w:rPr>
        <w:t>12</w:t>
      </w:r>
      <w:r w:rsidRPr="00EF5BA1">
        <w:rPr>
          <w:noProof/>
        </w:rPr>
        <w:tab/>
        <w:t xml:space="preserve">Li, X. &amp; Bi, E. Different surface complexation patterns of gatifloxacin at typical iron mineral/water interfaces. </w:t>
      </w:r>
      <w:r w:rsidRPr="00EF5BA1">
        <w:rPr>
          <w:i/>
          <w:noProof/>
        </w:rPr>
        <w:t>Environmental Earth Sciences</w:t>
      </w:r>
      <w:r w:rsidRPr="00EF5BA1">
        <w:rPr>
          <w:noProof/>
        </w:rPr>
        <w:t xml:space="preserve"> </w:t>
      </w:r>
      <w:r w:rsidRPr="00EF5BA1">
        <w:rPr>
          <w:b/>
          <w:noProof/>
        </w:rPr>
        <w:t>78</w:t>
      </w:r>
      <w:r w:rsidRPr="00EF5BA1">
        <w:rPr>
          <w:noProof/>
        </w:rPr>
        <w:t xml:space="preserve">, 630 (2019). </w:t>
      </w:r>
    </w:p>
    <w:p w14:paraId="4A78DD40" w14:textId="77777777" w:rsidR="007C424D" w:rsidRPr="00EF5BA1" w:rsidRDefault="007C424D" w:rsidP="00EF5BA1">
      <w:pPr>
        <w:pStyle w:val="EndNoteBibliography"/>
        <w:ind w:left="720" w:hanging="720"/>
        <w:rPr>
          <w:noProof/>
        </w:rPr>
      </w:pPr>
      <w:r w:rsidRPr="00EF5BA1">
        <w:rPr>
          <w:noProof/>
        </w:rPr>
        <w:t>13</w:t>
      </w:r>
      <w:r w:rsidRPr="00EF5BA1">
        <w:rPr>
          <w:noProof/>
        </w:rPr>
        <w:tab/>
        <w:t xml:space="preserve">Parfitt, R. &amp; Mortland, M. Ketone Adsorption on Montmorillonite 1. </w:t>
      </w:r>
      <w:r w:rsidRPr="00EF5BA1">
        <w:rPr>
          <w:i/>
          <w:noProof/>
        </w:rPr>
        <w:t>Soil Science Society of America Journal</w:t>
      </w:r>
      <w:r w:rsidRPr="00EF5BA1">
        <w:rPr>
          <w:noProof/>
        </w:rPr>
        <w:t xml:space="preserve"> </w:t>
      </w:r>
      <w:r w:rsidRPr="00EF5BA1">
        <w:rPr>
          <w:b/>
          <w:noProof/>
        </w:rPr>
        <w:t>32</w:t>
      </w:r>
      <w:r w:rsidRPr="00EF5BA1">
        <w:rPr>
          <w:noProof/>
        </w:rPr>
        <w:t xml:space="preserve">, 355-363 (1968). </w:t>
      </w:r>
    </w:p>
    <w:p w14:paraId="19CCD01F" w14:textId="77777777" w:rsidR="007C424D" w:rsidRPr="00EF5BA1" w:rsidRDefault="007C424D" w:rsidP="00EF5BA1">
      <w:pPr>
        <w:pStyle w:val="EndNoteBibliography"/>
        <w:ind w:left="720" w:hanging="720"/>
        <w:rPr>
          <w:noProof/>
        </w:rPr>
      </w:pPr>
      <w:r w:rsidRPr="00EF5BA1">
        <w:rPr>
          <w:noProof/>
        </w:rPr>
        <w:t>14</w:t>
      </w:r>
      <w:r w:rsidRPr="00EF5BA1">
        <w:rPr>
          <w:noProof/>
        </w:rPr>
        <w:tab/>
        <w:t xml:space="preserve">Kohl, R. &amp; Taylor, S. Hydrogen bonding between the carbonyl group and Wyoming bentonite.  (1960). </w:t>
      </w:r>
    </w:p>
    <w:p w14:paraId="6158F001" w14:textId="77777777" w:rsidR="007C424D" w:rsidRPr="00EF5BA1" w:rsidRDefault="007C424D" w:rsidP="00EF5BA1">
      <w:pPr>
        <w:pStyle w:val="EndNoteBibliography"/>
        <w:ind w:left="720" w:hanging="720"/>
        <w:rPr>
          <w:noProof/>
        </w:rPr>
      </w:pPr>
      <w:r w:rsidRPr="00EF5BA1">
        <w:rPr>
          <w:noProof/>
        </w:rPr>
        <w:t>15</w:t>
      </w:r>
      <w:r w:rsidRPr="00EF5BA1">
        <w:rPr>
          <w:noProof/>
        </w:rPr>
        <w:tab/>
        <w:t xml:space="preserve">Lambert, J.-F. Adsorption and polymerization of amino acids on mineral surfaces: a review. </w:t>
      </w:r>
      <w:r w:rsidRPr="00EF5BA1">
        <w:rPr>
          <w:i/>
          <w:noProof/>
        </w:rPr>
        <w:t>Origins of Life and Evolution of Biospheres</w:t>
      </w:r>
      <w:r w:rsidRPr="00EF5BA1">
        <w:rPr>
          <w:noProof/>
        </w:rPr>
        <w:t xml:space="preserve"> </w:t>
      </w:r>
      <w:r w:rsidRPr="00EF5BA1">
        <w:rPr>
          <w:b/>
          <w:noProof/>
        </w:rPr>
        <w:t>38</w:t>
      </w:r>
      <w:r w:rsidRPr="00EF5BA1">
        <w:rPr>
          <w:noProof/>
        </w:rPr>
        <w:t xml:space="preserve">, 211-242 (2008). </w:t>
      </w:r>
    </w:p>
    <w:p w14:paraId="2BFC3FCA" w14:textId="77777777" w:rsidR="007C424D" w:rsidRPr="00EF5BA1" w:rsidRDefault="007C424D" w:rsidP="00EF5BA1">
      <w:pPr>
        <w:pStyle w:val="EndNoteBibliography"/>
        <w:ind w:left="720" w:hanging="720"/>
        <w:rPr>
          <w:noProof/>
        </w:rPr>
      </w:pPr>
      <w:r w:rsidRPr="00EF5BA1">
        <w:rPr>
          <w:noProof/>
        </w:rPr>
        <w:t>16</w:t>
      </w:r>
      <w:r w:rsidRPr="00EF5BA1">
        <w:rPr>
          <w:noProof/>
        </w:rPr>
        <w:tab/>
        <w:t xml:space="preserve">Grafe, M., Eick, M., Grossl, P. &amp; Saunders, A. Adsorption of arsenate and arsenite on ferrihydrite in the presence and absence of dissolved organic carbon. </w:t>
      </w:r>
      <w:r w:rsidRPr="00EF5BA1">
        <w:rPr>
          <w:i/>
          <w:noProof/>
        </w:rPr>
        <w:t>Journal of environmental quality</w:t>
      </w:r>
      <w:r w:rsidRPr="00EF5BA1">
        <w:rPr>
          <w:noProof/>
        </w:rPr>
        <w:t xml:space="preserve"> </w:t>
      </w:r>
      <w:r w:rsidRPr="00EF5BA1">
        <w:rPr>
          <w:b/>
          <w:noProof/>
        </w:rPr>
        <w:t>31</w:t>
      </w:r>
      <w:r w:rsidRPr="00EF5BA1">
        <w:rPr>
          <w:noProof/>
        </w:rPr>
        <w:t xml:space="preserve">, 1115-1123 (2002). </w:t>
      </w:r>
    </w:p>
    <w:p w14:paraId="0727F1AB" w14:textId="77777777" w:rsidR="007C424D" w:rsidRPr="00EF5BA1" w:rsidRDefault="007C424D" w:rsidP="00EF5BA1">
      <w:pPr>
        <w:pStyle w:val="EndNoteBibliography"/>
        <w:ind w:left="720" w:hanging="720"/>
        <w:rPr>
          <w:noProof/>
        </w:rPr>
      </w:pPr>
      <w:r w:rsidRPr="00EF5BA1">
        <w:rPr>
          <w:noProof/>
        </w:rPr>
        <w:t>17</w:t>
      </w:r>
      <w:r w:rsidRPr="00EF5BA1">
        <w:rPr>
          <w:noProof/>
        </w:rPr>
        <w:tab/>
        <w:t>Benetoli, L.</w:t>
      </w:r>
      <w:r w:rsidRPr="00EF5BA1">
        <w:rPr>
          <w:i/>
          <w:noProof/>
        </w:rPr>
        <w:t xml:space="preserve"> et al.</w:t>
      </w:r>
      <w:r w:rsidRPr="00EF5BA1">
        <w:rPr>
          <w:noProof/>
        </w:rPr>
        <w:t xml:space="preserve"> Amino acid interaction with and adsorption on clays: FT-IR and Mössbauer spectroscopy and X-ray diffractometry investigations. </w:t>
      </w:r>
      <w:r w:rsidRPr="00EF5BA1">
        <w:rPr>
          <w:i/>
          <w:noProof/>
        </w:rPr>
        <w:t>Origins of Life and Evolution of Biospheres</w:t>
      </w:r>
      <w:r w:rsidRPr="00EF5BA1">
        <w:rPr>
          <w:noProof/>
        </w:rPr>
        <w:t xml:space="preserve"> </w:t>
      </w:r>
      <w:r w:rsidRPr="00EF5BA1">
        <w:rPr>
          <w:b/>
          <w:noProof/>
        </w:rPr>
        <w:t>37</w:t>
      </w:r>
      <w:r w:rsidRPr="00EF5BA1">
        <w:rPr>
          <w:noProof/>
        </w:rPr>
        <w:t xml:space="preserve">, 479-493 (2007). </w:t>
      </w:r>
    </w:p>
    <w:p w14:paraId="226ED2F6" w14:textId="77777777" w:rsidR="007C424D" w:rsidRPr="00EF5BA1" w:rsidRDefault="007C424D" w:rsidP="00EF5BA1">
      <w:pPr>
        <w:pStyle w:val="EndNoteBibliography"/>
        <w:ind w:left="720" w:hanging="720"/>
        <w:rPr>
          <w:noProof/>
        </w:rPr>
      </w:pPr>
      <w:r w:rsidRPr="00EF5BA1">
        <w:rPr>
          <w:noProof/>
        </w:rPr>
        <w:t>18</w:t>
      </w:r>
      <w:r w:rsidRPr="00EF5BA1">
        <w:rPr>
          <w:noProof/>
        </w:rPr>
        <w:tab/>
        <w:t xml:space="preserve">Schwertmann, U., Wagner, F. &amp; Knicker, H. Ferrihydrite–humic associations. </w:t>
      </w:r>
      <w:r w:rsidRPr="00EF5BA1">
        <w:rPr>
          <w:i/>
          <w:noProof/>
        </w:rPr>
        <w:t>Soil Science Society of America Journal</w:t>
      </w:r>
      <w:r w:rsidRPr="00EF5BA1">
        <w:rPr>
          <w:noProof/>
        </w:rPr>
        <w:t xml:space="preserve"> </w:t>
      </w:r>
      <w:r w:rsidRPr="00EF5BA1">
        <w:rPr>
          <w:b/>
          <w:noProof/>
        </w:rPr>
        <w:t>69</w:t>
      </w:r>
      <w:r w:rsidRPr="00EF5BA1">
        <w:rPr>
          <w:noProof/>
        </w:rPr>
        <w:t xml:space="preserve">, 1009-1015 (2005). </w:t>
      </w:r>
    </w:p>
    <w:p w14:paraId="109FF6CB" w14:textId="77777777" w:rsidR="007C424D" w:rsidRPr="00EF5BA1" w:rsidRDefault="007C424D" w:rsidP="00EF5BA1">
      <w:pPr>
        <w:pStyle w:val="EndNoteBibliography"/>
        <w:ind w:left="720" w:hanging="720"/>
        <w:rPr>
          <w:noProof/>
        </w:rPr>
      </w:pPr>
      <w:r w:rsidRPr="00EF5BA1">
        <w:rPr>
          <w:noProof/>
        </w:rPr>
        <w:t>19</w:t>
      </w:r>
      <w:r w:rsidRPr="00EF5BA1">
        <w:rPr>
          <w:noProof/>
        </w:rPr>
        <w:tab/>
        <w:t>Schwaminger, S.</w:t>
      </w:r>
      <w:r w:rsidRPr="00EF5BA1">
        <w:rPr>
          <w:i/>
          <w:noProof/>
        </w:rPr>
        <w:t xml:space="preserve"> et al.</w:t>
      </w:r>
      <w:r w:rsidRPr="00EF5BA1">
        <w:rPr>
          <w:noProof/>
        </w:rPr>
        <w:t xml:space="preserve"> Nature of interactions of amino acids with bare magnetite nanoparticles. </w:t>
      </w:r>
      <w:r w:rsidRPr="00EF5BA1">
        <w:rPr>
          <w:i/>
          <w:noProof/>
        </w:rPr>
        <w:t>The Journal of Physical Chemistry C</w:t>
      </w:r>
      <w:r w:rsidRPr="00EF5BA1">
        <w:rPr>
          <w:noProof/>
        </w:rPr>
        <w:t xml:space="preserve"> </w:t>
      </w:r>
      <w:r w:rsidRPr="00EF5BA1">
        <w:rPr>
          <w:b/>
          <w:noProof/>
        </w:rPr>
        <w:t>119</w:t>
      </w:r>
      <w:r w:rsidRPr="00EF5BA1">
        <w:rPr>
          <w:noProof/>
        </w:rPr>
        <w:t xml:space="preserve">, 23032-23041 (2015). </w:t>
      </w:r>
    </w:p>
    <w:p w14:paraId="63CB91E6" w14:textId="77777777" w:rsidR="007C424D" w:rsidRPr="00EF5BA1" w:rsidRDefault="007C424D" w:rsidP="00EF5BA1">
      <w:pPr>
        <w:pStyle w:val="EndNoteBibliography"/>
        <w:ind w:left="720" w:hanging="720"/>
        <w:rPr>
          <w:noProof/>
        </w:rPr>
      </w:pPr>
      <w:r w:rsidRPr="00EF5BA1">
        <w:rPr>
          <w:noProof/>
        </w:rPr>
        <w:t>20</w:t>
      </w:r>
      <w:r w:rsidRPr="00EF5BA1">
        <w:rPr>
          <w:noProof/>
        </w:rPr>
        <w:tab/>
        <w:t xml:space="preserve">Meng, M., Stievano, L. &amp; Lambert, J.-F. Adsorption and thermal condensation mechanisms of amino acids on oxide supports. 1. Glycine on silica. </w:t>
      </w:r>
      <w:r w:rsidRPr="00EF5BA1">
        <w:rPr>
          <w:i/>
          <w:noProof/>
        </w:rPr>
        <w:t>Langmuir</w:t>
      </w:r>
      <w:r w:rsidRPr="00EF5BA1">
        <w:rPr>
          <w:noProof/>
        </w:rPr>
        <w:t xml:space="preserve"> </w:t>
      </w:r>
      <w:r w:rsidRPr="00EF5BA1">
        <w:rPr>
          <w:b/>
          <w:noProof/>
        </w:rPr>
        <w:t>20</w:t>
      </w:r>
      <w:r w:rsidRPr="00EF5BA1">
        <w:rPr>
          <w:noProof/>
        </w:rPr>
        <w:t xml:space="preserve">, 914-923 (2004). </w:t>
      </w:r>
    </w:p>
    <w:p w14:paraId="13A921B0" w14:textId="77777777" w:rsidR="007C424D" w:rsidRPr="00EF5BA1" w:rsidRDefault="007C424D" w:rsidP="00EF5BA1">
      <w:pPr>
        <w:pStyle w:val="EndNoteBibliography"/>
        <w:ind w:left="720" w:hanging="720"/>
        <w:rPr>
          <w:noProof/>
        </w:rPr>
      </w:pPr>
      <w:r w:rsidRPr="00EF5BA1">
        <w:rPr>
          <w:noProof/>
        </w:rPr>
        <w:t>21</w:t>
      </w:r>
      <w:r w:rsidRPr="00EF5BA1">
        <w:rPr>
          <w:noProof/>
        </w:rPr>
        <w:tab/>
        <w:t xml:space="preserve">Huang, P. Abiotic catalysis. </w:t>
      </w:r>
      <w:r w:rsidRPr="00EF5BA1">
        <w:rPr>
          <w:i/>
          <w:noProof/>
        </w:rPr>
        <w:t>Handbook of Soil Science</w:t>
      </w:r>
      <w:r w:rsidRPr="00EF5BA1">
        <w:rPr>
          <w:noProof/>
        </w:rPr>
        <w:t xml:space="preserve"> </w:t>
      </w:r>
      <w:r w:rsidRPr="00EF5BA1">
        <w:rPr>
          <w:b/>
          <w:noProof/>
        </w:rPr>
        <w:t>200</w:t>
      </w:r>
      <w:r w:rsidRPr="00EF5BA1">
        <w:rPr>
          <w:noProof/>
        </w:rPr>
        <w:t xml:space="preserve">, 303-334 (2000). </w:t>
      </w:r>
    </w:p>
    <w:p w14:paraId="5A7E1D73" w14:textId="77777777" w:rsidR="007C424D" w:rsidRPr="00EF5BA1" w:rsidRDefault="007C424D" w:rsidP="00EF5BA1">
      <w:pPr>
        <w:pStyle w:val="EndNoteBibliography"/>
        <w:ind w:left="720" w:hanging="720"/>
        <w:rPr>
          <w:noProof/>
        </w:rPr>
      </w:pPr>
      <w:r w:rsidRPr="00EF5BA1">
        <w:rPr>
          <w:noProof/>
        </w:rPr>
        <w:t>22</w:t>
      </w:r>
      <w:r w:rsidRPr="00EF5BA1">
        <w:rPr>
          <w:noProof/>
        </w:rPr>
        <w:tab/>
        <w:t xml:space="preserve">Hedges, J. The formation and clay mineral reactions of melanoidins. </w:t>
      </w:r>
      <w:r w:rsidRPr="00EF5BA1">
        <w:rPr>
          <w:i/>
          <w:noProof/>
        </w:rPr>
        <w:t>Geochimica et Cosmochimica Acta</w:t>
      </w:r>
      <w:r w:rsidRPr="00EF5BA1">
        <w:rPr>
          <w:noProof/>
        </w:rPr>
        <w:t xml:space="preserve"> </w:t>
      </w:r>
      <w:r w:rsidRPr="00EF5BA1">
        <w:rPr>
          <w:b/>
          <w:noProof/>
        </w:rPr>
        <w:t>42</w:t>
      </w:r>
      <w:r w:rsidRPr="00EF5BA1">
        <w:rPr>
          <w:noProof/>
        </w:rPr>
        <w:t xml:space="preserve">, 69-76 (1978). </w:t>
      </w:r>
    </w:p>
    <w:p w14:paraId="333CADAE" w14:textId="77777777" w:rsidR="007C424D" w:rsidRPr="00EF5BA1" w:rsidRDefault="007C424D" w:rsidP="00EF5BA1">
      <w:pPr>
        <w:pStyle w:val="EndNoteBibliography"/>
        <w:ind w:left="720" w:hanging="720"/>
        <w:rPr>
          <w:noProof/>
        </w:rPr>
      </w:pPr>
      <w:r w:rsidRPr="00EF5BA1">
        <w:rPr>
          <w:noProof/>
        </w:rPr>
        <w:lastRenderedPageBreak/>
        <w:t>23</w:t>
      </w:r>
      <w:r w:rsidRPr="00EF5BA1">
        <w:rPr>
          <w:noProof/>
        </w:rPr>
        <w:tab/>
        <w:t xml:space="preserve">Vairavamurthy, A. &amp; Wang, S. Organic nitrogen in geomacromolecules: insights on speciation and transformation with K-edge XANES spectroscopy. </w:t>
      </w:r>
      <w:r w:rsidRPr="00EF5BA1">
        <w:rPr>
          <w:i/>
          <w:noProof/>
        </w:rPr>
        <w:t>Environmental science &amp; technology</w:t>
      </w:r>
      <w:r w:rsidRPr="00EF5BA1">
        <w:rPr>
          <w:noProof/>
        </w:rPr>
        <w:t xml:space="preserve"> </w:t>
      </w:r>
      <w:r w:rsidRPr="00EF5BA1">
        <w:rPr>
          <w:b/>
          <w:noProof/>
        </w:rPr>
        <w:t>36</w:t>
      </w:r>
      <w:r w:rsidRPr="00EF5BA1">
        <w:rPr>
          <w:noProof/>
        </w:rPr>
        <w:t xml:space="preserve">, 3050-3056 (2002). </w:t>
      </w:r>
    </w:p>
    <w:p w14:paraId="39DFAB14" w14:textId="77777777" w:rsidR="007C424D" w:rsidRPr="00EF5BA1" w:rsidRDefault="007C424D" w:rsidP="00EF5BA1">
      <w:pPr>
        <w:pStyle w:val="EndNoteBibliography"/>
        <w:ind w:left="720" w:hanging="720"/>
        <w:rPr>
          <w:noProof/>
        </w:rPr>
      </w:pPr>
      <w:r w:rsidRPr="00EF5BA1">
        <w:rPr>
          <w:noProof/>
        </w:rPr>
        <w:t>24</w:t>
      </w:r>
      <w:r w:rsidRPr="00EF5BA1">
        <w:rPr>
          <w:noProof/>
        </w:rPr>
        <w:tab/>
        <w:t>Brandes, J.</w:t>
      </w:r>
      <w:r w:rsidRPr="00EF5BA1">
        <w:rPr>
          <w:i/>
          <w:noProof/>
        </w:rPr>
        <w:t xml:space="preserve"> et al.</w:t>
      </w:r>
      <w:r w:rsidRPr="00EF5BA1">
        <w:rPr>
          <w:noProof/>
        </w:rPr>
        <w:t xml:space="preserve"> Examining marine particulate organic matter at sub-micron scales using scanning transmission X-ray microscopy and carbon X-ray absorption near edge structure spectroscopy. </w:t>
      </w:r>
      <w:r w:rsidRPr="00EF5BA1">
        <w:rPr>
          <w:i/>
          <w:noProof/>
        </w:rPr>
        <w:t>Marine Chemistry</w:t>
      </w:r>
      <w:r w:rsidRPr="00EF5BA1">
        <w:rPr>
          <w:noProof/>
        </w:rPr>
        <w:t xml:space="preserve"> </w:t>
      </w:r>
      <w:r w:rsidRPr="00EF5BA1">
        <w:rPr>
          <w:b/>
          <w:noProof/>
        </w:rPr>
        <w:t>92</w:t>
      </w:r>
      <w:r w:rsidRPr="00EF5BA1">
        <w:rPr>
          <w:noProof/>
        </w:rPr>
        <w:t xml:space="preserve">, 107-121 (2004). </w:t>
      </w:r>
    </w:p>
    <w:p w14:paraId="54B2E0F3" w14:textId="77777777" w:rsidR="007C424D" w:rsidRPr="00EF5BA1" w:rsidRDefault="007C424D" w:rsidP="00EF5BA1">
      <w:pPr>
        <w:pStyle w:val="EndNoteBibliography"/>
        <w:ind w:left="720" w:hanging="720"/>
        <w:rPr>
          <w:noProof/>
        </w:rPr>
      </w:pPr>
      <w:r w:rsidRPr="00EF5BA1">
        <w:rPr>
          <w:noProof/>
        </w:rPr>
        <w:t>25</w:t>
      </w:r>
      <w:r w:rsidRPr="00EF5BA1">
        <w:rPr>
          <w:noProof/>
        </w:rPr>
        <w:tab/>
        <w:t xml:space="preserve">Lee, C., Wakeham, S. &amp; Hedges, J. Composition and flux of particulate amino acids and chloropigments in equatorial Pacific seawater and sediments. </w:t>
      </w:r>
      <w:r w:rsidRPr="00EF5BA1">
        <w:rPr>
          <w:i/>
          <w:noProof/>
        </w:rPr>
        <w:t>Deep Sea Research Part I: Oceanographic Research Papers</w:t>
      </w:r>
      <w:r w:rsidRPr="00EF5BA1">
        <w:rPr>
          <w:noProof/>
        </w:rPr>
        <w:t xml:space="preserve"> </w:t>
      </w:r>
      <w:r w:rsidRPr="00EF5BA1">
        <w:rPr>
          <w:b/>
          <w:noProof/>
        </w:rPr>
        <w:t>47</w:t>
      </w:r>
      <w:r w:rsidRPr="00EF5BA1">
        <w:rPr>
          <w:noProof/>
        </w:rPr>
        <w:t xml:space="preserve">, 1535-1568 (2000). </w:t>
      </w:r>
    </w:p>
    <w:p w14:paraId="6D6CBD71" w14:textId="77777777" w:rsidR="007C424D" w:rsidRPr="00EF5BA1" w:rsidRDefault="007C424D" w:rsidP="00EF5BA1">
      <w:pPr>
        <w:pStyle w:val="EndNoteBibliography"/>
        <w:ind w:left="720" w:hanging="720"/>
        <w:rPr>
          <w:noProof/>
        </w:rPr>
      </w:pPr>
      <w:r w:rsidRPr="00EF5BA1">
        <w:rPr>
          <w:noProof/>
        </w:rPr>
        <w:t>26</w:t>
      </w:r>
      <w:r w:rsidRPr="00EF5BA1">
        <w:rPr>
          <w:noProof/>
        </w:rPr>
        <w:tab/>
        <w:t xml:space="preserve">Zubavichus, Y., Shaporenko, A., Grunze, M. &amp; Zharnikov, M. Innershell absorption spectroscopy of amino acids at all relevant absorption edges. </w:t>
      </w:r>
      <w:r w:rsidRPr="00EF5BA1">
        <w:rPr>
          <w:i/>
          <w:noProof/>
        </w:rPr>
        <w:t>The Journal of Physical Chemistry A</w:t>
      </w:r>
      <w:r w:rsidRPr="00EF5BA1">
        <w:rPr>
          <w:noProof/>
        </w:rPr>
        <w:t xml:space="preserve"> </w:t>
      </w:r>
      <w:r w:rsidRPr="00EF5BA1">
        <w:rPr>
          <w:b/>
          <w:noProof/>
        </w:rPr>
        <w:t>109</w:t>
      </w:r>
      <w:r w:rsidRPr="00EF5BA1">
        <w:rPr>
          <w:noProof/>
        </w:rPr>
        <w:t xml:space="preserve">, 6998-7000 (2005). </w:t>
      </w:r>
    </w:p>
    <w:p w14:paraId="7FAC78DB" w14:textId="77777777" w:rsidR="007C424D" w:rsidRPr="00EF5BA1" w:rsidRDefault="007C424D" w:rsidP="00EF5BA1">
      <w:pPr>
        <w:pStyle w:val="EndNoteBibliography"/>
        <w:ind w:left="720" w:hanging="720"/>
        <w:rPr>
          <w:noProof/>
        </w:rPr>
      </w:pPr>
      <w:r w:rsidRPr="00EF5BA1">
        <w:rPr>
          <w:noProof/>
        </w:rPr>
        <w:t>27</w:t>
      </w:r>
      <w:r w:rsidRPr="00EF5BA1">
        <w:rPr>
          <w:noProof/>
        </w:rPr>
        <w:tab/>
        <w:t xml:space="preserve">Samuel, N., Lee, C.-Y., Gamble, L., Fischer, D. &amp; Castner, D. NEXAFS characterization of DNA components and molecular-orientation of surface-bound DNA oligomers. </w:t>
      </w:r>
      <w:r w:rsidRPr="00EF5BA1">
        <w:rPr>
          <w:i/>
          <w:noProof/>
        </w:rPr>
        <w:t>Journal of electron spectroscopy and related phenomena</w:t>
      </w:r>
      <w:r w:rsidRPr="00EF5BA1">
        <w:rPr>
          <w:noProof/>
        </w:rPr>
        <w:t xml:space="preserve"> </w:t>
      </w:r>
      <w:r w:rsidRPr="00EF5BA1">
        <w:rPr>
          <w:b/>
          <w:noProof/>
        </w:rPr>
        <w:t>152</w:t>
      </w:r>
      <w:r w:rsidRPr="00EF5BA1">
        <w:rPr>
          <w:noProof/>
        </w:rPr>
        <w:t xml:space="preserve">, 134-142 (2006). </w:t>
      </w:r>
    </w:p>
    <w:p w14:paraId="16A55D7A" w14:textId="77777777" w:rsidR="007C424D" w:rsidRPr="00EF5BA1" w:rsidRDefault="007C424D" w:rsidP="00EF5BA1">
      <w:pPr>
        <w:pStyle w:val="EndNoteBibliography"/>
        <w:ind w:left="720" w:hanging="720"/>
        <w:rPr>
          <w:noProof/>
        </w:rPr>
      </w:pPr>
      <w:r w:rsidRPr="00EF5BA1">
        <w:rPr>
          <w:noProof/>
        </w:rPr>
        <w:t>28</w:t>
      </w:r>
      <w:r w:rsidRPr="00EF5BA1">
        <w:rPr>
          <w:noProof/>
        </w:rPr>
        <w:tab/>
        <w:t>Solomon, D.</w:t>
      </w:r>
      <w:r w:rsidRPr="00EF5BA1">
        <w:rPr>
          <w:i/>
          <w:noProof/>
        </w:rPr>
        <w:t xml:space="preserve"> et al.</w:t>
      </w:r>
      <w:r w:rsidRPr="00EF5BA1">
        <w:rPr>
          <w:noProof/>
        </w:rPr>
        <w:t xml:space="preserve"> Carbon (1s) NEXAFS spectroscopy of biogeochemically relevant reference organic compounds. </w:t>
      </w:r>
      <w:r w:rsidRPr="00EF5BA1">
        <w:rPr>
          <w:i/>
          <w:noProof/>
        </w:rPr>
        <w:t>Soil Science Society of America Journal</w:t>
      </w:r>
      <w:r w:rsidRPr="00EF5BA1">
        <w:rPr>
          <w:noProof/>
        </w:rPr>
        <w:t xml:space="preserve"> </w:t>
      </w:r>
      <w:r w:rsidRPr="00EF5BA1">
        <w:rPr>
          <w:b/>
          <w:noProof/>
        </w:rPr>
        <w:t>73</w:t>
      </w:r>
      <w:r w:rsidRPr="00EF5BA1">
        <w:rPr>
          <w:noProof/>
        </w:rPr>
        <w:t xml:space="preserve">, 1817-1830 (2009). </w:t>
      </w:r>
    </w:p>
    <w:p w14:paraId="60FFC4CB" w14:textId="77777777" w:rsidR="007C424D" w:rsidRPr="00EF5BA1" w:rsidRDefault="007C424D" w:rsidP="00EF5BA1">
      <w:pPr>
        <w:pStyle w:val="EndNoteBibliography"/>
        <w:ind w:left="720" w:hanging="720"/>
        <w:rPr>
          <w:noProof/>
        </w:rPr>
      </w:pPr>
      <w:r w:rsidRPr="00EF5BA1">
        <w:rPr>
          <w:noProof/>
        </w:rPr>
        <w:t>29</w:t>
      </w:r>
      <w:r w:rsidRPr="00EF5BA1">
        <w:rPr>
          <w:noProof/>
        </w:rPr>
        <w:tab/>
        <w:t xml:space="preserve">Zubavichus, Y., Shaporenko, A., Korolkov, V., Grunze, M. &amp; Zharnikov, M. X-ray absorption spectroscopy of the nucleotide bases at the carbon, nitrogen, and oxygen K-edges. </w:t>
      </w:r>
      <w:r w:rsidRPr="00EF5BA1">
        <w:rPr>
          <w:i/>
          <w:noProof/>
        </w:rPr>
        <w:t>The Journal of Physical Chemistry B</w:t>
      </w:r>
      <w:r w:rsidRPr="00EF5BA1">
        <w:rPr>
          <w:noProof/>
        </w:rPr>
        <w:t xml:space="preserve"> </w:t>
      </w:r>
      <w:r w:rsidRPr="00EF5BA1">
        <w:rPr>
          <w:b/>
          <w:noProof/>
        </w:rPr>
        <w:t>112</w:t>
      </w:r>
      <w:r w:rsidRPr="00EF5BA1">
        <w:rPr>
          <w:noProof/>
        </w:rPr>
        <w:t xml:space="preserve">, 13711-13716 (2008). </w:t>
      </w:r>
    </w:p>
    <w:p w14:paraId="4F2D97C8" w14:textId="77777777" w:rsidR="007C424D" w:rsidRPr="00EF5BA1" w:rsidRDefault="007C424D" w:rsidP="00EF5BA1">
      <w:pPr>
        <w:pStyle w:val="EndNoteBibliography"/>
        <w:ind w:left="720" w:hanging="720"/>
        <w:rPr>
          <w:noProof/>
        </w:rPr>
      </w:pPr>
      <w:r w:rsidRPr="00EF5BA1">
        <w:rPr>
          <w:noProof/>
        </w:rPr>
        <w:t>30</w:t>
      </w:r>
      <w:r w:rsidRPr="00EF5BA1">
        <w:rPr>
          <w:noProof/>
        </w:rPr>
        <w:tab/>
        <w:t>Lehmann, J.</w:t>
      </w:r>
      <w:r w:rsidRPr="00EF5BA1">
        <w:rPr>
          <w:i/>
          <w:noProof/>
        </w:rPr>
        <w:t xml:space="preserve"> et al.</w:t>
      </w:r>
      <w:r w:rsidRPr="00EF5BA1">
        <w:rPr>
          <w:noProof/>
        </w:rPr>
        <w:t xml:space="preserve"> Synchrotron-based near-edge X-ray spectroscopy of natural organic matter in soils and sediments. </w:t>
      </w:r>
      <w:r w:rsidRPr="00EF5BA1">
        <w:rPr>
          <w:i/>
          <w:noProof/>
        </w:rPr>
        <w:t>Biophysico-chemical processes involving natural nonliving organic matter in environmental systems</w:t>
      </w:r>
      <w:r w:rsidRPr="00EF5BA1">
        <w:rPr>
          <w:noProof/>
        </w:rPr>
        <w:t xml:space="preserve">, 729-781 (2009). </w:t>
      </w:r>
    </w:p>
    <w:p w14:paraId="2324AD0C" w14:textId="77777777" w:rsidR="007C424D" w:rsidRPr="00EF5BA1" w:rsidRDefault="007C424D" w:rsidP="00EF5BA1">
      <w:pPr>
        <w:pStyle w:val="EndNoteBibliography"/>
        <w:ind w:left="720" w:hanging="720"/>
        <w:rPr>
          <w:noProof/>
        </w:rPr>
      </w:pPr>
      <w:r w:rsidRPr="00EF5BA1">
        <w:rPr>
          <w:noProof/>
        </w:rPr>
        <w:t>31</w:t>
      </w:r>
      <w:r w:rsidRPr="00EF5BA1">
        <w:rPr>
          <w:noProof/>
        </w:rPr>
        <w:tab/>
        <w:t xml:space="preserve">Middelburg, J. </w:t>
      </w:r>
      <w:r w:rsidRPr="00EF5BA1">
        <w:rPr>
          <w:i/>
          <w:noProof/>
        </w:rPr>
        <w:t>Marine Carbon Biogeochemistry: A Primer for Earth System Scientists</w:t>
      </w:r>
      <w:r w:rsidRPr="00EF5BA1">
        <w:rPr>
          <w:noProof/>
        </w:rPr>
        <w:t>.  (Springer, 2019).</w:t>
      </w:r>
    </w:p>
    <w:p w14:paraId="510F7395" w14:textId="77777777" w:rsidR="007C424D" w:rsidRPr="00EF5BA1" w:rsidRDefault="007C424D" w:rsidP="00EF5BA1">
      <w:pPr>
        <w:pStyle w:val="EndNoteBibliography"/>
        <w:ind w:left="720" w:hanging="720"/>
        <w:rPr>
          <w:noProof/>
        </w:rPr>
      </w:pPr>
      <w:r w:rsidRPr="00EF5BA1">
        <w:rPr>
          <w:noProof/>
        </w:rPr>
        <w:t>32</w:t>
      </w:r>
      <w:r w:rsidRPr="00EF5BA1">
        <w:rPr>
          <w:noProof/>
        </w:rPr>
        <w:tab/>
        <w:t xml:space="preserve">Hodge, J. Dehydrated foods, chemistry of browning reactions in model systems. </w:t>
      </w:r>
      <w:r w:rsidRPr="00EF5BA1">
        <w:rPr>
          <w:i/>
          <w:noProof/>
        </w:rPr>
        <w:t>Journal of agricultural and food chemistry</w:t>
      </w:r>
      <w:r w:rsidRPr="00EF5BA1">
        <w:rPr>
          <w:noProof/>
        </w:rPr>
        <w:t xml:space="preserve"> </w:t>
      </w:r>
      <w:r w:rsidRPr="00EF5BA1">
        <w:rPr>
          <w:b/>
          <w:noProof/>
        </w:rPr>
        <w:t>1</w:t>
      </w:r>
      <w:r w:rsidRPr="00EF5BA1">
        <w:rPr>
          <w:noProof/>
        </w:rPr>
        <w:t xml:space="preserve">, 928-943 (1953). </w:t>
      </w:r>
    </w:p>
    <w:p w14:paraId="58D20D3E" w14:textId="77777777" w:rsidR="007C424D" w:rsidRPr="00EF5BA1" w:rsidRDefault="007C424D" w:rsidP="00EF5BA1">
      <w:pPr>
        <w:pStyle w:val="EndNoteBibliography"/>
        <w:ind w:left="720" w:hanging="720"/>
        <w:rPr>
          <w:noProof/>
        </w:rPr>
      </w:pPr>
      <w:r w:rsidRPr="00EF5BA1">
        <w:rPr>
          <w:noProof/>
        </w:rPr>
        <w:t>33</w:t>
      </w:r>
      <w:r w:rsidRPr="00EF5BA1">
        <w:rPr>
          <w:noProof/>
        </w:rPr>
        <w:tab/>
        <w:t xml:space="preserve">Arnosti, C. &amp; Holmer, M. Carbohydrate dynamics and contributions to the carbon budget of an organic-rich coastal sediment. </w:t>
      </w:r>
      <w:r w:rsidRPr="00EF5BA1">
        <w:rPr>
          <w:i/>
          <w:noProof/>
        </w:rPr>
        <w:t>Geochimica et Cosmochimica Acta</w:t>
      </w:r>
      <w:r w:rsidRPr="00EF5BA1">
        <w:rPr>
          <w:noProof/>
        </w:rPr>
        <w:t xml:space="preserve"> </w:t>
      </w:r>
      <w:r w:rsidRPr="00EF5BA1">
        <w:rPr>
          <w:b/>
          <w:noProof/>
        </w:rPr>
        <w:t>63</w:t>
      </w:r>
      <w:r w:rsidRPr="00EF5BA1">
        <w:rPr>
          <w:noProof/>
        </w:rPr>
        <w:t xml:space="preserve">, 393-403 (1999). </w:t>
      </w:r>
    </w:p>
    <w:p w14:paraId="0D52F5DE" w14:textId="77777777" w:rsidR="007C424D" w:rsidRPr="00EF5BA1" w:rsidRDefault="007C424D" w:rsidP="00EF5BA1">
      <w:pPr>
        <w:pStyle w:val="EndNoteBibliography"/>
        <w:ind w:left="720" w:hanging="720"/>
        <w:rPr>
          <w:noProof/>
        </w:rPr>
      </w:pPr>
      <w:r w:rsidRPr="00EF5BA1">
        <w:rPr>
          <w:noProof/>
        </w:rPr>
        <w:t>34</w:t>
      </w:r>
      <w:r w:rsidRPr="00EF5BA1">
        <w:rPr>
          <w:noProof/>
        </w:rPr>
        <w:tab/>
        <w:t xml:space="preserve">Jensen, M., Holmer, M. &amp; Thamdrup, B. Composition and diagenesis of neutral carbohydrates in sediments of the Baltic-North Sea transition. </w:t>
      </w:r>
      <w:r w:rsidRPr="00EF5BA1">
        <w:rPr>
          <w:i/>
          <w:noProof/>
        </w:rPr>
        <w:t>Geochimica et Cosmochimica Acta</w:t>
      </w:r>
      <w:r w:rsidRPr="00EF5BA1">
        <w:rPr>
          <w:noProof/>
        </w:rPr>
        <w:t xml:space="preserve"> </w:t>
      </w:r>
      <w:r w:rsidRPr="00EF5BA1">
        <w:rPr>
          <w:b/>
          <w:noProof/>
        </w:rPr>
        <w:t>69</w:t>
      </w:r>
      <w:r w:rsidRPr="00EF5BA1">
        <w:rPr>
          <w:noProof/>
        </w:rPr>
        <w:t xml:space="preserve">, 4085-4099 (2005). </w:t>
      </w:r>
    </w:p>
    <w:p w14:paraId="42AF002B" w14:textId="77777777" w:rsidR="007C424D" w:rsidRPr="00EF5BA1" w:rsidRDefault="007C424D" w:rsidP="00EF5BA1">
      <w:pPr>
        <w:pStyle w:val="EndNoteBibliography"/>
        <w:ind w:left="720" w:hanging="720"/>
        <w:rPr>
          <w:noProof/>
        </w:rPr>
      </w:pPr>
      <w:r w:rsidRPr="00EF5BA1">
        <w:rPr>
          <w:noProof/>
        </w:rPr>
        <w:t>35</w:t>
      </w:r>
      <w:r w:rsidRPr="00EF5BA1">
        <w:rPr>
          <w:noProof/>
        </w:rPr>
        <w:tab/>
        <w:t xml:space="preserve">Mintrop, L. &amp; Duinker, J. Depth profiles of amino-acids in porewater of sediments from the Norwegian-Greenland Sea. </w:t>
      </w:r>
      <w:r w:rsidRPr="00EF5BA1">
        <w:rPr>
          <w:i/>
          <w:noProof/>
        </w:rPr>
        <w:t>Oceanologica acta</w:t>
      </w:r>
      <w:r w:rsidRPr="00EF5BA1">
        <w:rPr>
          <w:noProof/>
        </w:rPr>
        <w:t xml:space="preserve"> </w:t>
      </w:r>
      <w:r w:rsidRPr="00EF5BA1">
        <w:rPr>
          <w:b/>
          <w:noProof/>
        </w:rPr>
        <w:t>17</w:t>
      </w:r>
      <w:r w:rsidRPr="00EF5BA1">
        <w:rPr>
          <w:noProof/>
        </w:rPr>
        <w:t xml:space="preserve">, 621-631 (1994). </w:t>
      </w:r>
    </w:p>
    <w:p w14:paraId="4EA64624" w14:textId="77777777" w:rsidR="007C424D" w:rsidRPr="00EF5BA1" w:rsidRDefault="007C424D" w:rsidP="00EF5BA1">
      <w:pPr>
        <w:pStyle w:val="EndNoteBibliography"/>
        <w:ind w:left="720" w:hanging="720"/>
        <w:rPr>
          <w:noProof/>
        </w:rPr>
      </w:pPr>
      <w:r w:rsidRPr="00EF5BA1">
        <w:rPr>
          <w:noProof/>
        </w:rPr>
        <w:t>36</w:t>
      </w:r>
      <w:r w:rsidRPr="00EF5BA1">
        <w:rPr>
          <w:noProof/>
        </w:rPr>
        <w:tab/>
        <w:t xml:space="preserve">Burdige, D. &amp; Martens, C. Biogeochemical cycling in an organic-rich coastal marine basin: 11. The sedimentary cycling of dissolved, free amino acids. </w:t>
      </w:r>
      <w:r w:rsidRPr="00EF5BA1">
        <w:rPr>
          <w:i/>
          <w:noProof/>
        </w:rPr>
        <w:t>Geochimica et Cosmochimica Acta</w:t>
      </w:r>
      <w:r w:rsidRPr="00EF5BA1">
        <w:rPr>
          <w:noProof/>
        </w:rPr>
        <w:t xml:space="preserve"> </w:t>
      </w:r>
      <w:r w:rsidRPr="00EF5BA1">
        <w:rPr>
          <w:b/>
          <w:noProof/>
        </w:rPr>
        <w:t>54</w:t>
      </w:r>
      <w:r w:rsidRPr="00EF5BA1">
        <w:rPr>
          <w:noProof/>
        </w:rPr>
        <w:t xml:space="preserve">, 3033-3052 (1990). </w:t>
      </w:r>
    </w:p>
    <w:p w14:paraId="5BDDA8B8" w14:textId="77777777" w:rsidR="007C424D" w:rsidRPr="00EF5BA1" w:rsidRDefault="007C424D" w:rsidP="00EF5BA1">
      <w:pPr>
        <w:pStyle w:val="EndNoteBibliography"/>
        <w:ind w:left="720" w:hanging="720"/>
        <w:rPr>
          <w:noProof/>
        </w:rPr>
      </w:pPr>
      <w:r w:rsidRPr="00EF5BA1">
        <w:rPr>
          <w:noProof/>
        </w:rPr>
        <w:t>37</w:t>
      </w:r>
      <w:r w:rsidRPr="00EF5BA1">
        <w:rPr>
          <w:noProof/>
        </w:rPr>
        <w:tab/>
        <w:t xml:space="preserve">Van Boekel, M. Kinetic aspects of the Maillard reaction: a critical review. </w:t>
      </w:r>
      <w:r w:rsidRPr="00EF5BA1">
        <w:rPr>
          <w:i/>
          <w:noProof/>
        </w:rPr>
        <w:t>Food/Nahrung</w:t>
      </w:r>
      <w:r w:rsidRPr="00EF5BA1">
        <w:rPr>
          <w:noProof/>
        </w:rPr>
        <w:t xml:space="preserve"> </w:t>
      </w:r>
      <w:r w:rsidRPr="00EF5BA1">
        <w:rPr>
          <w:b/>
          <w:noProof/>
        </w:rPr>
        <w:t>45</w:t>
      </w:r>
      <w:r w:rsidRPr="00EF5BA1">
        <w:rPr>
          <w:noProof/>
        </w:rPr>
        <w:t xml:space="preserve">, 150-159 (2001). </w:t>
      </w:r>
    </w:p>
    <w:p w14:paraId="619E8C49" w14:textId="77777777" w:rsidR="007C424D" w:rsidRPr="00EF5BA1" w:rsidRDefault="007C424D" w:rsidP="00EF5BA1">
      <w:pPr>
        <w:pStyle w:val="EndNoteBibliography"/>
        <w:ind w:left="720" w:hanging="720"/>
        <w:rPr>
          <w:noProof/>
        </w:rPr>
      </w:pPr>
      <w:r w:rsidRPr="00EF5BA1">
        <w:rPr>
          <w:noProof/>
        </w:rPr>
        <w:t>38</w:t>
      </w:r>
      <w:r w:rsidRPr="00EF5BA1">
        <w:rPr>
          <w:noProof/>
        </w:rPr>
        <w:tab/>
        <w:t xml:space="preserve">Singh, K., Prasad, M. &amp; Kumar, D. Role of Iron in Catalysing the Caramelization of Sugar and its Preventative and Curative Measures. </w:t>
      </w:r>
      <w:r w:rsidRPr="00EF5BA1">
        <w:rPr>
          <w:i/>
          <w:noProof/>
        </w:rPr>
        <w:t>Proc. of 8th Joint Conv. of three Associations</w:t>
      </w:r>
      <w:r w:rsidRPr="00EF5BA1">
        <w:rPr>
          <w:noProof/>
        </w:rPr>
        <w:t xml:space="preserve">, 47-62 (2005). </w:t>
      </w:r>
    </w:p>
    <w:p w14:paraId="1A78A683" w14:textId="77777777" w:rsidR="007C424D" w:rsidRPr="00EF5BA1" w:rsidRDefault="007C424D" w:rsidP="00EF5BA1">
      <w:pPr>
        <w:pStyle w:val="EndNoteBibliography"/>
        <w:ind w:left="720" w:hanging="720"/>
        <w:rPr>
          <w:noProof/>
        </w:rPr>
      </w:pPr>
      <w:r w:rsidRPr="00EF5BA1">
        <w:rPr>
          <w:noProof/>
        </w:rPr>
        <w:t>39</w:t>
      </w:r>
      <w:r w:rsidRPr="00EF5BA1">
        <w:rPr>
          <w:noProof/>
        </w:rPr>
        <w:tab/>
        <w:t xml:space="preserve">Poulton, S. &amp; Canfield, D. Development of a sequential extraction procedure for iron: implications for iron partitioning in continentally derived particulates. </w:t>
      </w:r>
      <w:r w:rsidRPr="00EF5BA1">
        <w:rPr>
          <w:i/>
          <w:noProof/>
        </w:rPr>
        <w:t>Chemical geology</w:t>
      </w:r>
      <w:r w:rsidRPr="00EF5BA1">
        <w:rPr>
          <w:noProof/>
        </w:rPr>
        <w:t xml:space="preserve"> </w:t>
      </w:r>
      <w:r w:rsidRPr="00EF5BA1">
        <w:rPr>
          <w:b/>
          <w:noProof/>
        </w:rPr>
        <w:t>214</w:t>
      </w:r>
      <w:r w:rsidRPr="00EF5BA1">
        <w:rPr>
          <w:noProof/>
        </w:rPr>
        <w:t xml:space="preserve">, 209-221 (2005). </w:t>
      </w:r>
    </w:p>
    <w:p w14:paraId="2198A8D6" w14:textId="77777777" w:rsidR="007C424D" w:rsidRPr="00EF5BA1" w:rsidRDefault="007C424D" w:rsidP="00EF5BA1">
      <w:pPr>
        <w:pStyle w:val="EndNoteBibliography"/>
        <w:ind w:left="720" w:hanging="720"/>
        <w:rPr>
          <w:noProof/>
        </w:rPr>
      </w:pPr>
      <w:r w:rsidRPr="00EF5BA1">
        <w:rPr>
          <w:noProof/>
        </w:rPr>
        <w:t>40</w:t>
      </w:r>
      <w:r w:rsidRPr="00EF5BA1">
        <w:rPr>
          <w:noProof/>
        </w:rPr>
        <w:tab/>
        <w:t xml:space="preserve">Anderson, T. &amp; Raiswell, R. Sources and mechanisms for the enrichment of highly reactive iron in euxinic Black Sea sediments. </w:t>
      </w:r>
      <w:r w:rsidRPr="00EF5BA1">
        <w:rPr>
          <w:i/>
          <w:noProof/>
        </w:rPr>
        <w:t>American Journal of Science</w:t>
      </w:r>
      <w:r w:rsidRPr="00EF5BA1">
        <w:rPr>
          <w:noProof/>
        </w:rPr>
        <w:t xml:space="preserve"> </w:t>
      </w:r>
      <w:r w:rsidRPr="00EF5BA1">
        <w:rPr>
          <w:b/>
          <w:noProof/>
        </w:rPr>
        <w:t>304</w:t>
      </w:r>
      <w:r w:rsidRPr="00EF5BA1">
        <w:rPr>
          <w:noProof/>
        </w:rPr>
        <w:t xml:space="preserve">, 203-233 (2004). </w:t>
      </w:r>
    </w:p>
    <w:p w14:paraId="7891EAE3" w14:textId="77777777" w:rsidR="007C424D" w:rsidRPr="00EF5BA1" w:rsidRDefault="007C424D" w:rsidP="00EF5BA1">
      <w:pPr>
        <w:pStyle w:val="EndNoteBibliography"/>
        <w:ind w:left="720" w:hanging="720"/>
        <w:rPr>
          <w:noProof/>
        </w:rPr>
      </w:pPr>
      <w:r w:rsidRPr="00EF5BA1">
        <w:rPr>
          <w:noProof/>
        </w:rPr>
        <w:t>41</w:t>
      </w:r>
      <w:r w:rsidRPr="00EF5BA1">
        <w:rPr>
          <w:noProof/>
        </w:rPr>
        <w:tab/>
        <w:t xml:space="preserve">Klump, J. &amp; Martens, C. The seasonality of nutrient regeneration in an organic‐rich coastal sediment: Kinetic modeling of changing pore‐water nutrient and sulfate distributions. </w:t>
      </w:r>
      <w:r w:rsidRPr="00EF5BA1">
        <w:rPr>
          <w:i/>
          <w:noProof/>
        </w:rPr>
        <w:t>Limnology and Oceanography</w:t>
      </w:r>
      <w:r w:rsidRPr="00EF5BA1">
        <w:rPr>
          <w:noProof/>
        </w:rPr>
        <w:t xml:space="preserve"> </w:t>
      </w:r>
      <w:r w:rsidRPr="00EF5BA1">
        <w:rPr>
          <w:b/>
          <w:noProof/>
        </w:rPr>
        <w:t>34</w:t>
      </w:r>
      <w:r w:rsidRPr="00EF5BA1">
        <w:rPr>
          <w:noProof/>
        </w:rPr>
        <w:t xml:space="preserve">, 559-577 (1989). </w:t>
      </w:r>
    </w:p>
    <w:p w14:paraId="10ECFBCE" w14:textId="77777777" w:rsidR="007C424D" w:rsidRPr="00EF5BA1" w:rsidRDefault="007C424D" w:rsidP="00EF5BA1">
      <w:pPr>
        <w:pStyle w:val="EndNoteBibliography"/>
        <w:ind w:left="720" w:hanging="720"/>
        <w:rPr>
          <w:noProof/>
        </w:rPr>
      </w:pPr>
      <w:r w:rsidRPr="00EF5BA1">
        <w:rPr>
          <w:noProof/>
        </w:rPr>
        <w:lastRenderedPageBreak/>
        <w:t>42</w:t>
      </w:r>
      <w:r w:rsidRPr="00EF5BA1">
        <w:rPr>
          <w:noProof/>
        </w:rPr>
        <w:tab/>
        <w:t xml:space="preserve">Mulsow, S., Boudreau, B. &amp; Smith, J. Bioturbation and porosity gradients. </w:t>
      </w:r>
      <w:r w:rsidRPr="00EF5BA1">
        <w:rPr>
          <w:i/>
          <w:noProof/>
        </w:rPr>
        <w:t>Limnology and Oceanography</w:t>
      </w:r>
      <w:r w:rsidRPr="00EF5BA1">
        <w:rPr>
          <w:noProof/>
        </w:rPr>
        <w:t xml:space="preserve"> </w:t>
      </w:r>
      <w:r w:rsidRPr="00EF5BA1">
        <w:rPr>
          <w:b/>
          <w:noProof/>
        </w:rPr>
        <w:t>43</w:t>
      </w:r>
      <w:r w:rsidRPr="00EF5BA1">
        <w:rPr>
          <w:noProof/>
        </w:rPr>
        <w:t xml:space="preserve">, 1-9 (1998). </w:t>
      </w:r>
    </w:p>
    <w:p w14:paraId="6E84D2B1" w14:textId="77777777" w:rsidR="007C424D" w:rsidRPr="00EF5BA1" w:rsidRDefault="007C424D" w:rsidP="00EF5BA1">
      <w:pPr>
        <w:pStyle w:val="EndNoteBibliography"/>
        <w:ind w:left="720" w:hanging="720"/>
        <w:rPr>
          <w:noProof/>
        </w:rPr>
      </w:pPr>
      <w:r w:rsidRPr="00EF5BA1">
        <w:rPr>
          <w:noProof/>
        </w:rPr>
        <w:t>43</w:t>
      </w:r>
      <w:r w:rsidRPr="00EF5BA1">
        <w:rPr>
          <w:noProof/>
        </w:rPr>
        <w:tab/>
        <w:t xml:space="preserve">Lenstra, W., Klomp, R., Molema, F., Behrends, T. &amp; Slomp, C. A sequential extraction procedure for particulate manganese and its application to coastal marine sediments. </w:t>
      </w:r>
      <w:r w:rsidRPr="00EF5BA1">
        <w:rPr>
          <w:i/>
          <w:noProof/>
        </w:rPr>
        <w:t>Chemical Geology</w:t>
      </w:r>
      <w:r w:rsidRPr="00EF5BA1">
        <w:rPr>
          <w:noProof/>
        </w:rPr>
        <w:t xml:space="preserve"> </w:t>
      </w:r>
      <w:r w:rsidRPr="00EF5BA1">
        <w:rPr>
          <w:b/>
          <w:noProof/>
        </w:rPr>
        <w:t>584</w:t>
      </w:r>
      <w:r w:rsidRPr="00EF5BA1">
        <w:rPr>
          <w:noProof/>
        </w:rPr>
        <w:t xml:space="preserve">, 120538 (2021). </w:t>
      </w:r>
    </w:p>
    <w:p w14:paraId="7893CDBA" w14:textId="77777777" w:rsidR="007C424D" w:rsidRPr="00EF5BA1" w:rsidRDefault="007C424D" w:rsidP="00EF5BA1">
      <w:pPr>
        <w:pStyle w:val="EndNoteBibliography"/>
        <w:ind w:left="720" w:hanging="720"/>
        <w:rPr>
          <w:noProof/>
        </w:rPr>
      </w:pPr>
      <w:r w:rsidRPr="00EF5BA1">
        <w:rPr>
          <w:noProof/>
        </w:rPr>
        <w:t>44</w:t>
      </w:r>
      <w:r w:rsidRPr="00EF5BA1">
        <w:rPr>
          <w:noProof/>
        </w:rPr>
        <w:tab/>
        <w:t>Homoky, W.</w:t>
      </w:r>
      <w:r w:rsidRPr="00EF5BA1">
        <w:rPr>
          <w:i/>
          <w:noProof/>
        </w:rPr>
        <w:t xml:space="preserve"> et al.</w:t>
      </w:r>
      <w:r w:rsidRPr="00EF5BA1">
        <w:rPr>
          <w:noProof/>
        </w:rPr>
        <w:t xml:space="preserve"> Iron colloids dominate sedimentary supply to the ocean interior. </w:t>
      </w:r>
      <w:r w:rsidRPr="00EF5BA1">
        <w:rPr>
          <w:i/>
          <w:noProof/>
        </w:rPr>
        <w:t>Proceedings of the National Academy of Sciences</w:t>
      </w:r>
      <w:r w:rsidRPr="00EF5BA1">
        <w:rPr>
          <w:noProof/>
        </w:rPr>
        <w:t xml:space="preserve"> </w:t>
      </w:r>
      <w:r w:rsidRPr="00EF5BA1">
        <w:rPr>
          <w:b/>
          <w:noProof/>
        </w:rPr>
        <w:t>118</w:t>
      </w:r>
      <w:r w:rsidRPr="00EF5BA1">
        <w:rPr>
          <w:noProof/>
        </w:rPr>
        <w:t xml:space="preserve"> (2021). </w:t>
      </w:r>
    </w:p>
    <w:p w14:paraId="59485B78" w14:textId="77777777" w:rsidR="007C424D" w:rsidRPr="00EF5BA1" w:rsidRDefault="007C424D" w:rsidP="00EF5BA1">
      <w:pPr>
        <w:pStyle w:val="EndNoteBibliography"/>
        <w:ind w:left="720" w:hanging="720"/>
        <w:rPr>
          <w:noProof/>
        </w:rPr>
      </w:pPr>
      <w:r w:rsidRPr="00EF5BA1">
        <w:rPr>
          <w:noProof/>
        </w:rPr>
        <w:t>45</w:t>
      </w:r>
      <w:r w:rsidRPr="00EF5BA1">
        <w:rPr>
          <w:noProof/>
        </w:rPr>
        <w:tab/>
        <w:t xml:space="preserve">Mills, B., Donnadieu, Y. &amp; Goddéris, Y. Spatial continuous integration of Phanerozoic global biogeochemistry and climate. </w:t>
      </w:r>
      <w:r w:rsidRPr="00EF5BA1">
        <w:rPr>
          <w:i/>
          <w:noProof/>
        </w:rPr>
        <w:t>Gondwana Research</w:t>
      </w:r>
      <w:r w:rsidRPr="00EF5BA1">
        <w:rPr>
          <w:noProof/>
        </w:rPr>
        <w:t xml:space="preserve"> (2021). </w:t>
      </w:r>
    </w:p>
    <w:p w14:paraId="47E9F105" w14:textId="77777777" w:rsidR="007C424D" w:rsidRPr="00EF5BA1" w:rsidRDefault="007C424D" w:rsidP="00EF5BA1">
      <w:pPr>
        <w:pStyle w:val="EndNoteBibliography"/>
        <w:ind w:left="720" w:hanging="720"/>
        <w:rPr>
          <w:noProof/>
        </w:rPr>
      </w:pPr>
      <w:r w:rsidRPr="00EF5BA1">
        <w:rPr>
          <w:noProof/>
        </w:rPr>
        <w:t>46</w:t>
      </w:r>
      <w:r w:rsidRPr="00EF5BA1">
        <w:rPr>
          <w:noProof/>
        </w:rPr>
        <w:tab/>
        <w:t xml:space="preserve">Bergman, N., Lenton, T. &amp; Watson, A. COPSE: a new model of biogeochemical cycling over Phanerozoic time. </w:t>
      </w:r>
      <w:r w:rsidRPr="00EF5BA1">
        <w:rPr>
          <w:i/>
          <w:noProof/>
        </w:rPr>
        <w:t>American Journal of Science</w:t>
      </w:r>
      <w:r w:rsidRPr="00EF5BA1">
        <w:rPr>
          <w:noProof/>
        </w:rPr>
        <w:t xml:space="preserve"> </w:t>
      </w:r>
      <w:r w:rsidRPr="00EF5BA1">
        <w:rPr>
          <w:b/>
          <w:noProof/>
        </w:rPr>
        <w:t>304</w:t>
      </w:r>
      <w:r w:rsidRPr="00EF5BA1">
        <w:rPr>
          <w:noProof/>
        </w:rPr>
        <w:t xml:space="preserve">, 397-437 (2004). </w:t>
      </w:r>
    </w:p>
    <w:p w14:paraId="74D03244" w14:textId="77777777" w:rsidR="007C424D" w:rsidRPr="00EF5BA1" w:rsidRDefault="007C424D" w:rsidP="00EF5BA1">
      <w:pPr>
        <w:pStyle w:val="EndNoteBibliography"/>
        <w:ind w:left="720" w:hanging="720"/>
        <w:rPr>
          <w:noProof/>
        </w:rPr>
      </w:pPr>
      <w:r w:rsidRPr="00EF5BA1">
        <w:rPr>
          <w:noProof/>
        </w:rPr>
        <w:t>47</w:t>
      </w:r>
      <w:r w:rsidRPr="00EF5BA1">
        <w:rPr>
          <w:noProof/>
        </w:rPr>
        <w:tab/>
        <w:t xml:space="preserve">Berner, R. GEOCARBSULF: a combined model for Phanerozoic atmospheric O2 and CO2. </w:t>
      </w:r>
      <w:r w:rsidRPr="00EF5BA1">
        <w:rPr>
          <w:i/>
          <w:noProof/>
        </w:rPr>
        <w:t>Geochimica et Cosmochimica Acta</w:t>
      </w:r>
      <w:r w:rsidRPr="00EF5BA1">
        <w:rPr>
          <w:noProof/>
        </w:rPr>
        <w:t xml:space="preserve"> </w:t>
      </w:r>
      <w:r w:rsidRPr="00EF5BA1">
        <w:rPr>
          <w:b/>
          <w:noProof/>
        </w:rPr>
        <w:t>70</w:t>
      </w:r>
      <w:r w:rsidRPr="00EF5BA1">
        <w:rPr>
          <w:noProof/>
        </w:rPr>
        <w:t xml:space="preserve">, 5653-5664 (2006). </w:t>
      </w:r>
    </w:p>
    <w:p w14:paraId="722558A8" w14:textId="77777777" w:rsidR="007C424D" w:rsidRPr="00EF5BA1" w:rsidRDefault="007C424D" w:rsidP="00EF5BA1">
      <w:pPr>
        <w:pStyle w:val="EndNoteBibliography"/>
        <w:ind w:left="720" w:hanging="720"/>
        <w:rPr>
          <w:noProof/>
        </w:rPr>
      </w:pPr>
      <w:r w:rsidRPr="00EF5BA1">
        <w:rPr>
          <w:noProof/>
        </w:rPr>
        <w:t>48</w:t>
      </w:r>
      <w:r w:rsidRPr="00EF5BA1">
        <w:rPr>
          <w:noProof/>
        </w:rPr>
        <w:tab/>
        <w:t xml:space="preserve">Goddéris, Y., Donnadieu, Y., Le Hir, G., Lefebvre, V. &amp; Nardin, E. The role of palaeogeography in the Phanerozoic history of atmospheric CO2 and climate. </w:t>
      </w:r>
      <w:r w:rsidRPr="00EF5BA1">
        <w:rPr>
          <w:i/>
          <w:noProof/>
        </w:rPr>
        <w:t>Earth-Science Reviews</w:t>
      </w:r>
      <w:r w:rsidRPr="00EF5BA1">
        <w:rPr>
          <w:noProof/>
        </w:rPr>
        <w:t xml:space="preserve"> </w:t>
      </w:r>
      <w:r w:rsidRPr="00EF5BA1">
        <w:rPr>
          <w:b/>
          <w:noProof/>
        </w:rPr>
        <w:t>128</w:t>
      </w:r>
      <w:r w:rsidRPr="00EF5BA1">
        <w:rPr>
          <w:noProof/>
        </w:rPr>
        <w:t xml:space="preserve">, 122-138 (2014). </w:t>
      </w:r>
    </w:p>
    <w:p w14:paraId="1DC70BE9" w14:textId="77777777" w:rsidR="007C424D" w:rsidRPr="00EF5BA1" w:rsidRDefault="007C424D" w:rsidP="00EF5BA1">
      <w:pPr>
        <w:pStyle w:val="EndNoteBibliography"/>
        <w:ind w:left="720" w:hanging="720"/>
        <w:rPr>
          <w:noProof/>
        </w:rPr>
      </w:pPr>
      <w:r w:rsidRPr="00EF5BA1">
        <w:rPr>
          <w:noProof/>
        </w:rPr>
        <w:t>49</w:t>
      </w:r>
      <w:r w:rsidRPr="00EF5BA1">
        <w:rPr>
          <w:noProof/>
        </w:rPr>
        <w:tab/>
        <w:t xml:space="preserve">Merdith, A., Williams, S., Brune, S., Collins, A. &amp; Müller, R. Rift and plate boundary evolution across two supercontinent cycles. </w:t>
      </w:r>
      <w:r w:rsidRPr="00EF5BA1">
        <w:rPr>
          <w:i/>
          <w:noProof/>
        </w:rPr>
        <w:t>Global and planetary change</w:t>
      </w:r>
      <w:r w:rsidRPr="00EF5BA1">
        <w:rPr>
          <w:noProof/>
        </w:rPr>
        <w:t xml:space="preserve"> </w:t>
      </w:r>
      <w:r w:rsidRPr="00EF5BA1">
        <w:rPr>
          <w:b/>
          <w:noProof/>
        </w:rPr>
        <w:t>173</w:t>
      </w:r>
      <w:r w:rsidRPr="00EF5BA1">
        <w:rPr>
          <w:noProof/>
        </w:rPr>
        <w:t xml:space="preserve">, 1-14 (2019). </w:t>
      </w:r>
    </w:p>
    <w:p w14:paraId="7820AC41" w14:textId="77777777" w:rsidR="007C424D" w:rsidRPr="00EF5BA1" w:rsidRDefault="007C424D" w:rsidP="00EF5BA1">
      <w:pPr>
        <w:pStyle w:val="EndNoteBibliography"/>
        <w:ind w:left="720" w:hanging="720"/>
        <w:rPr>
          <w:noProof/>
        </w:rPr>
      </w:pPr>
      <w:r w:rsidRPr="00EF5BA1">
        <w:rPr>
          <w:noProof/>
        </w:rPr>
        <w:t>50</w:t>
      </w:r>
      <w:r w:rsidRPr="00EF5BA1">
        <w:rPr>
          <w:noProof/>
        </w:rPr>
        <w:tab/>
        <w:t>Hay, W.</w:t>
      </w:r>
      <w:r w:rsidRPr="00EF5BA1">
        <w:rPr>
          <w:i/>
          <w:noProof/>
        </w:rPr>
        <w:t xml:space="preserve"> et al.</w:t>
      </w:r>
      <w:r w:rsidRPr="00EF5BA1">
        <w:rPr>
          <w:noProof/>
        </w:rPr>
        <w:t xml:space="preserve"> Evaporites and the salinity of the ocean during the Phanerozoic: Implications for climate, ocean circulation and life. </w:t>
      </w:r>
      <w:r w:rsidRPr="00EF5BA1">
        <w:rPr>
          <w:i/>
          <w:noProof/>
        </w:rPr>
        <w:t>Palaeogeography, Palaeoclimatology, Palaeoecology</w:t>
      </w:r>
      <w:r w:rsidRPr="00EF5BA1">
        <w:rPr>
          <w:noProof/>
        </w:rPr>
        <w:t xml:space="preserve"> </w:t>
      </w:r>
      <w:r w:rsidRPr="00EF5BA1">
        <w:rPr>
          <w:b/>
          <w:noProof/>
        </w:rPr>
        <w:t>240</w:t>
      </w:r>
      <w:r w:rsidRPr="00EF5BA1">
        <w:rPr>
          <w:noProof/>
        </w:rPr>
        <w:t xml:space="preserve">, 3-46 (2006). </w:t>
      </w:r>
    </w:p>
    <w:p w14:paraId="187D25D0" w14:textId="77777777" w:rsidR="007C424D" w:rsidRPr="00EF5BA1" w:rsidRDefault="007C424D" w:rsidP="00EF5BA1">
      <w:pPr>
        <w:pStyle w:val="EndNoteBibliography"/>
        <w:ind w:left="720" w:hanging="720"/>
        <w:rPr>
          <w:noProof/>
        </w:rPr>
      </w:pPr>
      <w:r w:rsidRPr="00EF5BA1">
        <w:rPr>
          <w:noProof/>
        </w:rPr>
        <w:t>51</w:t>
      </w:r>
      <w:r w:rsidRPr="00EF5BA1">
        <w:rPr>
          <w:noProof/>
        </w:rPr>
        <w:tab/>
        <w:t xml:space="preserve">Marcilly, C. M., Torsvik, T. H. &amp; Conrad, C. P. Global Phanerozoic sea levels from paleogeographic flooding maps. </w:t>
      </w:r>
      <w:r w:rsidRPr="00EF5BA1">
        <w:rPr>
          <w:i/>
          <w:noProof/>
        </w:rPr>
        <w:t>Gondwana Research</w:t>
      </w:r>
      <w:r w:rsidRPr="00EF5BA1">
        <w:rPr>
          <w:noProof/>
        </w:rPr>
        <w:t xml:space="preserve"> (2022). </w:t>
      </w:r>
    </w:p>
    <w:p w14:paraId="14205B21" w14:textId="77777777" w:rsidR="007C424D" w:rsidRPr="00EF5BA1" w:rsidRDefault="007C424D" w:rsidP="00EF5BA1">
      <w:pPr>
        <w:pStyle w:val="EndNoteBibliography"/>
        <w:ind w:left="720" w:hanging="720"/>
        <w:rPr>
          <w:noProof/>
        </w:rPr>
      </w:pPr>
      <w:r w:rsidRPr="00EF5BA1">
        <w:rPr>
          <w:noProof/>
        </w:rPr>
        <w:t>52</w:t>
      </w:r>
      <w:r w:rsidRPr="00EF5BA1">
        <w:rPr>
          <w:noProof/>
        </w:rPr>
        <w:tab/>
        <w:t xml:space="preserve">Schopf, J. &amp; Klein, C. </w:t>
      </w:r>
      <w:r w:rsidRPr="00EF5BA1">
        <w:rPr>
          <w:i/>
          <w:noProof/>
        </w:rPr>
        <w:t>The Proterozoic biosphere: a multidisciplinary study</w:t>
      </w:r>
      <w:r w:rsidRPr="00EF5BA1">
        <w:rPr>
          <w:noProof/>
        </w:rPr>
        <w:t>.  (Cambridge University Press, 1992).</w:t>
      </w:r>
    </w:p>
    <w:p w14:paraId="3854CE2A" w14:textId="77777777" w:rsidR="007C424D" w:rsidRPr="00EF5BA1" w:rsidRDefault="007C424D" w:rsidP="00EF5BA1">
      <w:pPr>
        <w:pStyle w:val="EndNoteBibliography"/>
        <w:ind w:left="720" w:hanging="720"/>
        <w:rPr>
          <w:noProof/>
        </w:rPr>
      </w:pPr>
      <w:r w:rsidRPr="00EF5BA1">
        <w:rPr>
          <w:noProof/>
        </w:rPr>
        <w:t>53</w:t>
      </w:r>
      <w:r w:rsidRPr="00EF5BA1">
        <w:rPr>
          <w:noProof/>
        </w:rPr>
        <w:tab/>
        <w:t xml:space="preserve">Kharecha, P., Kasting, J. &amp; Siefert, J. A coupled atmosphere–ecosystem model of the early Archean Earth. </w:t>
      </w:r>
      <w:r w:rsidRPr="00EF5BA1">
        <w:rPr>
          <w:i/>
          <w:noProof/>
        </w:rPr>
        <w:t>Geobiology</w:t>
      </w:r>
      <w:r w:rsidRPr="00EF5BA1">
        <w:rPr>
          <w:noProof/>
        </w:rPr>
        <w:t xml:space="preserve"> </w:t>
      </w:r>
      <w:r w:rsidRPr="00EF5BA1">
        <w:rPr>
          <w:b/>
          <w:noProof/>
        </w:rPr>
        <w:t>3</w:t>
      </w:r>
      <w:r w:rsidRPr="00EF5BA1">
        <w:rPr>
          <w:noProof/>
        </w:rPr>
        <w:t xml:space="preserve">, 53-76 (2005). </w:t>
      </w:r>
    </w:p>
    <w:p w14:paraId="2875FE8C" w14:textId="77777777" w:rsidR="007C424D" w:rsidRPr="00EF5BA1" w:rsidRDefault="007C424D" w:rsidP="00EF5BA1">
      <w:pPr>
        <w:pStyle w:val="EndNoteBibliography"/>
        <w:ind w:left="720" w:hanging="720"/>
        <w:rPr>
          <w:noProof/>
        </w:rPr>
      </w:pPr>
      <w:r w:rsidRPr="00EF5BA1">
        <w:rPr>
          <w:noProof/>
        </w:rPr>
        <w:t>54</w:t>
      </w:r>
      <w:r w:rsidRPr="00EF5BA1">
        <w:rPr>
          <w:noProof/>
        </w:rPr>
        <w:tab/>
        <w:t xml:space="preserve">Alcott, L., Mills, B. &amp; Poulton, S. Stepwise Earth oxygenation is an inherent property of global biogeochemical cycling. </w:t>
      </w:r>
      <w:r w:rsidRPr="00EF5BA1">
        <w:rPr>
          <w:i/>
          <w:noProof/>
        </w:rPr>
        <w:t>Science</w:t>
      </w:r>
      <w:r w:rsidRPr="00EF5BA1">
        <w:rPr>
          <w:noProof/>
        </w:rPr>
        <w:t xml:space="preserve"> </w:t>
      </w:r>
      <w:r w:rsidRPr="00EF5BA1">
        <w:rPr>
          <w:b/>
          <w:noProof/>
        </w:rPr>
        <w:t>366</w:t>
      </w:r>
      <w:r w:rsidRPr="00EF5BA1">
        <w:rPr>
          <w:noProof/>
        </w:rPr>
        <w:t xml:space="preserve">, 1333-1337 (2019). </w:t>
      </w:r>
    </w:p>
    <w:p w14:paraId="51B2F9CE" w14:textId="77777777" w:rsidR="007C424D" w:rsidRPr="00EF5BA1" w:rsidRDefault="007C424D" w:rsidP="00EF5BA1">
      <w:pPr>
        <w:pStyle w:val="EndNoteBibliography"/>
        <w:ind w:left="720" w:hanging="720"/>
        <w:rPr>
          <w:noProof/>
        </w:rPr>
      </w:pPr>
      <w:r w:rsidRPr="00EF5BA1">
        <w:rPr>
          <w:noProof/>
        </w:rPr>
        <w:t>55</w:t>
      </w:r>
      <w:r w:rsidRPr="00EF5BA1">
        <w:rPr>
          <w:noProof/>
        </w:rPr>
        <w:tab/>
        <w:t xml:space="preserve">Laakso, T. &amp; Schrag, D. The role of authigenic carbonate in Neoproterozoic carbon isotope excursions. </w:t>
      </w:r>
      <w:r w:rsidRPr="00EF5BA1">
        <w:rPr>
          <w:i/>
          <w:noProof/>
        </w:rPr>
        <w:t>Earth and Planetary Science Letters</w:t>
      </w:r>
      <w:r w:rsidRPr="00EF5BA1">
        <w:rPr>
          <w:noProof/>
        </w:rPr>
        <w:t xml:space="preserve"> </w:t>
      </w:r>
      <w:r w:rsidRPr="00EF5BA1">
        <w:rPr>
          <w:b/>
          <w:noProof/>
        </w:rPr>
        <w:t>549</w:t>
      </w:r>
      <w:r w:rsidRPr="00EF5BA1">
        <w:rPr>
          <w:noProof/>
        </w:rPr>
        <w:t xml:space="preserve">, 116534 (2020). </w:t>
      </w:r>
    </w:p>
    <w:p w14:paraId="5A262F79" w14:textId="77777777" w:rsidR="007C424D" w:rsidRPr="00EF5BA1" w:rsidRDefault="007C424D" w:rsidP="00EF5BA1">
      <w:pPr>
        <w:pStyle w:val="EndNoteBibliography"/>
        <w:ind w:left="720" w:hanging="720"/>
        <w:rPr>
          <w:noProof/>
        </w:rPr>
      </w:pPr>
      <w:r w:rsidRPr="00EF5BA1">
        <w:rPr>
          <w:noProof/>
        </w:rPr>
        <w:t>56</w:t>
      </w:r>
      <w:r w:rsidRPr="00EF5BA1">
        <w:rPr>
          <w:noProof/>
        </w:rPr>
        <w:tab/>
        <w:t>Planavsky, N.</w:t>
      </w:r>
      <w:r w:rsidRPr="00EF5BA1">
        <w:rPr>
          <w:i/>
          <w:noProof/>
        </w:rPr>
        <w:t xml:space="preserve"> et al.</w:t>
      </w:r>
      <w:r w:rsidRPr="00EF5BA1">
        <w:rPr>
          <w:noProof/>
        </w:rPr>
        <w:t xml:space="preserve"> Evolution of the structure and impact of Earth’s biosphere. </w:t>
      </w:r>
      <w:r w:rsidRPr="00EF5BA1">
        <w:rPr>
          <w:i/>
          <w:noProof/>
        </w:rPr>
        <w:t>Nature Reviews Earth &amp; Environment</w:t>
      </w:r>
      <w:r w:rsidRPr="00EF5BA1">
        <w:rPr>
          <w:noProof/>
        </w:rPr>
        <w:t xml:space="preserve">, 1-17 (2021). </w:t>
      </w:r>
    </w:p>
    <w:p w14:paraId="05F8146B" w14:textId="77777777" w:rsidR="007C424D" w:rsidRPr="00EF5BA1" w:rsidRDefault="007C424D" w:rsidP="00EF5BA1">
      <w:pPr>
        <w:pStyle w:val="EndNoteBibliography"/>
        <w:ind w:left="720" w:hanging="720"/>
        <w:rPr>
          <w:noProof/>
        </w:rPr>
      </w:pPr>
      <w:r w:rsidRPr="00EF5BA1">
        <w:rPr>
          <w:noProof/>
        </w:rPr>
        <w:t>57</w:t>
      </w:r>
      <w:r w:rsidRPr="00EF5BA1">
        <w:rPr>
          <w:noProof/>
        </w:rPr>
        <w:tab/>
        <w:t xml:space="preserve">Keil, R., Tsamakis, E., Fuh, C., Giddings, J. &amp; Hedges, J. Mineralogical and textural controls on the organic composition of coastal marine sediments: Hydrodynamic separation using SPLITT-fractionation. </w:t>
      </w:r>
      <w:r w:rsidRPr="00EF5BA1">
        <w:rPr>
          <w:i/>
          <w:noProof/>
        </w:rPr>
        <w:t>Geochimica et Cosmochimica Acta</w:t>
      </w:r>
      <w:r w:rsidRPr="00EF5BA1">
        <w:rPr>
          <w:noProof/>
        </w:rPr>
        <w:t xml:space="preserve"> </w:t>
      </w:r>
      <w:r w:rsidRPr="00EF5BA1">
        <w:rPr>
          <w:b/>
          <w:noProof/>
        </w:rPr>
        <w:t>58</w:t>
      </w:r>
      <w:r w:rsidRPr="00EF5BA1">
        <w:rPr>
          <w:noProof/>
        </w:rPr>
        <w:t xml:space="preserve">, 879-893 (1994). </w:t>
      </w:r>
    </w:p>
    <w:p w14:paraId="19341016" w14:textId="77777777" w:rsidR="007C424D" w:rsidRPr="00EF5BA1" w:rsidRDefault="007C424D" w:rsidP="00EF5BA1">
      <w:pPr>
        <w:pStyle w:val="EndNoteBibliography"/>
        <w:ind w:left="720" w:hanging="720"/>
        <w:rPr>
          <w:noProof/>
        </w:rPr>
      </w:pPr>
      <w:r w:rsidRPr="00EF5BA1">
        <w:rPr>
          <w:noProof/>
        </w:rPr>
        <w:t>58</w:t>
      </w:r>
      <w:r w:rsidRPr="00EF5BA1">
        <w:rPr>
          <w:noProof/>
        </w:rPr>
        <w:tab/>
        <w:t xml:space="preserve">JARVIE, D. &amp; LUNDELL, L. of Organic Matter in the Miocene Monterey Formation. </w:t>
      </w:r>
      <w:r w:rsidRPr="00EF5BA1">
        <w:rPr>
          <w:i/>
          <w:noProof/>
        </w:rPr>
        <w:t>The Monterey Formation: from rocks to molecules</w:t>
      </w:r>
      <w:r w:rsidRPr="00EF5BA1">
        <w:rPr>
          <w:noProof/>
        </w:rPr>
        <w:t xml:space="preserve">, 268 (2001). </w:t>
      </w:r>
    </w:p>
    <w:p w14:paraId="7D59CCD8" w14:textId="77777777" w:rsidR="007C424D" w:rsidRPr="00EF5BA1" w:rsidRDefault="007C424D" w:rsidP="00EF5BA1">
      <w:pPr>
        <w:pStyle w:val="EndNoteBibliography"/>
        <w:ind w:left="720" w:hanging="720"/>
        <w:rPr>
          <w:noProof/>
        </w:rPr>
      </w:pPr>
      <w:r w:rsidRPr="00EF5BA1">
        <w:rPr>
          <w:noProof/>
        </w:rPr>
        <w:t>59</w:t>
      </w:r>
      <w:r w:rsidRPr="00EF5BA1">
        <w:rPr>
          <w:noProof/>
        </w:rPr>
        <w:tab/>
        <w:t xml:space="preserve">Hitchcock, A. &amp; Ishii, I. Carbon K-shell excitation spectra of linear and branched alkanes. </w:t>
      </w:r>
      <w:r w:rsidRPr="00EF5BA1">
        <w:rPr>
          <w:i/>
          <w:noProof/>
        </w:rPr>
        <w:t>Journal of Electron Spectroscopy and Related Phenomena</w:t>
      </w:r>
      <w:r w:rsidRPr="00EF5BA1">
        <w:rPr>
          <w:noProof/>
        </w:rPr>
        <w:t xml:space="preserve"> </w:t>
      </w:r>
      <w:r w:rsidRPr="00EF5BA1">
        <w:rPr>
          <w:b/>
          <w:noProof/>
        </w:rPr>
        <w:t>42</w:t>
      </w:r>
      <w:r w:rsidRPr="00EF5BA1">
        <w:rPr>
          <w:noProof/>
        </w:rPr>
        <w:t xml:space="preserve">, 11-26 (1987). </w:t>
      </w:r>
    </w:p>
    <w:p w14:paraId="791464CA" w14:textId="77777777" w:rsidR="007C424D" w:rsidRPr="00EF5BA1" w:rsidRDefault="007C424D" w:rsidP="00EF5BA1">
      <w:pPr>
        <w:pStyle w:val="EndNoteBibliography"/>
        <w:ind w:left="720" w:hanging="720"/>
        <w:rPr>
          <w:noProof/>
        </w:rPr>
      </w:pPr>
      <w:r w:rsidRPr="00EF5BA1">
        <w:rPr>
          <w:noProof/>
        </w:rPr>
        <w:t>60</w:t>
      </w:r>
      <w:r w:rsidRPr="00EF5BA1">
        <w:rPr>
          <w:noProof/>
        </w:rPr>
        <w:tab/>
        <w:t xml:space="preserve">Robin, M., Ishii, I., McLaren, R. &amp; Hitchcock, A. Fluorination effects on the inner-shell spectra of unsaturated molecules. </w:t>
      </w:r>
      <w:r w:rsidRPr="00EF5BA1">
        <w:rPr>
          <w:i/>
          <w:noProof/>
        </w:rPr>
        <w:t>Journal of Electron Spectroscopy and Related Phenomena</w:t>
      </w:r>
      <w:r w:rsidRPr="00EF5BA1">
        <w:rPr>
          <w:noProof/>
        </w:rPr>
        <w:t xml:space="preserve"> </w:t>
      </w:r>
      <w:r w:rsidRPr="00EF5BA1">
        <w:rPr>
          <w:b/>
          <w:noProof/>
        </w:rPr>
        <w:t>47</w:t>
      </w:r>
      <w:r w:rsidRPr="00EF5BA1">
        <w:rPr>
          <w:noProof/>
        </w:rPr>
        <w:t xml:space="preserve">, 53-92 (1988). </w:t>
      </w:r>
    </w:p>
    <w:p w14:paraId="1E6B8FFF" w14:textId="77777777" w:rsidR="007C424D" w:rsidRPr="00EF5BA1" w:rsidRDefault="007C424D" w:rsidP="00EF5BA1">
      <w:pPr>
        <w:pStyle w:val="EndNoteBibliography"/>
        <w:ind w:left="720" w:hanging="720"/>
        <w:rPr>
          <w:noProof/>
        </w:rPr>
      </w:pPr>
      <w:r w:rsidRPr="00EF5BA1">
        <w:rPr>
          <w:noProof/>
        </w:rPr>
        <w:t>61</w:t>
      </w:r>
      <w:r w:rsidRPr="00EF5BA1">
        <w:rPr>
          <w:noProof/>
        </w:rPr>
        <w:tab/>
        <w:t xml:space="preserve">Francis, J. &amp; Hitchcock, A. Inner-shell spectroscopy of p-benzoquinone, hydroquinone, and phenol: distinguishing quinoid and benzenoid structures. </w:t>
      </w:r>
      <w:r w:rsidRPr="00EF5BA1">
        <w:rPr>
          <w:i/>
          <w:noProof/>
        </w:rPr>
        <w:t>The Journal of Physical Chemistry</w:t>
      </w:r>
      <w:r w:rsidRPr="00EF5BA1">
        <w:rPr>
          <w:noProof/>
        </w:rPr>
        <w:t xml:space="preserve"> </w:t>
      </w:r>
      <w:r w:rsidRPr="00EF5BA1">
        <w:rPr>
          <w:b/>
          <w:noProof/>
        </w:rPr>
        <w:t>96</w:t>
      </w:r>
      <w:r w:rsidRPr="00EF5BA1">
        <w:rPr>
          <w:noProof/>
        </w:rPr>
        <w:t xml:space="preserve">, 6598-6610 (1992). </w:t>
      </w:r>
    </w:p>
    <w:p w14:paraId="1F7FF1CC" w14:textId="77777777" w:rsidR="007C424D" w:rsidRPr="00EF5BA1" w:rsidRDefault="007C424D" w:rsidP="00EF5BA1">
      <w:pPr>
        <w:pStyle w:val="EndNoteBibliography"/>
        <w:ind w:left="720" w:hanging="720"/>
        <w:rPr>
          <w:noProof/>
        </w:rPr>
      </w:pPr>
      <w:r w:rsidRPr="00EF5BA1">
        <w:rPr>
          <w:noProof/>
        </w:rPr>
        <w:t>62</w:t>
      </w:r>
      <w:r w:rsidRPr="00EF5BA1">
        <w:rPr>
          <w:noProof/>
        </w:rPr>
        <w:tab/>
        <w:t xml:space="preserve">Hitchcock, A., Urquhart, S. &amp; Rightor, E. Inner-shell spectroscopy of benzaldehyde, terephthalaldehyde, ethylbenzoate, terephthaloyl chloride and phosgene: models for core excitation of poly (ethylene terephthalate). </w:t>
      </w:r>
      <w:r w:rsidRPr="00EF5BA1">
        <w:rPr>
          <w:i/>
          <w:noProof/>
        </w:rPr>
        <w:t>The Journal of Physical Chemistry</w:t>
      </w:r>
      <w:r w:rsidRPr="00EF5BA1">
        <w:rPr>
          <w:noProof/>
        </w:rPr>
        <w:t xml:space="preserve"> </w:t>
      </w:r>
      <w:r w:rsidRPr="00EF5BA1">
        <w:rPr>
          <w:b/>
          <w:noProof/>
        </w:rPr>
        <w:t>96</w:t>
      </w:r>
      <w:r w:rsidRPr="00EF5BA1">
        <w:rPr>
          <w:noProof/>
        </w:rPr>
        <w:t xml:space="preserve">, 8736-8750 (1992). </w:t>
      </w:r>
    </w:p>
    <w:p w14:paraId="0A6BCF84" w14:textId="77777777" w:rsidR="007C424D" w:rsidRPr="00EF5BA1" w:rsidRDefault="007C424D" w:rsidP="00EF5BA1">
      <w:pPr>
        <w:pStyle w:val="EndNoteBibliography"/>
        <w:ind w:left="720" w:hanging="720"/>
        <w:rPr>
          <w:noProof/>
        </w:rPr>
      </w:pPr>
      <w:r w:rsidRPr="00EF5BA1">
        <w:rPr>
          <w:noProof/>
        </w:rPr>
        <w:lastRenderedPageBreak/>
        <w:t>63</w:t>
      </w:r>
      <w:r w:rsidRPr="00EF5BA1">
        <w:rPr>
          <w:noProof/>
        </w:rPr>
        <w:tab/>
        <w:t xml:space="preserve">Boese, J., Osanna, A., Jacobsen, C. &amp; Kirz, J. Carbon edge XANES spectroscopy of amino acids and peptides. </w:t>
      </w:r>
      <w:r w:rsidRPr="00EF5BA1">
        <w:rPr>
          <w:i/>
          <w:noProof/>
        </w:rPr>
        <w:t>Journal of Electron Spectroscopy and Related Phenomena</w:t>
      </w:r>
      <w:r w:rsidRPr="00EF5BA1">
        <w:rPr>
          <w:noProof/>
        </w:rPr>
        <w:t xml:space="preserve"> </w:t>
      </w:r>
      <w:r w:rsidRPr="00EF5BA1">
        <w:rPr>
          <w:b/>
          <w:noProof/>
        </w:rPr>
        <w:t>85</w:t>
      </w:r>
      <w:r w:rsidRPr="00EF5BA1">
        <w:rPr>
          <w:noProof/>
        </w:rPr>
        <w:t xml:space="preserve">, 9-15 (1997). </w:t>
      </w:r>
    </w:p>
    <w:p w14:paraId="6504BB77" w14:textId="77777777" w:rsidR="007C424D" w:rsidRPr="00EF5BA1" w:rsidRDefault="007C424D" w:rsidP="00EF5BA1">
      <w:pPr>
        <w:pStyle w:val="EndNoteBibliography"/>
        <w:ind w:left="720" w:hanging="720"/>
        <w:rPr>
          <w:noProof/>
        </w:rPr>
      </w:pPr>
      <w:r w:rsidRPr="00EF5BA1">
        <w:rPr>
          <w:noProof/>
        </w:rPr>
        <w:t>64</w:t>
      </w:r>
      <w:r w:rsidRPr="00EF5BA1">
        <w:rPr>
          <w:noProof/>
        </w:rPr>
        <w:tab/>
        <w:t xml:space="preserve">Cody, G., Botto, R., Ade, H. &amp; Wirick, S. The application of soft X-ray microscopy to the in-situ analysis of sporinite in coal. </w:t>
      </w:r>
      <w:r w:rsidRPr="00EF5BA1">
        <w:rPr>
          <w:i/>
          <w:noProof/>
        </w:rPr>
        <w:t>International Journal of Coal Geology</w:t>
      </w:r>
      <w:r w:rsidRPr="00EF5BA1">
        <w:rPr>
          <w:noProof/>
        </w:rPr>
        <w:t xml:space="preserve"> </w:t>
      </w:r>
      <w:r w:rsidRPr="00EF5BA1">
        <w:rPr>
          <w:b/>
          <w:noProof/>
        </w:rPr>
        <w:t>32</w:t>
      </w:r>
      <w:r w:rsidRPr="00EF5BA1">
        <w:rPr>
          <w:noProof/>
        </w:rPr>
        <w:t xml:space="preserve">, 69-86 (1996). </w:t>
      </w:r>
    </w:p>
    <w:p w14:paraId="0198AD22" w14:textId="77777777" w:rsidR="007C424D" w:rsidRPr="00EF5BA1" w:rsidRDefault="007C424D" w:rsidP="00EF5BA1">
      <w:pPr>
        <w:pStyle w:val="EndNoteBibliography"/>
        <w:ind w:left="720" w:hanging="720"/>
        <w:rPr>
          <w:noProof/>
        </w:rPr>
      </w:pPr>
      <w:r w:rsidRPr="00EF5BA1">
        <w:rPr>
          <w:noProof/>
        </w:rPr>
        <w:t>65</w:t>
      </w:r>
      <w:r w:rsidRPr="00EF5BA1">
        <w:rPr>
          <w:noProof/>
        </w:rPr>
        <w:tab/>
        <w:t xml:space="preserve">Cody, G., Ade, H., Wirick, S., Mitchell, G. &amp; Davis, A. Determination of chemical-structural changes in vitrinite accompanying luminescence alteration using C-NEXAFS analysis. </w:t>
      </w:r>
      <w:r w:rsidRPr="00EF5BA1">
        <w:rPr>
          <w:i/>
          <w:noProof/>
        </w:rPr>
        <w:t>Organic Geochemistry</w:t>
      </w:r>
      <w:r w:rsidRPr="00EF5BA1">
        <w:rPr>
          <w:noProof/>
        </w:rPr>
        <w:t xml:space="preserve"> </w:t>
      </w:r>
      <w:r w:rsidRPr="00EF5BA1">
        <w:rPr>
          <w:b/>
          <w:noProof/>
        </w:rPr>
        <w:t>28</w:t>
      </w:r>
      <w:r w:rsidRPr="00EF5BA1">
        <w:rPr>
          <w:noProof/>
        </w:rPr>
        <w:t xml:space="preserve">, 441-455 (1998). </w:t>
      </w:r>
    </w:p>
    <w:p w14:paraId="5936B037" w14:textId="77777777" w:rsidR="007C424D" w:rsidRPr="00EF5BA1" w:rsidRDefault="007C424D" w:rsidP="00EF5BA1">
      <w:pPr>
        <w:pStyle w:val="EndNoteBibliography"/>
        <w:ind w:left="720" w:hanging="720"/>
        <w:rPr>
          <w:noProof/>
        </w:rPr>
      </w:pPr>
      <w:r w:rsidRPr="00EF5BA1">
        <w:rPr>
          <w:noProof/>
        </w:rPr>
        <w:t>66</w:t>
      </w:r>
      <w:r w:rsidRPr="00EF5BA1">
        <w:rPr>
          <w:noProof/>
        </w:rPr>
        <w:tab/>
        <w:t xml:space="preserve">Scheinost, A., Kretzschmar, R., Christl, I. &amp; Jacobsen, C. </w:t>
      </w:r>
      <w:r w:rsidRPr="00EF5BA1">
        <w:rPr>
          <w:i/>
          <w:noProof/>
        </w:rPr>
        <w:t>Carbon group chemistry of humic and fulvic acid: A comparison of C-1s NEXAFS and 13C-NMR spectroscopies</w:t>
      </w:r>
      <w:r w:rsidRPr="00EF5BA1">
        <w:rPr>
          <w:noProof/>
        </w:rPr>
        <w:t>.  39-47 (Royal Society of Chemistry, 2001).</w:t>
      </w:r>
    </w:p>
    <w:p w14:paraId="22131709" w14:textId="77777777" w:rsidR="007C424D" w:rsidRPr="00EF5BA1" w:rsidRDefault="007C424D" w:rsidP="00EF5BA1">
      <w:pPr>
        <w:pStyle w:val="EndNoteBibliography"/>
        <w:ind w:left="720" w:hanging="720"/>
        <w:rPr>
          <w:noProof/>
        </w:rPr>
      </w:pPr>
      <w:r w:rsidRPr="00EF5BA1">
        <w:rPr>
          <w:noProof/>
        </w:rPr>
        <w:t>67</w:t>
      </w:r>
      <w:r w:rsidRPr="00EF5BA1">
        <w:rPr>
          <w:noProof/>
        </w:rPr>
        <w:tab/>
        <w:t>Stöhr, J.</w:t>
      </w:r>
      <w:r w:rsidRPr="00EF5BA1">
        <w:rPr>
          <w:i/>
          <w:noProof/>
        </w:rPr>
        <w:t xml:space="preserve"> et al.</w:t>
      </w:r>
      <w:r w:rsidRPr="00EF5BA1">
        <w:rPr>
          <w:noProof/>
        </w:rPr>
        <w:t xml:space="preserve"> Liquid crystal alignment on carbonaceous surfaces with orientational order. </w:t>
      </w:r>
      <w:r w:rsidRPr="00EF5BA1">
        <w:rPr>
          <w:i/>
          <w:noProof/>
        </w:rPr>
        <w:t>Science</w:t>
      </w:r>
      <w:r w:rsidRPr="00EF5BA1">
        <w:rPr>
          <w:noProof/>
        </w:rPr>
        <w:t xml:space="preserve"> </w:t>
      </w:r>
      <w:r w:rsidRPr="00EF5BA1">
        <w:rPr>
          <w:b/>
          <w:noProof/>
        </w:rPr>
        <w:t>292</w:t>
      </w:r>
      <w:r w:rsidRPr="00EF5BA1">
        <w:rPr>
          <w:noProof/>
        </w:rPr>
        <w:t xml:space="preserve">, 2299-2302 (2001). </w:t>
      </w:r>
    </w:p>
    <w:p w14:paraId="5167662C" w14:textId="77777777" w:rsidR="007C424D" w:rsidRPr="00EF5BA1" w:rsidRDefault="007C424D" w:rsidP="00EF5BA1">
      <w:pPr>
        <w:pStyle w:val="EndNoteBibliography"/>
        <w:ind w:left="720" w:hanging="720"/>
        <w:rPr>
          <w:noProof/>
        </w:rPr>
      </w:pPr>
      <w:r w:rsidRPr="00EF5BA1">
        <w:rPr>
          <w:noProof/>
        </w:rPr>
        <w:t>68</w:t>
      </w:r>
      <w:r w:rsidRPr="00EF5BA1">
        <w:rPr>
          <w:noProof/>
        </w:rPr>
        <w:tab/>
        <w:t xml:space="preserve">Ade, H. &amp; Urquhart, S. NEXAFS spectroscopy and microscopy of natural and synthetic polymers. </w:t>
      </w:r>
      <w:r w:rsidRPr="00EF5BA1">
        <w:rPr>
          <w:i/>
          <w:noProof/>
        </w:rPr>
        <w:t>In Chemical Applications of Synchrotron Radiation, Advanced Series in Physical Chemistry, Vol. 12, Sham, T. K., ed., World Scientific Publishing, River Edge, NJ</w:t>
      </w:r>
      <w:r w:rsidRPr="00EF5BA1">
        <w:rPr>
          <w:noProof/>
        </w:rPr>
        <w:t xml:space="preserve"> </w:t>
      </w:r>
      <w:r w:rsidRPr="00EF5BA1">
        <w:rPr>
          <w:b/>
          <w:noProof/>
        </w:rPr>
        <w:t>285</w:t>
      </w:r>
      <w:r w:rsidRPr="00EF5BA1">
        <w:rPr>
          <w:noProof/>
        </w:rPr>
        <w:t xml:space="preserve"> (2002). </w:t>
      </w:r>
    </w:p>
    <w:p w14:paraId="06C77EC7" w14:textId="77777777" w:rsidR="007C424D" w:rsidRPr="00EF5BA1" w:rsidRDefault="007C424D" w:rsidP="00EF5BA1">
      <w:pPr>
        <w:pStyle w:val="EndNoteBibliography"/>
        <w:ind w:left="720" w:hanging="720"/>
        <w:rPr>
          <w:noProof/>
        </w:rPr>
      </w:pPr>
      <w:r w:rsidRPr="00EF5BA1">
        <w:rPr>
          <w:noProof/>
        </w:rPr>
        <w:t>69</w:t>
      </w:r>
      <w:r w:rsidRPr="00EF5BA1">
        <w:rPr>
          <w:noProof/>
        </w:rPr>
        <w:tab/>
        <w:t>Kaznacheyev, K.</w:t>
      </w:r>
      <w:r w:rsidRPr="00EF5BA1">
        <w:rPr>
          <w:i/>
          <w:noProof/>
        </w:rPr>
        <w:t xml:space="preserve"> et al.</w:t>
      </w:r>
      <w:r w:rsidRPr="00EF5BA1">
        <w:rPr>
          <w:noProof/>
        </w:rPr>
        <w:t xml:space="preserve"> Innershell absorption spectroscopy of amino acids. </w:t>
      </w:r>
      <w:r w:rsidRPr="00EF5BA1">
        <w:rPr>
          <w:i/>
          <w:noProof/>
        </w:rPr>
        <w:t>The Journal of Physical Chemistry A</w:t>
      </w:r>
      <w:r w:rsidRPr="00EF5BA1">
        <w:rPr>
          <w:noProof/>
        </w:rPr>
        <w:t xml:space="preserve"> </w:t>
      </w:r>
      <w:r w:rsidRPr="00EF5BA1">
        <w:rPr>
          <w:b/>
          <w:noProof/>
        </w:rPr>
        <w:t>106</w:t>
      </w:r>
      <w:r w:rsidRPr="00EF5BA1">
        <w:rPr>
          <w:noProof/>
        </w:rPr>
        <w:t xml:space="preserve">, 3153-3168 (2002). </w:t>
      </w:r>
    </w:p>
    <w:p w14:paraId="2E575523" w14:textId="77777777" w:rsidR="007C424D" w:rsidRPr="00EF5BA1" w:rsidRDefault="007C424D" w:rsidP="00EF5BA1">
      <w:pPr>
        <w:pStyle w:val="EndNoteBibliography"/>
        <w:ind w:left="720" w:hanging="720"/>
        <w:rPr>
          <w:noProof/>
        </w:rPr>
      </w:pPr>
      <w:r w:rsidRPr="00EF5BA1">
        <w:rPr>
          <w:noProof/>
        </w:rPr>
        <w:t>70</w:t>
      </w:r>
      <w:r w:rsidRPr="00EF5BA1">
        <w:rPr>
          <w:noProof/>
        </w:rPr>
        <w:tab/>
        <w:t xml:space="preserve">Schäfer, T., Hertkorn, N., Artinger, R., Claret, F. &amp; Bauer, A. in </w:t>
      </w:r>
      <w:r w:rsidRPr="00EF5BA1">
        <w:rPr>
          <w:i/>
          <w:noProof/>
        </w:rPr>
        <w:t>Journal de Physique IV (Proceedings).</w:t>
      </w:r>
      <w:r w:rsidRPr="00EF5BA1">
        <w:rPr>
          <w:noProof/>
        </w:rPr>
        <w:t xml:space="preserve">  409-412 (EDP sciences).</w:t>
      </w:r>
    </w:p>
    <w:p w14:paraId="6769E612" w14:textId="77777777" w:rsidR="007C424D" w:rsidRPr="00EF5BA1" w:rsidRDefault="007C424D" w:rsidP="00EF5BA1">
      <w:pPr>
        <w:pStyle w:val="EndNoteBibliography"/>
        <w:ind w:left="720" w:hanging="720"/>
        <w:rPr>
          <w:noProof/>
        </w:rPr>
      </w:pPr>
      <w:r w:rsidRPr="00EF5BA1">
        <w:rPr>
          <w:noProof/>
        </w:rPr>
        <w:t>71</w:t>
      </w:r>
      <w:r w:rsidRPr="00EF5BA1">
        <w:rPr>
          <w:noProof/>
        </w:rPr>
        <w:tab/>
        <w:t>Schäfer, T.</w:t>
      </w:r>
      <w:r w:rsidRPr="00EF5BA1">
        <w:rPr>
          <w:i/>
          <w:noProof/>
        </w:rPr>
        <w:t xml:space="preserve"> et al.</w:t>
      </w:r>
      <w:r w:rsidRPr="00EF5BA1">
        <w:rPr>
          <w:noProof/>
        </w:rPr>
        <w:t xml:space="preserve"> Origin and mobility of fulvic acids in the Gorleben aquifer system: implications from isotopic data and carbon/sulfur XANES. </w:t>
      </w:r>
      <w:r w:rsidRPr="00EF5BA1">
        <w:rPr>
          <w:i/>
          <w:noProof/>
        </w:rPr>
        <w:t>Organic Geochemistry</w:t>
      </w:r>
      <w:r w:rsidRPr="00EF5BA1">
        <w:rPr>
          <w:noProof/>
        </w:rPr>
        <w:t xml:space="preserve"> </w:t>
      </w:r>
      <w:r w:rsidRPr="00EF5BA1">
        <w:rPr>
          <w:b/>
          <w:noProof/>
        </w:rPr>
        <w:t>36</w:t>
      </w:r>
      <w:r w:rsidRPr="00EF5BA1">
        <w:rPr>
          <w:noProof/>
        </w:rPr>
        <w:t xml:space="preserve">, 567-582 (2005). </w:t>
      </w:r>
    </w:p>
    <w:p w14:paraId="64AC2FE1" w14:textId="77777777" w:rsidR="007C424D" w:rsidRPr="00EF5BA1" w:rsidRDefault="007C424D" w:rsidP="00EF5BA1">
      <w:pPr>
        <w:pStyle w:val="EndNoteBibliography"/>
        <w:ind w:left="720" w:hanging="720"/>
        <w:rPr>
          <w:noProof/>
        </w:rPr>
      </w:pPr>
      <w:r w:rsidRPr="00EF5BA1">
        <w:rPr>
          <w:noProof/>
        </w:rPr>
        <w:t>72</w:t>
      </w:r>
      <w:r w:rsidRPr="00EF5BA1">
        <w:rPr>
          <w:noProof/>
        </w:rPr>
        <w:tab/>
        <w:t xml:space="preserve">Cooney, R. &amp; Urquhart, S. Chemical trends in the near-edge X-ray absorption fine structure of monosubstituted and para-bisubstituted benzenes. </w:t>
      </w:r>
      <w:r w:rsidRPr="00EF5BA1">
        <w:rPr>
          <w:i/>
          <w:noProof/>
        </w:rPr>
        <w:t>The Journal of Physical Chemistry B</w:t>
      </w:r>
      <w:r w:rsidRPr="00EF5BA1">
        <w:rPr>
          <w:noProof/>
        </w:rPr>
        <w:t xml:space="preserve"> </w:t>
      </w:r>
      <w:r w:rsidRPr="00EF5BA1">
        <w:rPr>
          <w:b/>
          <w:noProof/>
        </w:rPr>
        <w:t>108</w:t>
      </w:r>
      <w:r w:rsidRPr="00EF5BA1">
        <w:rPr>
          <w:noProof/>
        </w:rPr>
        <w:t xml:space="preserve">, 18185-18191 (2004). </w:t>
      </w:r>
    </w:p>
    <w:p w14:paraId="3CB5C7CB" w14:textId="77777777" w:rsidR="007C424D" w:rsidRPr="00EF5BA1" w:rsidRDefault="007C424D" w:rsidP="00EF5BA1">
      <w:pPr>
        <w:pStyle w:val="EndNoteBibliography"/>
        <w:ind w:left="720" w:hanging="720"/>
        <w:rPr>
          <w:noProof/>
        </w:rPr>
      </w:pPr>
      <w:r w:rsidRPr="00EF5BA1">
        <w:rPr>
          <w:noProof/>
        </w:rPr>
        <w:t>73</w:t>
      </w:r>
      <w:r w:rsidRPr="00EF5BA1">
        <w:rPr>
          <w:noProof/>
        </w:rPr>
        <w:tab/>
        <w:t xml:space="preserve">Hitchcock, A., Stöver, H., Croll, L. &amp; Childs, R. Chemical mapping of polymer microstructure using soft X-ray spectromicroscopy. </w:t>
      </w:r>
      <w:r w:rsidRPr="00EF5BA1">
        <w:rPr>
          <w:i/>
          <w:noProof/>
        </w:rPr>
        <w:t>Australian journal of chemistry</w:t>
      </w:r>
      <w:r w:rsidRPr="00EF5BA1">
        <w:rPr>
          <w:noProof/>
        </w:rPr>
        <w:t xml:space="preserve"> </w:t>
      </w:r>
      <w:r w:rsidRPr="00EF5BA1">
        <w:rPr>
          <w:b/>
          <w:noProof/>
        </w:rPr>
        <w:t>58</w:t>
      </w:r>
      <w:r w:rsidRPr="00EF5BA1">
        <w:rPr>
          <w:noProof/>
        </w:rPr>
        <w:t xml:space="preserve">, 423-432 (2005). </w:t>
      </w:r>
    </w:p>
    <w:p w14:paraId="24BE96A8" w14:textId="77777777" w:rsidR="007C424D" w:rsidRPr="00EF5BA1" w:rsidRDefault="007C424D" w:rsidP="00EF5BA1">
      <w:pPr>
        <w:pStyle w:val="EndNoteBibliography"/>
        <w:ind w:left="720" w:hanging="720"/>
        <w:rPr>
          <w:noProof/>
        </w:rPr>
      </w:pPr>
      <w:r w:rsidRPr="00EF5BA1">
        <w:rPr>
          <w:noProof/>
        </w:rPr>
        <w:t>74</w:t>
      </w:r>
      <w:r w:rsidRPr="00EF5BA1">
        <w:rPr>
          <w:noProof/>
        </w:rPr>
        <w:tab/>
        <w:t>Lehmann, J.</w:t>
      </w:r>
      <w:r w:rsidRPr="00EF5BA1">
        <w:rPr>
          <w:i/>
          <w:noProof/>
        </w:rPr>
        <w:t xml:space="preserve"> et al.</w:t>
      </w:r>
      <w:r w:rsidRPr="00EF5BA1">
        <w:rPr>
          <w:noProof/>
        </w:rPr>
        <w:t xml:space="preserve"> Near‐edge X‐ray absorption fine structure (NEXAFS) spectroscopy for mapping nano‐scale distribution of organic carbon forms in soil: Application to black carbon particles. </w:t>
      </w:r>
      <w:r w:rsidRPr="00EF5BA1">
        <w:rPr>
          <w:i/>
          <w:noProof/>
        </w:rPr>
        <w:t>Global Biogeochemical Cycles</w:t>
      </w:r>
      <w:r w:rsidRPr="00EF5BA1">
        <w:rPr>
          <w:noProof/>
        </w:rPr>
        <w:t xml:space="preserve"> </w:t>
      </w:r>
      <w:r w:rsidRPr="00EF5BA1">
        <w:rPr>
          <w:b/>
          <w:noProof/>
        </w:rPr>
        <w:t>19</w:t>
      </w:r>
      <w:r w:rsidRPr="00EF5BA1">
        <w:rPr>
          <w:noProof/>
        </w:rPr>
        <w:t xml:space="preserve"> (2005). </w:t>
      </w:r>
    </w:p>
    <w:p w14:paraId="3EA671B0" w14:textId="77777777" w:rsidR="007C424D" w:rsidRPr="00EF5BA1" w:rsidRDefault="007C424D" w:rsidP="00EF5BA1">
      <w:pPr>
        <w:pStyle w:val="EndNoteBibliography"/>
        <w:ind w:left="720" w:hanging="720"/>
        <w:rPr>
          <w:noProof/>
        </w:rPr>
      </w:pPr>
      <w:r w:rsidRPr="00EF5BA1">
        <w:rPr>
          <w:noProof/>
        </w:rPr>
        <w:t>75</w:t>
      </w:r>
      <w:r w:rsidRPr="00EF5BA1">
        <w:rPr>
          <w:noProof/>
        </w:rPr>
        <w:tab/>
        <w:t xml:space="preserve">Schumacher, M., Christl, I., Scheinost, A., Jacobsen, C. &amp; Kretzschmar, R. Chemical heterogeneity of organic soil colloids investigated by scanning transmission X-ray microscopy and C-1s NEXAFS microspectroscopy. </w:t>
      </w:r>
      <w:r w:rsidRPr="00EF5BA1">
        <w:rPr>
          <w:i/>
          <w:noProof/>
        </w:rPr>
        <w:t>Environmental science &amp; technology</w:t>
      </w:r>
      <w:r w:rsidRPr="00EF5BA1">
        <w:rPr>
          <w:noProof/>
        </w:rPr>
        <w:t xml:space="preserve"> </w:t>
      </w:r>
      <w:r w:rsidRPr="00EF5BA1">
        <w:rPr>
          <w:b/>
          <w:noProof/>
        </w:rPr>
        <w:t>39</w:t>
      </w:r>
      <w:r w:rsidRPr="00EF5BA1">
        <w:rPr>
          <w:noProof/>
        </w:rPr>
        <w:t xml:space="preserve">, 9094-9100 (2005). </w:t>
      </w:r>
    </w:p>
    <w:p w14:paraId="126451CB" w14:textId="77777777" w:rsidR="007C424D" w:rsidRPr="00EF5BA1" w:rsidRDefault="007C424D" w:rsidP="00EF5BA1">
      <w:pPr>
        <w:pStyle w:val="EndNoteBibliography"/>
        <w:ind w:left="720" w:hanging="720"/>
        <w:rPr>
          <w:noProof/>
        </w:rPr>
      </w:pPr>
      <w:r w:rsidRPr="00EF5BA1">
        <w:rPr>
          <w:noProof/>
        </w:rPr>
        <w:t>76</w:t>
      </w:r>
      <w:r w:rsidRPr="00EF5BA1">
        <w:rPr>
          <w:noProof/>
        </w:rPr>
        <w:tab/>
        <w:t xml:space="preserve">Solomon, D., Lehmann, J., Kinyangi, J., Liang, B. &amp; Schäfer, T. Carbon K‐edge NEXAFS and FTIR‐ATR spectroscopic investigation of organic carbon speciation in soils. </w:t>
      </w:r>
      <w:r w:rsidRPr="00EF5BA1">
        <w:rPr>
          <w:i/>
          <w:noProof/>
        </w:rPr>
        <w:t>Soil Science Society of America Journal</w:t>
      </w:r>
      <w:r w:rsidRPr="00EF5BA1">
        <w:rPr>
          <w:noProof/>
        </w:rPr>
        <w:t xml:space="preserve"> </w:t>
      </w:r>
      <w:r w:rsidRPr="00EF5BA1">
        <w:rPr>
          <w:b/>
          <w:noProof/>
        </w:rPr>
        <w:t>69</w:t>
      </w:r>
      <w:r w:rsidRPr="00EF5BA1">
        <w:rPr>
          <w:noProof/>
        </w:rPr>
        <w:t xml:space="preserve">, 107-119 (2005). </w:t>
      </w:r>
    </w:p>
    <w:p w14:paraId="2DA29EF5" w14:textId="77777777" w:rsidR="007C424D" w:rsidRPr="00EF5BA1" w:rsidRDefault="007C424D" w:rsidP="00EF5BA1">
      <w:pPr>
        <w:pStyle w:val="EndNoteBibliography"/>
        <w:ind w:left="720" w:hanging="720"/>
        <w:rPr>
          <w:noProof/>
        </w:rPr>
      </w:pPr>
      <w:r w:rsidRPr="00EF5BA1">
        <w:rPr>
          <w:noProof/>
        </w:rPr>
        <w:t>77</w:t>
      </w:r>
      <w:r w:rsidRPr="00EF5BA1">
        <w:rPr>
          <w:noProof/>
        </w:rPr>
        <w:tab/>
        <w:t>Solomon, D.</w:t>
      </w:r>
      <w:r w:rsidRPr="00EF5BA1">
        <w:rPr>
          <w:i/>
          <w:noProof/>
        </w:rPr>
        <w:t xml:space="preserve"> et al.</w:t>
      </w:r>
      <w:r w:rsidRPr="00EF5BA1">
        <w:rPr>
          <w:noProof/>
        </w:rPr>
        <w:t xml:space="preserve"> Molecular signature and sources of biochemical recalcitrance of organic C in Amazonian Dark Earths. </w:t>
      </w:r>
      <w:r w:rsidRPr="00EF5BA1">
        <w:rPr>
          <w:i/>
          <w:noProof/>
        </w:rPr>
        <w:t>Geochimica et cosmochimica Acta</w:t>
      </w:r>
      <w:r w:rsidRPr="00EF5BA1">
        <w:rPr>
          <w:noProof/>
        </w:rPr>
        <w:t xml:space="preserve"> </w:t>
      </w:r>
      <w:r w:rsidRPr="00EF5BA1">
        <w:rPr>
          <w:b/>
          <w:noProof/>
        </w:rPr>
        <w:t>71</w:t>
      </w:r>
      <w:r w:rsidRPr="00EF5BA1">
        <w:rPr>
          <w:noProof/>
        </w:rPr>
        <w:t xml:space="preserve">, 2285-2298 (2007). </w:t>
      </w:r>
    </w:p>
    <w:p w14:paraId="52B8D80C" w14:textId="77777777" w:rsidR="007C424D" w:rsidRPr="00EF5BA1" w:rsidRDefault="007C424D" w:rsidP="00EF5BA1">
      <w:pPr>
        <w:pStyle w:val="EndNoteBibliography"/>
        <w:ind w:left="720" w:hanging="720"/>
        <w:rPr>
          <w:noProof/>
        </w:rPr>
      </w:pPr>
      <w:r w:rsidRPr="00EF5BA1">
        <w:rPr>
          <w:noProof/>
        </w:rPr>
        <w:t>78</w:t>
      </w:r>
      <w:r w:rsidRPr="00EF5BA1">
        <w:rPr>
          <w:noProof/>
        </w:rPr>
        <w:tab/>
        <w:t xml:space="preserve">Heymann, K., Lehmann, J., Solomon, D., Schmidt, M. &amp; Regier, T. C 1s K-edge near edge X-ray absorption fine structure (NEXAFS) spectroscopy for characterizing functional group chemistry of black carbon. </w:t>
      </w:r>
      <w:r w:rsidRPr="00EF5BA1">
        <w:rPr>
          <w:i/>
          <w:noProof/>
        </w:rPr>
        <w:t>Organic Geochemistry</w:t>
      </w:r>
      <w:r w:rsidRPr="00EF5BA1">
        <w:rPr>
          <w:noProof/>
        </w:rPr>
        <w:t xml:space="preserve"> </w:t>
      </w:r>
      <w:r w:rsidRPr="00EF5BA1">
        <w:rPr>
          <w:b/>
          <w:noProof/>
        </w:rPr>
        <w:t>42</w:t>
      </w:r>
      <w:r w:rsidRPr="00EF5BA1">
        <w:rPr>
          <w:noProof/>
        </w:rPr>
        <w:t xml:space="preserve">, 1055-1064 (2011). </w:t>
      </w:r>
    </w:p>
    <w:p w14:paraId="1845234C" w14:textId="77777777" w:rsidR="007C424D" w:rsidRPr="00EF5BA1" w:rsidRDefault="007C424D" w:rsidP="00EF5BA1">
      <w:pPr>
        <w:pStyle w:val="EndNoteBibliography"/>
        <w:ind w:left="720" w:hanging="720"/>
        <w:rPr>
          <w:noProof/>
        </w:rPr>
      </w:pPr>
      <w:r w:rsidRPr="00EF5BA1">
        <w:rPr>
          <w:noProof/>
        </w:rPr>
        <w:t>79</w:t>
      </w:r>
      <w:r w:rsidRPr="00EF5BA1">
        <w:rPr>
          <w:noProof/>
        </w:rPr>
        <w:tab/>
        <w:t>Prietzel, J.</w:t>
      </w:r>
      <w:r w:rsidRPr="00EF5BA1">
        <w:rPr>
          <w:i/>
          <w:noProof/>
        </w:rPr>
        <w:t xml:space="preserve"> et al.</w:t>
      </w:r>
      <w:r w:rsidRPr="00EF5BA1">
        <w:rPr>
          <w:noProof/>
        </w:rPr>
        <w:t xml:space="preserve"> Comparison of soil organic carbon speciation using C NEXAFS and CPMAS 13C NMR spectroscopy. </w:t>
      </w:r>
      <w:r w:rsidRPr="00EF5BA1">
        <w:rPr>
          <w:i/>
          <w:noProof/>
        </w:rPr>
        <w:t>Science of The Total Environment</w:t>
      </w:r>
      <w:r w:rsidRPr="00EF5BA1">
        <w:rPr>
          <w:noProof/>
        </w:rPr>
        <w:t xml:space="preserve"> </w:t>
      </w:r>
      <w:r w:rsidRPr="00EF5BA1">
        <w:rPr>
          <w:b/>
          <w:noProof/>
        </w:rPr>
        <w:t>628</w:t>
      </w:r>
      <w:r w:rsidRPr="00EF5BA1">
        <w:rPr>
          <w:noProof/>
        </w:rPr>
        <w:t xml:space="preserve">, 906-918 (2018). </w:t>
      </w:r>
    </w:p>
    <w:p w14:paraId="2F67D368" w14:textId="77777777" w:rsidR="007C424D" w:rsidRPr="00EF5BA1" w:rsidRDefault="007C424D" w:rsidP="00EF5BA1">
      <w:pPr>
        <w:pStyle w:val="EndNoteBibliography"/>
        <w:ind w:left="720" w:hanging="720"/>
        <w:rPr>
          <w:noProof/>
        </w:rPr>
      </w:pPr>
      <w:r w:rsidRPr="00EF5BA1">
        <w:rPr>
          <w:noProof/>
        </w:rPr>
        <w:t>80</w:t>
      </w:r>
      <w:r w:rsidRPr="00EF5BA1">
        <w:rPr>
          <w:noProof/>
        </w:rPr>
        <w:tab/>
        <w:t xml:space="preserve">Brandes, J., Wirick, S. &amp; Jacobsen, C. Carbon K-edge spectra of carbonate minerals. </w:t>
      </w:r>
      <w:r w:rsidRPr="00EF5BA1">
        <w:rPr>
          <w:i/>
          <w:noProof/>
        </w:rPr>
        <w:t>Journal of synchrotron radiation</w:t>
      </w:r>
      <w:r w:rsidRPr="00EF5BA1">
        <w:rPr>
          <w:noProof/>
        </w:rPr>
        <w:t xml:space="preserve"> </w:t>
      </w:r>
      <w:r w:rsidRPr="00EF5BA1">
        <w:rPr>
          <w:b/>
          <w:noProof/>
        </w:rPr>
        <w:t>17</w:t>
      </w:r>
      <w:r w:rsidRPr="00EF5BA1">
        <w:rPr>
          <w:noProof/>
        </w:rPr>
        <w:t xml:space="preserve">, 676-682 (2010). </w:t>
      </w:r>
    </w:p>
    <w:p w14:paraId="3D260A7B" w14:textId="77777777" w:rsidR="007C424D" w:rsidRPr="00EF5BA1" w:rsidRDefault="007C424D" w:rsidP="00EF5BA1">
      <w:pPr>
        <w:pStyle w:val="EndNoteBibliography"/>
        <w:ind w:left="720" w:hanging="720"/>
        <w:rPr>
          <w:noProof/>
        </w:rPr>
      </w:pPr>
      <w:r w:rsidRPr="00EF5BA1">
        <w:rPr>
          <w:noProof/>
        </w:rPr>
        <w:t>81</w:t>
      </w:r>
      <w:r w:rsidRPr="00EF5BA1">
        <w:rPr>
          <w:noProof/>
        </w:rPr>
        <w:tab/>
        <w:t>Leinweber, P.</w:t>
      </w:r>
      <w:r w:rsidRPr="00EF5BA1">
        <w:rPr>
          <w:i/>
          <w:noProof/>
        </w:rPr>
        <w:t xml:space="preserve"> et al.</w:t>
      </w:r>
      <w:r w:rsidRPr="00EF5BA1">
        <w:rPr>
          <w:noProof/>
        </w:rPr>
        <w:t xml:space="preserve"> in </w:t>
      </w:r>
      <w:r w:rsidRPr="00EF5BA1">
        <w:rPr>
          <w:i/>
          <w:noProof/>
        </w:rPr>
        <w:t>Developments in Soil Science</w:t>
      </w:r>
      <w:r w:rsidRPr="00EF5BA1">
        <w:rPr>
          <w:noProof/>
        </w:rPr>
        <w:t xml:space="preserve"> Vol. 34    255-288 (Elsevier, 2010).</w:t>
      </w:r>
    </w:p>
    <w:p w14:paraId="776CF862" w14:textId="77777777" w:rsidR="007C424D" w:rsidRPr="00EF5BA1" w:rsidRDefault="007C424D" w:rsidP="00EF5BA1">
      <w:pPr>
        <w:pStyle w:val="EndNoteBibliography"/>
        <w:ind w:left="720" w:hanging="720"/>
        <w:rPr>
          <w:noProof/>
        </w:rPr>
      </w:pPr>
      <w:r w:rsidRPr="00EF5BA1">
        <w:rPr>
          <w:noProof/>
        </w:rPr>
        <w:lastRenderedPageBreak/>
        <w:t>82</w:t>
      </w:r>
      <w:r w:rsidRPr="00EF5BA1">
        <w:rPr>
          <w:noProof/>
        </w:rPr>
        <w:tab/>
        <w:t xml:space="preserve">Zubavichus, Y., Shaporenko, A., Grunze, M. &amp; Zharnikov, M. NEXAFS spectroscopy of homopolypeptides at all relevant absorption edges: Polyisoleucine, polytyrosine, and polyhistidine. </w:t>
      </w:r>
      <w:r w:rsidRPr="00EF5BA1">
        <w:rPr>
          <w:i/>
          <w:noProof/>
        </w:rPr>
        <w:t>The Journal of Physical Chemistry B</w:t>
      </w:r>
      <w:r w:rsidRPr="00EF5BA1">
        <w:rPr>
          <w:noProof/>
        </w:rPr>
        <w:t xml:space="preserve"> </w:t>
      </w:r>
      <w:r w:rsidRPr="00EF5BA1">
        <w:rPr>
          <w:b/>
          <w:noProof/>
        </w:rPr>
        <w:t>111</w:t>
      </w:r>
      <w:r w:rsidRPr="00EF5BA1">
        <w:rPr>
          <w:noProof/>
        </w:rPr>
        <w:t xml:space="preserve">, 9803-9807 (2007). </w:t>
      </w:r>
    </w:p>
    <w:p w14:paraId="2A81B06E" w14:textId="77777777" w:rsidR="007C424D" w:rsidRPr="00EF5BA1" w:rsidRDefault="007C424D" w:rsidP="00EF5BA1">
      <w:pPr>
        <w:pStyle w:val="EndNoteBibliography"/>
        <w:ind w:left="720" w:hanging="720"/>
        <w:rPr>
          <w:noProof/>
        </w:rPr>
      </w:pPr>
      <w:r w:rsidRPr="00EF5BA1">
        <w:rPr>
          <w:noProof/>
        </w:rPr>
        <w:t>83</w:t>
      </w:r>
      <w:r w:rsidRPr="00EF5BA1">
        <w:rPr>
          <w:noProof/>
        </w:rPr>
        <w:tab/>
        <w:t xml:space="preserve">Alperin, M., Albert, D. &amp; Martens, C. Seasonal variations in production and consumption rates of dissolved organic carbon in an organic-rich coastal sediment. </w:t>
      </w:r>
      <w:r w:rsidRPr="00EF5BA1">
        <w:rPr>
          <w:i/>
          <w:noProof/>
        </w:rPr>
        <w:t>Geochimica et Cosmochimica Acta</w:t>
      </w:r>
      <w:r w:rsidRPr="00EF5BA1">
        <w:rPr>
          <w:noProof/>
        </w:rPr>
        <w:t xml:space="preserve"> </w:t>
      </w:r>
      <w:r w:rsidRPr="00EF5BA1">
        <w:rPr>
          <w:b/>
          <w:noProof/>
        </w:rPr>
        <w:t>58</w:t>
      </w:r>
      <w:r w:rsidRPr="00EF5BA1">
        <w:rPr>
          <w:noProof/>
        </w:rPr>
        <w:t xml:space="preserve">, 4909-4930 (1994). </w:t>
      </w:r>
    </w:p>
    <w:p w14:paraId="4C5A23EF" w14:textId="77777777" w:rsidR="007C424D" w:rsidRPr="00EF5BA1" w:rsidRDefault="007C424D" w:rsidP="00EF5BA1">
      <w:pPr>
        <w:pStyle w:val="EndNoteBibliography"/>
        <w:ind w:left="720" w:hanging="720"/>
        <w:rPr>
          <w:noProof/>
        </w:rPr>
      </w:pPr>
      <w:r w:rsidRPr="00EF5BA1">
        <w:rPr>
          <w:noProof/>
        </w:rPr>
        <w:t>84</w:t>
      </w:r>
      <w:r w:rsidRPr="00EF5BA1">
        <w:rPr>
          <w:noProof/>
        </w:rPr>
        <w:tab/>
        <w:t>Toner, B.</w:t>
      </w:r>
      <w:r w:rsidRPr="00EF5BA1">
        <w:rPr>
          <w:i/>
          <w:noProof/>
        </w:rPr>
        <w:t xml:space="preserve"> et al.</w:t>
      </w:r>
      <w:r w:rsidRPr="00EF5BA1">
        <w:rPr>
          <w:noProof/>
        </w:rPr>
        <w:t xml:space="preserve"> Preservation of iron (II) by carbon-rich matrices in a hydrothermal plume. </w:t>
      </w:r>
      <w:r w:rsidRPr="00EF5BA1">
        <w:rPr>
          <w:i/>
          <w:noProof/>
        </w:rPr>
        <w:t>Nature Geoscience</w:t>
      </w:r>
      <w:r w:rsidRPr="00EF5BA1">
        <w:rPr>
          <w:noProof/>
        </w:rPr>
        <w:t xml:space="preserve"> </w:t>
      </w:r>
      <w:r w:rsidRPr="00EF5BA1">
        <w:rPr>
          <w:b/>
          <w:noProof/>
        </w:rPr>
        <w:t>2</w:t>
      </w:r>
      <w:r w:rsidRPr="00EF5BA1">
        <w:rPr>
          <w:noProof/>
        </w:rPr>
        <w:t xml:space="preserve">, 197-201 (2009). </w:t>
      </w:r>
    </w:p>
    <w:p w14:paraId="3921559A" w14:textId="77777777" w:rsidR="007C424D" w:rsidRPr="00EF5BA1" w:rsidRDefault="007C424D" w:rsidP="00EF5BA1">
      <w:pPr>
        <w:pStyle w:val="EndNoteBibliography"/>
        <w:ind w:left="720" w:hanging="720"/>
        <w:rPr>
          <w:noProof/>
        </w:rPr>
      </w:pPr>
      <w:r w:rsidRPr="00EF5BA1">
        <w:rPr>
          <w:noProof/>
        </w:rPr>
        <w:t>85</w:t>
      </w:r>
      <w:r w:rsidRPr="00EF5BA1">
        <w:rPr>
          <w:noProof/>
        </w:rPr>
        <w:tab/>
        <w:t>Keiluweit, M.</w:t>
      </w:r>
      <w:r w:rsidRPr="00EF5BA1">
        <w:rPr>
          <w:i/>
          <w:noProof/>
        </w:rPr>
        <w:t xml:space="preserve"> et al.</w:t>
      </w:r>
      <w:r w:rsidRPr="00EF5BA1">
        <w:rPr>
          <w:noProof/>
        </w:rPr>
        <w:t xml:space="preserve"> Nano-scale investigation of the association of microbial nitrogen residues with iron (hydr) oxides in a forest soil O-horizon. </w:t>
      </w:r>
      <w:r w:rsidRPr="00EF5BA1">
        <w:rPr>
          <w:i/>
          <w:noProof/>
        </w:rPr>
        <w:t>Geochimica et Cosmochimica Acta</w:t>
      </w:r>
      <w:r w:rsidRPr="00EF5BA1">
        <w:rPr>
          <w:noProof/>
        </w:rPr>
        <w:t xml:space="preserve"> </w:t>
      </w:r>
      <w:r w:rsidRPr="00EF5BA1">
        <w:rPr>
          <w:b/>
          <w:noProof/>
        </w:rPr>
        <w:t>95</w:t>
      </w:r>
      <w:r w:rsidRPr="00EF5BA1">
        <w:rPr>
          <w:noProof/>
        </w:rPr>
        <w:t xml:space="preserve">, 213-226 (2012). </w:t>
      </w:r>
    </w:p>
    <w:p w14:paraId="4EDDBD40" w14:textId="77777777" w:rsidR="007C424D" w:rsidRPr="00EF5BA1" w:rsidRDefault="007C424D" w:rsidP="00EF5BA1">
      <w:pPr>
        <w:pStyle w:val="EndNoteBibliography"/>
        <w:ind w:left="720" w:hanging="720"/>
        <w:rPr>
          <w:noProof/>
        </w:rPr>
      </w:pPr>
      <w:r w:rsidRPr="00EF5BA1">
        <w:rPr>
          <w:noProof/>
        </w:rPr>
        <w:t>86</w:t>
      </w:r>
      <w:r w:rsidRPr="00EF5BA1">
        <w:rPr>
          <w:noProof/>
        </w:rPr>
        <w:tab/>
        <w:t>Leinweber, P.</w:t>
      </w:r>
      <w:r w:rsidRPr="00EF5BA1">
        <w:rPr>
          <w:i/>
          <w:noProof/>
        </w:rPr>
        <w:t xml:space="preserve"> et al.</w:t>
      </w:r>
      <w:r w:rsidRPr="00EF5BA1">
        <w:rPr>
          <w:noProof/>
        </w:rPr>
        <w:t xml:space="preserve"> Nitrogen K-edge XANES–an overview of reference compounds used to identifyunknown'organic nitrogen in environmental samples. </w:t>
      </w:r>
      <w:r w:rsidRPr="00EF5BA1">
        <w:rPr>
          <w:i/>
          <w:noProof/>
        </w:rPr>
        <w:t>Journal of synchrotron radiation</w:t>
      </w:r>
      <w:r w:rsidRPr="00EF5BA1">
        <w:rPr>
          <w:noProof/>
        </w:rPr>
        <w:t xml:space="preserve"> </w:t>
      </w:r>
      <w:r w:rsidRPr="00EF5BA1">
        <w:rPr>
          <w:b/>
          <w:noProof/>
        </w:rPr>
        <w:t>14</w:t>
      </w:r>
      <w:r w:rsidRPr="00EF5BA1">
        <w:rPr>
          <w:noProof/>
        </w:rPr>
        <w:t xml:space="preserve">, 500-511 (2007). </w:t>
      </w:r>
    </w:p>
    <w:p w14:paraId="2BB224F5" w14:textId="77777777" w:rsidR="007C424D" w:rsidRPr="00EF5BA1" w:rsidRDefault="007C424D" w:rsidP="00EF5BA1">
      <w:pPr>
        <w:pStyle w:val="EndNoteBibliography"/>
        <w:ind w:left="720" w:hanging="720"/>
        <w:rPr>
          <w:noProof/>
        </w:rPr>
      </w:pPr>
      <w:r w:rsidRPr="00EF5BA1">
        <w:rPr>
          <w:noProof/>
        </w:rPr>
        <w:t>87</w:t>
      </w:r>
      <w:r w:rsidRPr="00EF5BA1">
        <w:rPr>
          <w:noProof/>
        </w:rPr>
        <w:tab/>
        <w:t xml:space="preserve">Glasspool, I. &amp; Scott, A. Phanerozoic concentrations of atmospheric oxygen reconstructed from sedimentary charcoal. </w:t>
      </w:r>
      <w:r w:rsidRPr="00EF5BA1">
        <w:rPr>
          <w:i/>
          <w:noProof/>
        </w:rPr>
        <w:t>Nature Geoscience</w:t>
      </w:r>
      <w:r w:rsidRPr="00EF5BA1">
        <w:rPr>
          <w:noProof/>
        </w:rPr>
        <w:t xml:space="preserve"> </w:t>
      </w:r>
      <w:r w:rsidRPr="00EF5BA1">
        <w:rPr>
          <w:b/>
          <w:noProof/>
        </w:rPr>
        <w:t>3</w:t>
      </w:r>
      <w:r w:rsidRPr="00EF5BA1">
        <w:rPr>
          <w:noProof/>
        </w:rPr>
        <w:t xml:space="preserve">, 627-630 (2010). </w:t>
      </w:r>
    </w:p>
    <w:p w14:paraId="6C408346" w14:textId="77777777" w:rsidR="007C424D" w:rsidRPr="00EF5BA1" w:rsidRDefault="007C424D" w:rsidP="00EF5BA1">
      <w:pPr>
        <w:pStyle w:val="EndNoteBibliography"/>
        <w:ind w:left="720" w:hanging="720"/>
        <w:rPr>
          <w:noProof/>
        </w:rPr>
      </w:pPr>
      <w:r w:rsidRPr="00EF5BA1">
        <w:rPr>
          <w:noProof/>
        </w:rPr>
        <w:t>88</w:t>
      </w:r>
      <w:r w:rsidRPr="00EF5BA1">
        <w:rPr>
          <w:noProof/>
        </w:rPr>
        <w:tab/>
        <w:t xml:space="preserve">Scotese, C., Song, H., Mills, B. &amp; van der Meer, D. Phanerozoic paleotemperatures: The earth’s changing climate during the last 540 million years. </w:t>
      </w:r>
      <w:r w:rsidRPr="00EF5BA1">
        <w:rPr>
          <w:i/>
          <w:noProof/>
        </w:rPr>
        <w:t>Earth-Science Reviews</w:t>
      </w:r>
      <w:r w:rsidRPr="00EF5BA1">
        <w:rPr>
          <w:noProof/>
        </w:rPr>
        <w:t xml:space="preserve">, 103503 (2021). </w:t>
      </w:r>
    </w:p>
    <w:p w14:paraId="01F8FE15" w14:textId="77777777" w:rsidR="007C424D" w:rsidRPr="00EF5BA1" w:rsidRDefault="007C424D" w:rsidP="00EF5BA1">
      <w:pPr>
        <w:pStyle w:val="EndNoteBibliography"/>
        <w:ind w:left="720" w:hanging="720"/>
        <w:rPr>
          <w:noProof/>
        </w:rPr>
      </w:pPr>
      <w:r w:rsidRPr="00EF5BA1">
        <w:rPr>
          <w:noProof/>
        </w:rPr>
        <w:t>89</w:t>
      </w:r>
      <w:r w:rsidRPr="00EF5BA1">
        <w:rPr>
          <w:noProof/>
        </w:rPr>
        <w:tab/>
        <w:t xml:space="preserve">Cather, S., Dunbar, N., McDowell, F., McIntosh, W. &amp; Scholle, P. Climate forcing by iron fertilization from repeated ignimbrite eruptions: The icehouse–silicic large igneous province (SLIP) hypothesis. </w:t>
      </w:r>
      <w:r w:rsidRPr="00EF5BA1">
        <w:rPr>
          <w:i/>
          <w:noProof/>
        </w:rPr>
        <w:t>Geosphere</w:t>
      </w:r>
      <w:r w:rsidRPr="00EF5BA1">
        <w:rPr>
          <w:noProof/>
        </w:rPr>
        <w:t xml:space="preserve"> </w:t>
      </w:r>
      <w:r w:rsidRPr="00EF5BA1">
        <w:rPr>
          <w:b/>
          <w:noProof/>
        </w:rPr>
        <w:t>5</w:t>
      </w:r>
      <w:r w:rsidRPr="00EF5BA1">
        <w:rPr>
          <w:noProof/>
        </w:rPr>
        <w:t xml:space="preserve">, 315-324 (2009). </w:t>
      </w:r>
    </w:p>
    <w:p w14:paraId="4838239A" w14:textId="77777777" w:rsidR="007C424D" w:rsidRPr="00EF5BA1" w:rsidRDefault="007C424D" w:rsidP="00EF5BA1">
      <w:pPr>
        <w:pStyle w:val="EndNoteBibliography"/>
        <w:ind w:left="720" w:hanging="720"/>
        <w:rPr>
          <w:noProof/>
        </w:rPr>
      </w:pPr>
      <w:r w:rsidRPr="00EF5BA1">
        <w:rPr>
          <w:noProof/>
        </w:rPr>
        <w:t>90</w:t>
      </w:r>
      <w:r w:rsidRPr="00EF5BA1">
        <w:rPr>
          <w:noProof/>
        </w:rPr>
        <w:tab/>
        <w:t xml:space="preserve">Foster, G., Royer, D. &amp; Lunt, D. Future climate forcing potentially without precedent in the last 420 million years. </w:t>
      </w:r>
      <w:r w:rsidRPr="00EF5BA1">
        <w:rPr>
          <w:i/>
          <w:noProof/>
        </w:rPr>
        <w:t>Nature communications</w:t>
      </w:r>
      <w:r w:rsidRPr="00EF5BA1">
        <w:rPr>
          <w:noProof/>
        </w:rPr>
        <w:t xml:space="preserve"> </w:t>
      </w:r>
      <w:r w:rsidRPr="00EF5BA1">
        <w:rPr>
          <w:b/>
          <w:noProof/>
        </w:rPr>
        <w:t>8</w:t>
      </w:r>
      <w:r w:rsidRPr="00EF5BA1">
        <w:rPr>
          <w:noProof/>
        </w:rPr>
        <w:t xml:space="preserve">, 1-8 (2017). </w:t>
      </w:r>
    </w:p>
    <w:p w14:paraId="2CBA98BA" w14:textId="77777777" w:rsidR="007C424D" w:rsidRPr="00EF5BA1" w:rsidRDefault="007C424D" w:rsidP="00EF5BA1">
      <w:pPr>
        <w:pStyle w:val="EndNoteBibliography"/>
        <w:ind w:left="720" w:hanging="720"/>
        <w:rPr>
          <w:noProof/>
        </w:rPr>
      </w:pPr>
      <w:r w:rsidRPr="00EF5BA1">
        <w:rPr>
          <w:noProof/>
        </w:rPr>
        <w:t>91</w:t>
      </w:r>
      <w:r w:rsidRPr="00EF5BA1">
        <w:rPr>
          <w:noProof/>
        </w:rPr>
        <w:tab/>
        <w:t xml:space="preserve">Witkowski, C., Weijers, J., Blais, B., Schouten, S. &amp; Damsté, J. Molecular fossils from phytoplankton reveal secular PCO2 trend over the Phanerozoic. </w:t>
      </w:r>
      <w:r w:rsidRPr="00EF5BA1">
        <w:rPr>
          <w:i/>
          <w:noProof/>
        </w:rPr>
        <w:t>Science advances</w:t>
      </w:r>
      <w:r w:rsidRPr="00EF5BA1">
        <w:rPr>
          <w:noProof/>
        </w:rPr>
        <w:t xml:space="preserve"> </w:t>
      </w:r>
      <w:r w:rsidRPr="00EF5BA1">
        <w:rPr>
          <w:b/>
          <w:noProof/>
        </w:rPr>
        <w:t>4</w:t>
      </w:r>
      <w:r w:rsidRPr="00EF5BA1">
        <w:rPr>
          <w:noProof/>
        </w:rPr>
        <w:t xml:space="preserve">, eaat4556 (2018). </w:t>
      </w:r>
    </w:p>
    <w:p w14:paraId="0D81D085" w14:textId="77777777" w:rsidR="007C424D" w:rsidRPr="00CD16BA" w:rsidRDefault="007C424D"/>
    <w:p w14:paraId="48293397" w14:textId="77777777" w:rsidR="00B73610" w:rsidRDefault="00000000"/>
    <w:sectPr w:rsidR="00B73610" w:rsidSect="007C424D">
      <w:pgSz w:w="11901" w:h="16840"/>
      <w:pgMar w:top="873" w:right="1440" w:bottom="374" w:left="1225"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54929"/>
    <w:multiLevelType w:val="hybridMultilevel"/>
    <w:tmpl w:val="DFCC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0B7FD3"/>
    <w:multiLevelType w:val="hybridMultilevel"/>
    <w:tmpl w:val="32FC75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2E2890"/>
    <w:multiLevelType w:val="hybridMultilevel"/>
    <w:tmpl w:val="D38C5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2D7A68"/>
    <w:multiLevelType w:val="hybridMultilevel"/>
    <w:tmpl w:val="BE684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0C6141"/>
    <w:multiLevelType w:val="hybridMultilevel"/>
    <w:tmpl w:val="F0FE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D24829"/>
    <w:multiLevelType w:val="hybridMultilevel"/>
    <w:tmpl w:val="1972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0526108">
    <w:abstractNumId w:val="3"/>
  </w:num>
  <w:num w:numId="2" w16cid:durableId="156697255">
    <w:abstractNumId w:val="1"/>
  </w:num>
  <w:num w:numId="3" w16cid:durableId="2000648939">
    <w:abstractNumId w:val="2"/>
  </w:num>
  <w:num w:numId="4" w16cid:durableId="1856378009">
    <w:abstractNumId w:val="0"/>
  </w:num>
  <w:num w:numId="5" w16cid:durableId="1713337874">
    <w:abstractNumId w:val="5"/>
  </w:num>
  <w:num w:numId="6" w16cid:durableId="1828278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C424D"/>
    <w:rsid w:val="00004949"/>
    <w:rsid w:val="00005C0A"/>
    <w:rsid w:val="000144A2"/>
    <w:rsid w:val="00017242"/>
    <w:rsid w:val="0004008E"/>
    <w:rsid w:val="00045C75"/>
    <w:rsid w:val="00045E2B"/>
    <w:rsid w:val="00050DFD"/>
    <w:rsid w:val="00055E38"/>
    <w:rsid w:val="0005770B"/>
    <w:rsid w:val="00060B1B"/>
    <w:rsid w:val="00063DDE"/>
    <w:rsid w:val="00064C9C"/>
    <w:rsid w:val="00070F0B"/>
    <w:rsid w:val="00075448"/>
    <w:rsid w:val="00081564"/>
    <w:rsid w:val="000825A8"/>
    <w:rsid w:val="00086282"/>
    <w:rsid w:val="00086F01"/>
    <w:rsid w:val="000A2A93"/>
    <w:rsid w:val="000B0E87"/>
    <w:rsid w:val="000B45CE"/>
    <w:rsid w:val="000B4C50"/>
    <w:rsid w:val="000B5F8B"/>
    <w:rsid w:val="000B7B0E"/>
    <w:rsid w:val="000C0B6A"/>
    <w:rsid w:val="000C5D97"/>
    <w:rsid w:val="000D7E67"/>
    <w:rsid w:val="000E7A42"/>
    <w:rsid w:val="000F6281"/>
    <w:rsid w:val="000F638D"/>
    <w:rsid w:val="000F63D8"/>
    <w:rsid w:val="00100D8C"/>
    <w:rsid w:val="00103808"/>
    <w:rsid w:val="00111FA7"/>
    <w:rsid w:val="00113CFD"/>
    <w:rsid w:val="001233BF"/>
    <w:rsid w:val="00132CBD"/>
    <w:rsid w:val="001372CD"/>
    <w:rsid w:val="00140CF6"/>
    <w:rsid w:val="0015079A"/>
    <w:rsid w:val="00151963"/>
    <w:rsid w:val="00153087"/>
    <w:rsid w:val="00153422"/>
    <w:rsid w:val="00154199"/>
    <w:rsid w:val="0015468A"/>
    <w:rsid w:val="00154C7A"/>
    <w:rsid w:val="00157B02"/>
    <w:rsid w:val="00165FB0"/>
    <w:rsid w:val="00172BBF"/>
    <w:rsid w:val="0017506A"/>
    <w:rsid w:val="00175610"/>
    <w:rsid w:val="00177A8C"/>
    <w:rsid w:val="001844C3"/>
    <w:rsid w:val="00184C2F"/>
    <w:rsid w:val="00191663"/>
    <w:rsid w:val="001953AD"/>
    <w:rsid w:val="00197E9D"/>
    <w:rsid w:val="001A0D16"/>
    <w:rsid w:val="001A226C"/>
    <w:rsid w:val="001B0A72"/>
    <w:rsid w:val="001C4D7A"/>
    <w:rsid w:val="001D1992"/>
    <w:rsid w:val="001D4573"/>
    <w:rsid w:val="001D772A"/>
    <w:rsid w:val="001E66A9"/>
    <w:rsid w:val="001E737C"/>
    <w:rsid w:val="001F1A3D"/>
    <w:rsid w:val="001F26DC"/>
    <w:rsid w:val="001F57D0"/>
    <w:rsid w:val="001F6DC7"/>
    <w:rsid w:val="002017F4"/>
    <w:rsid w:val="0021216E"/>
    <w:rsid w:val="00232634"/>
    <w:rsid w:val="00234760"/>
    <w:rsid w:val="00244E67"/>
    <w:rsid w:val="00245C2F"/>
    <w:rsid w:val="002466C8"/>
    <w:rsid w:val="002542FC"/>
    <w:rsid w:val="002618D8"/>
    <w:rsid w:val="00261CD5"/>
    <w:rsid w:val="00272FBC"/>
    <w:rsid w:val="00273BAE"/>
    <w:rsid w:val="00290A07"/>
    <w:rsid w:val="0029135E"/>
    <w:rsid w:val="002B365A"/>
    <w:rsid w:val="002B4866"/>
    <w:rsid w:val="002D0E73"/>
    <w:rsid w:val="002E7FE6"/>
    <w:rsid w:val="002F3CF5"/>
    <w:rsid w:val="00304DC0"/>
    <w:rsid w:val="003102B5"/>
    <w:rsid w:val="0031085F"/>
    <w:rsid w:val="00311A43"/>
    <w:rsid w:val="0031223F"/>
    <w:rsid w:val="003150F3"/>
    <w:rsid w:val="00315D6F"/>
    <w:rsid w:val="0031642B"/>
    <w:rsid w:val="003200BD"/>
    <w:rsid w:val="00323396"/>
    <w:rsid w:val="00323CC7"/>
    <w:rsid w:val="003251AE"/>
    <w:rsid w:val="003356F0"/>
    <w:rsid w:val="00342F55"/>
    <w:rsid w:val="003564B6"/>
    <w:rsid w:val="00360CC0"/>
    <w:rsid w:val="003626C8"/>
    <w:rsid w:val="003701D2"/>
    <w:rsid w:val="00384B00"/>
    <w:rsid w:val="00390B42"/>
    <w:rsid w:val="0039246F"/>
    <w:rsid w:val="00393E97"/>
    <w:rsid w:val="0039569E"/>
    <w:rsid w:val="0039741B"/>
    <w:rsid w:val="003D0D4A"/>
    <w:rsid w:val="003D1F96"/>
    <w:rsid w:val="003D72F1"/>
    <w:rsid w:val="003E6457"/>
    <w:rsid w:val="003F1B44"/>
    <w:rsid w:val="003F37B4"/>
    <w:rsid w:val="003F73FD"/>
    <w:rsid w:val="00407AC0"/>
    <w:rsid w:val="00407C6E"/>
    <w:rsid w:val="004142CF"/>
    <w:rsid w:val="004225B6"/>
    <w:rsid w:val="00422D5F"/>
    <w:rsid w:val="004254B7"/>
    <w:rsid w:val="00427BD5"/>
    <w:rsid w:val="00434295"/>
    <w:rsid w:val="0044318F"/>
    <w:rsid w:val="00444064"/>
    <w:rsid w:val="004504AB"/>
    <w:rsid w:val="004571CA"/>
    <w:rsid w:val="00462527"/>
    <w:rsid w:val="00473C3C"/>
    <w:rsid w:val="00492B6A"/>
    <w:rsid w:val="0049503B"/>
    <w:rsid w:val="00496BAF"/>
    <w:rsid w:val="004A2D83"/>
    <w:rsid w:val="004A5044"/>
    <w:rsid w:val="004B05C9"/>
    <w:rsid w:val="004C27C7"/>
    <w:rsid w:val="004C400F"/>
    <w:rsid w:val="004C73E3"/>
    <w:rsid w:val="004D0A38"/>
    <w:rsid w:val="004D5172"/>
    <w:rsid w:val="004E023D"/>
    <w:rsid w:val="004E2ED9"/>
    <w:rsid w:val="004E693A"/>
    <w:rsid w:val="004E7831"/>
    <w:rsid w:val="004F075D"/>
    <w:rsid w:val="004F1AEA"/>
    <w:rsid w:val="004F6685"/>
    <w:rsid w:val="004F6922"/>
    <w:rsid w:val="00511F1E"/>
    <w:rsid w:val="00512926"/>
    <w:rsid w:val="00513CE1"/>
    <w:rsid w:val="00530798"/>
    <w:rsid w:val="00533166"/>
    <w:rsid w:val="005367BA"/>
    <w:rsid w:val="005368F2"/>
    <w:rsid w:val="00540F3D"/>
    <w:rsid w:val="00550946"/>
    <w:rsid w:val="00550D9F"/>
    <w:rsid w:val="005540DF"/>
    <w:rsid w:val="005545E4"/>
    <w:rsid w:val="00555F67"/>
    <w:rsid w:val="00557168"/>
    <w:rsid w:val="00566593"/>
    <w:rsid w:val="00570FC9"/>
    <w:rsid w:val="00572770"/>
    <w:rsid w:val="005834FA"/>
    <w:rsid w:val="0059353F"/>
    <w:rsid w:val="005B1488"/>
    <w:rsid w:val="005B7B3B"/>
    <w:rsid w:val="005C1E32"/>
    <w:rsid w:val="005C31C4"/>
    <w:rsid w:val="005C78FC"/>
    <w:rsid w:val="005D0D59"/>
    <w:rsid w:val="005D3AD1"/>
    <w:rsid w:val="005E28F1"/>
    <w:rsid w:val="005E4241"/>
    <w:rsid w:val="005F24E0"/>
    <w:rsid w:val="005F35B0"/>
    <w:rsid w:val="0060669B"/>
    <w:rsid w:val="00610FAD"/>
    <w:rsid w:val="00612793"/>
    <w:rsid w:val="006456CC"/>
    <w:rsid w:val="00646FC6"/>
    <w:rsid w:val="006521BA"/>
    <w:rsid w:val="0066049B"/>
    <w:rsid w:val="0066234C"/>
    <w:rsid w:val="00663D06"/>
    <w:rsid w:val="00666A0F"/>
    <w:rsid w:val="00667057"/>
    <w:rsid w:val="00692B4D"/>
    <w:rsid w:val="006939A2"/>
    <w:rsid w:val="006A0A56"/>
    <w:rsid w:val="006A2821"/>
    <w:rsid w:val="006B202E"/>
    <w:rsid w:val="006B2F01"/>
    <w:rsid w:val="006C1B69"/>
    <w:rsid w:val="006D4A12"/>
    <w:rsid w:val="006E4478"/>
    <w:rsid w:val="00700519"/>
    <w:rsid w:val="00703259"/>
    <w:rsid w:val="00710313"/>
    <w:rsid w:val="00717285"/>
    <w:rsid w:val="00724671"/>
    <w:rsid w:val="00724815"/>
    <w:rsid w:val="007272EE"/>
    <w:rsid w:val="0073037C"/>
    <w:rsid w:val="00730900"/>
    <w:rsid w:val="00731354"/>
    <w:rsid w:val="00731846"/>
    <w:rsid w:val="00735510"/>
    <w:rsid w:val="00742175"/>
    <w:rsid w:val="00752390"/>
    <w:rsid w:val="007672D8"/>
    <w:rsid w:val="007679AA"/>
    <w:rsid w:val="007728FD"/>
    <w:rsid w:val="007769B2"/>
    <w:rsid w:val="007936D7"/>
    <w:rsid w:val="00793AE5"/>
    <w:rsid w:val="007A7EB6"/>
    <w:rsid w:val="007B6D48"/>
    <w:rsid w:val="007C09B0"/>
    <w:rsid w:val="007C424D"/>
    <w:rsid w:val="007D236C"/>
    <w:rsid w:val="007D5185"/>
    <w:rsid w:val="007E38F3"/>
    <w:rsid w:val="007E53C3"/>
    <w:rsid w:val="007E5BDA"/>
    <w:rsid w:val="007E6822"/>
    <w:rsid w:val="00804074"/>
    <w:rsid w:val="0081064A"/>
    <w:rsid w:val="0081146B"/>
    <w:rsid w:val="008151EA"/>
    <w:rsid w:val="00815384"/>
    <w:rsid w:val="00817249"/>
    <w:rsid w:val="008220EA"/>
    <w:rsid w:val="008233B9"/>
    <w:rsid w:val="00824A97"/>
    <w:rsid w:val="00830D86"/>
    <w:rsid w:val="00833AD1"/>
    <w:rsid w:val="0083479B"/>
    <w:rsid w:val="008364A1"/>
    <w:rsid w:val="0083707B"/>
    <w:rsid w:val="00842A7F"/>
    <w:rsid w:val="00843AB6"/>
    <w:rsid w:val="00847454"/>
    <w:rsid w:val="00852858"/>
    <w:rsid w:val="00853BFA"/>
    <w:rsid w:val="00866BB8"/>
    <w:rsid w:val="00885763"/>
    <w:rsid w:val="008942C5"/>
    <w:rsid w:val="0089769D"/>
    <w:rsid w:val="008A045F"/>
    <w:rsid w:val="008B1F9E"/>
    <w:rsid w:val="008B4A48"/>
    <w:rsid w:val="008B53C3"/>
    <w:rsid w:val="008C10D5"/>
    <w:rsid w:val="008C1832"/>
    <w:rsid w:val="008C7009"/>
    <w:rsid w:val="008F1D87"/>
    <w:rsid w:val="008F64AB"/>
    <w:rsid w:val="00901072"/>
    <w:rsid w:val="009036C0"/>
    <w:rsid w:val="009065F1"/>
    <w:rsid w:val="00916844"/>
    <w:rsid w:val="0092254D"/>
    <w:rsid w:val="009320A8"/>
    <w:rsid w:val="00932E6D"/>
    <w:rsid w:val="00934499"/>
    <w:rsid w:val="0095344B"/>
    <w:rsid w:val="009543A8"/>
    <w:rsid w:val="0095515F"/>
    <w:rsid w:val="00963C8E"/>
    <w:rsid w:val="00966492"/>
    <w:rsid w:val="00990258"/>
    <w:rsid w:val="00993CD3"/>
    <w:rsid w:val="00995276"/>
    <w:rsid w:val="00996E27"/>
    <w:rsid w:val="009A2696"/>
    <w:rsid w:val="009B42F1"/>
    <w:rsid w:val="009B5692"/>
    <w:rsid w:val="009C5F49"/>
    <w:rsid w:val="009C6F8F"/>
    <w:rsid w:val="009D30E0"/>
    <w:rsid w:val="009F1C8E"/>
    <w:rsid w:val="00A23021"/>
    <w:rsid w:val="00A25042"/>
    <w:rsid w:val="00A43941"/>
    <w:rsid w:val="00A6152A"/>
    <w:rsid w:val="00A66495"/>
    <w:rsid w:val="00A84BF4"/>
    <w:rsid w:val="00A975F8"/>
    <w:rsid w:val="00AB7E37"/>
    <w:rsid w:val="00AC6587"/>
    <w:rsid w:val="00AD0936"/>
    <w:rsid w:val="00B24F5F"/>
    <w:rsid w:val="00B301FC"/>
    <w:rsid w:val="00B33666"/>
    <w:rsid w:val="00B374C6"/>
    <w:rsid w:val="00B41CAE"/>
    <w:rsid w:val="00B436DE"/>
    <w:rsid w:val="00B479A6"/>
    <w:rsid w:val="00B7233C"/>
    <w:rsid w:val="00B86C6F"/>
    <w:rsid w:val="00B86ED3"/>
    <w:rsid w:val="00B95EA2"/>
    <w:rsid w:val="00BC29D0"/>
    <w:rsid w:val="00BC394D"/>
    <w:rsid w:val="00BC6116"/>
    <w:rsid w:val="00BD5D09"/>
    <w:rsid w:val="00BF30F8"/>
    <w:rsid w:val="00BF5237"/>
    <w:rsid w:val="00BF6471"/>
    <w:rsid w:val="00C01A44"/>
    <w:rsid w:val="00C07D4C"/>
    <w:rsid w:val="00C1000F"/>
    <w:rsid w:val="00C110F1"/>
    <w:rsid w:val="00C111EA"/>
    <w:rsid w:val="00C15A31"/>
    <w:rsid w:val="00C168B2"/>
    <w:rsid w:val="00C16BF1"/>
    <w:rsid w:val="00C20734"/>
    <w:rsid w:val="00C30BD2"/>
    <w:rsid w:val="00C322A9"/>
    <w:rsid w:val="00C3384F"/>
    <w:rsid w:val="00C42BCA"/>
    <w:rsid w:val="00C43D90"/>
    <w:rsid w:val="00C457B1"/>
    <w:rsid w:val="00C47C28"/>
    <w:rsid w:val="00C51345"/>
    <w:rsid w:val="00C54BEA"/>
    <w:rsid w:val="00C65BAA"/>
    <w:rsid w:val="00C66377"/>
    <w:rsid w:val="00C7388C"/>
    <w:rsid w:val="00C84E5C"/>
    <w:rsid w:val="00C941E0"/>
    <w:rsid w:val="00C95519"/>
    <w:rsid w:val="00CB0224"/>
    <w:rsid w:val="00CB2E29"/>
    <w:rsid w:val="00CB6299"/>
    <w:rsid w:val="00CC51F7"/>
    <w:rsid w:val="00CC7277"/>
    <w:rsid w:val="00CD2120"/>
    <w:rsid w:val="00CF3D01"/>
    <w:rsid w:val="00CF4A1B"/>
    <w:rsid w:val="00CF4BB4"/>
    <w:rsid w:val="00CF72AA"/>
    <w:rsid w:val="00D01E5D"/>
    <w:rsid w:val="00D1195B"/>
    <w:rsid w:val="00D134AC"/>
    <w:rsid w:val="00D3378D"/>
    <w:rsid w:val="00D34B9E"/>
    <w:rsid w:val="00D40ECA"/>
    <w:rsid w:val="00D51623"/>
    <w:rsid w:val="00D577A1"/>
    <w:rsid w:val="00D67A11"/>
    <w:rsid w:val="00D71FF1"/>
    <w:rsid w:val="00D72F79"/>
    <w:rsid w:val="00D7455B"/>
    <w:rsid w:val="00D90987"/>
    <w:rsid w:val="00D9766F"/>
    <w:rsid w:val="00DA23F5"/>
    <w:rsid w:val="00DA4B91"/>
    <w:rsid w:val="00DA600A"/>
    <w:rsid w:val="00DC13C4"/>
    <w:rsid w:val="00DD0B77"/>
    <w:rsid w:val="00DD319B"/>
    <w:rsid w:val="00DE0F12"/>
    <w:rsid w:val="00DE2E37"/>
    <w:rsid w:val="00DF25FF"/>
    <w:rsid w:val="00DF5DF6"/>
    <w:rsid w:val="00DF7FC9"/>
    <w:rsid w:val="00E04A12"/>
    <w:rsid w:val="00E255B0"/>
    <w:rsid w:val="00E3219D"/>
    <w:rsid w:val="00E36D36"/>
    <w:rsid w:val="00E44784"/>
    <w:rsid w:val="00E46B69"/>
    <w:rsid w:val="00E53210"/>
    <w:rsid w:val="00E638D3"/>
    <w:rsid w:val="00E7575D"/>
    <w:rsid w:val="00E76CA0"/>
    <w:rsid w:val="00E77299"/>
    <w:rsid w:val="00E91C48"/>
    <w:rsid w:val="00E96208"/>
    <w:rsid w:val="00E976AA"/>
    <w:rsid w:val="00E97B96"/>
    <w:rsid w:val="00EA06E6"/>
    <w:rsid w:val="00EA2570"/>
    <w:rsid w:val="00EB1A3F"/>
    <w:rsid w:val="00EC2414"/>
    <w:rsid w:val="00EC3B5E"/>
    <w:rsid w:val="00EC4566"/>
    <w:rsid w:val="00ED10CD"/>
    <w:rsid w:val="00EE1969"/>
    <w:rsid w:val="00EE2D3D"/>
    <w:rsid w:val="00EE3C6F"/>
    <w:rsid w:val="00EE54DA"/>
    <w:rsid w:val="00EE57C0"/>
    <w:rsid w:val="00EE76B8"/>
    <w:rsid w:val="00EF6E8B"/>
    <w:rsid w:val="00EF72BB"/>
    <w:rsid w:val="00F006D7"/>
    <w:rsid w:val="00F15D0F"/>
    <w:rsid w:val="00F164D4"/>
    <w:rsid w:val="00F21F28"/>
    <w:rsid w:val="00F26C66"/>
    <w:rsid w:val="00F3012F"/>
    <w:rsid w:val="00F30A24"/>
    <w:rsid w:val="00F3647E"/>
    <w:rsid w:val="00F41835"/>
    <w:rsid w:val="00F43371"/>
    <w:rsid w:val="00F51842"/>
    <w:rsid w:val="00F54010"/>
    <w:rsid w:val="00F61812"/>
    <w:rsid w:val="00F61F9F"/>
    <w:rsid w:val="00F62994"/>
    <w:rsid w:val="00F642C7"/>
    <w:rsid w:val="00F657B2"/>
    <w:rsid w:val="00F816E2"/>
    <w:rsid w:val="00F820A2"/>
    <w:rsid w:val="00F85D4D"/>
    <w:rsid w:val="00FA4827"/>
    <w:rsid w:val="00FA63EE"/>
    <w:rsid w:val="00FE2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40134AC"/>
  <w15:chartTrackingRefBased/>
  <w15:docId w15:val="{497FFF84-1017-0144-835F-78AFCDE8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24D"/>
    <w:rPr>
      <w:kern w:val="0"/>
      <w14:ligatures w14:val="none"/>
    </w:rPr>
  </w:style>
  <w:style w:type="paragraph" w:styleId="Heading1">
    <w:name w:val="heading 1"/>
    <w:basedOn w:val="Normal"/>
    <w:link w:val="Heading1Char"/>
    <w:uiPriority w:val="9"/>
    <w:qFormat/>
    <w:rsid w:val="007C424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C424D"/>
    <w:pPr>
      <w:keepNext/>
      <w:keepLines/>
      <w:spacing w:before="200"/>
      <w:outlineLvl w:val="1"/>
    </w:pPr>
    <w:rPr>
      <w:rFonts w:asciiTheme="majorHAnsi" w:eastAsiaTheme="majorEastAsia" w:hAnsiTheme="majorHAnsi" w:cstheme="majorBidi"/>
      <w:b/>
      <w:bCs/>
      <w:color w:val="4472C4"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2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424D"/>
    <w:rPr>
      <w:rFonts w:ascii="Times New Roman" w:hAnsi="Times New Roman" w:cs="Times New Roman"/>
      <w:kern w:val="0"/>
      <w:sz w:val="18"/>
      <w:szCs w:val="18"/>
      <w14:ligatures w14:val="none"/>
    </w:rPr>
  </w:style>
  <w:style w:type="character" w:customStyle="1" w:styleId="Heading1Char">
    <w:name w:val="Heading 1 Char"/>
    <w:basedOn w:val="DefaultParagraphFont"/>
    <w:link w:val="Heading1"/>
    <w:uiPriority w:val="9"/>
    <w:rsid w:val="007C424D"/>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semiHidden/>
    <w:rsid w:val="007C424D"/>
    <w:rPr>
      <w:rFonts w:asciiTheme="majorHAnsi" w:eastAsiaTheme="majorEastAsia" w:hAnsiTheme="majorHAnsi" w:cstheme="majorBidi"/>
      <w:b/>
      <w:bCs/>
      <w:color w:val="4472C4" w:themeColor="accent1"/>
      <w:kern w:val="0"/>
      <w:sz w:val="26"/>
      <w:szCs w:val="26"/>
      <w:lang w:val="en-US"/>
      <w14:ligatures w14:val="none"/>
    </w:rPr>
  </w:style>
  <w:style w:type="paragraph" w:styleId="ListParagraph">
    <w:name w:val="List Paragraph"/>
    <w:basedOn w:val="Normal"/>
    <w:uiPriority w:val="34"/>
    <w:qFormat/>
    <w:rsid w:val="007C424D"/>
    <w:pPr>
      <w:ind w:left="720"/>
      <w:contextualSpacing/>
    </w:pPr>
  </w:style>
  <w:style w:type="character" w:styleId="CommentReference">
    <w:name w:val="annotation reference"/>
    <w:basedOn w:val="DefaultParagraphFont"/>
    <w:uiPriority w:val="99"/>
    <w:semiHidden/>
    <w:unhideWhenUsed/>
    <w:rsid w:val="007C424D"/>
    <w:rPr>
      <w:sz w:val="16"/>
      <w:szCs w:val="16"/>
    </w:rPr>
  </w:style>
  <w:style w:type="paragraph" w:styleId="CommentText">
    <w:name w:val="annotation text"/>
    <w:basedOn w:val="Normal"/>
    <w:link w:val="CommentTextChar"/>
    <w:uiPriority w:val="99"/>
    <w:unhideWhenUsed/>
    <w:rsid w:val="007C424D"/>
    <w:rPr>
      <w:sz w:val="20"/>
      <w:szCs w:val="20"/>
    </w:rPr>
  </w:style>
  <w:style w:type="character" w:customStyle="1" w:styleId="CommentTextChar">
    <w:name w:val="Comment Text Char"/>
    <w:basedOn w:val="DefaultParagraphFont"/>
    <w:link w:val="CommentText"/>
    <w:uiPriority w:val="99"/>
    <w:rsid w:val="007C424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C424D"/>
    <w:rPr>
      <w:b/>
      <w:bCs/>
    </w:rPr>
  </w:style>
  <w:style w:type="character" w:customStyle="1" w:styleId="CommentSubjectChar">
    <w:name w:val="Comment Subject Char"/>
    <w:basedOn w:val="CommentTextChar"/>
    <w:link w:val="CommentSubject"/>
    <w:uiPriority w:val="99"/>
    <w:semiHidden/>
    <w:rsid w:val="007C424D"/>
    <w:rPr>
      <w:b/>
      <w:bCs/>
      <w:kern w:val="0"/>
      <w:sz w:val="20"/>
      <w:szCs w:val="20"/>
      <w14:ligatures w14:val="none"/>
    </w:rPr>
  </w:style>
  <w:style w:type="paragraph" w:customStyle="1" w:styleId="EndNoteBibliographyTitle">
    <w:name w:val="EndNote Bibliography Title"/>
    <w:basedOn w:val="Normal"/>
    <w:link w:val="EndNoteBibliographyTitleChar"/>
    <w:rsid w:val="007C424D"/>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7C424D"/>
    <w:rPr>
      <w:rFonts w:ascii="Calibri" w:hAnsi="Calibri" w:cs="Calibri"/>
      <w:kern w:val="0"/>
      <w:lang w:val="en-US"/>
      <w14:ligatures w14:val="none"/>
    </w:rPr>
  </w:style>
  <w:style w:type="paragraph" w:customStyle="1" w:styleId="EndNoteBibliography">
    <w:name w:val="EndNote Bibliography"/>
    <w:basedOn w:val="Normal"/>
    <w:link w:val="EndNoteBibliographyChar"/>
    <w:rsid w:val="007C424D"/>
    <w:rPr>
      <w:rFonts w:ascii="Calibri" w:hAnsi="Calibri" w:cs="Calibri"/>
      <w:lang w:val="en-US"/>
    </w:rPr>
  </w:style>
  <w:style w:type="character" w:customStyle="1" w:styleId="EndNoteBibliographyChar">
    <w:name w:val="EndNote Bibliography Char"/>
    <w:basedOn w:val="DefaultParagraphFont"/>
    <w:link w:val="EndNoteBibliography"/>
    <w:rsid w:val="007C424D"/>
    <w:rPr>
      <w:rFonts w:ascii="Calibri" w:hAnsi="Calibri" w:cs="Calibri"/>
      <w:kern w:val="0"/>
      <w:lang w:val="en-US"/>
      <w14:ligatures w14:val="none"/>
    </w:rPr>
  </w:style>
  <w:style w:type="table" w:styleId="TableGrid">
    <w:name w:val="Table Grid"/>
    <w:basedOn w:val="TableNormal"/>
    <w:uiPriority w:val="39"/>
    <w:rsid w:val="007C424D"/>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7C424D"/>
  </w:style>
  <w:style w:type="paragraph" w:styleId="Revision">
    <w:name w:val="Revision"/>
    <w:hidden/>
    <w:uiPriority w:val="99"/>
    <w:semiHidden/>
    <w:rsid w:val="007C424D"/>
    <w:rPr>
      <w:kern w:val="0"/>
      <w14:ligatures w14:val="none"/>
    </w:rPr>
  </w:style>
  <w:style w:type="character" w:styleId="Hyperlink">
    <w:name w:val="Hyperlink"/>
    <w:basedOn w:val="DefaultParagraphFont"/>
    <w:uiPriority w:val="99"/>
    <w:unhideWhenUsed/>
    <w:rsid w:val="007C424D"/>
    <w:rPr>
      <w:color w:val="0563C1" w:themeColor="hyperlink"/>
      <w:u w:val="single"/>
    </w:rPr>
  </w:style>
  <w:style w:type="character" w:customStyle="1" w:styleId="mark3ri8qjsk0">
    <w:name w:val="mark3ri8qjsk0"/>
    <w:basedOn w:val="DefaultParagraphFont"/>
    <w:rsid w:val="007C424D"/>
  </w:style>
  <w:style w:type="character" w:styleId="PlaceholderText">
    <w:name w:val="Placeholder Text"/>
    <w:basedOn w:val="DefaultParagraphFont"/>
    <w:uiPriority w:val="99"/>
    <w:semiHidden/>
    <w:rsid w:val="007C424D"/>
    <w:rPr>
      <w:color w:val="808080"/>
    </w:rPr>
  </w:style>
  <w:style w:type="character" w:styleId="LineNumber">
    <w:name w:val="line number"/>
    <w:basedOn w:val="DefaultParagraphFont"/>
    <w:uiPriority w:val="99"/>
    <w:semiHidden/>
    <w:unhideWhenUsed/>
    <w:rsid w:val="007C424D"/>
  </w:style>
  <w:style w:type="paragraph" w:customStyle="1" w:styleId="Paragraph">
    <w:name w:val="Paragraph"/>
    <w:basedOn w:val="Normal"/>
    <w:rsid w:val="007C424D"/>
    <w:pPr>
      <w:spacing w:before="120"/>
      <w:ind w:firstLine="720"/>
    </w:pPr>
    <w:rPr>
      <w:rFonts w:ascii="Times New Roman" w:eastAsia="Times New Roman" w:hAnsi="Times New Roman" w:cs="Times New Roman"/>
      <w:lang w:val="en-US"/>
    </w:rPr>
  </w:style>
  <w:style w:type="character" w:customStyle="1" w:styleId="UnresolvedMention1">
    <w:name w:val="Unresolved Mention1"/>
    <w:basedOn w:val="DefaultParagraphFont"/>
    <w:uiPriority w:val="99"/>
    <w:semiHidden/>
    <w:unhideWhenUsed/>
    <w:rsid w:val="007C424D"/>
    <w:rPr>
      <w:color w:val="605E5C"/>
      <w:shd w:val="clear" w:color="auto" w:fill="E1DFDD"/>
    </w:rPr>
  </w:style>
  <w:style w:type="character" w:styleId="FollowedHyperlink">
    <w:name w:val="FollowedHyperlink"/>
    <w:basedOn w:val="DefaultParagraphFont"/>
    <w:uiPriority w:val="99"/>
    <w:semiHidden/>
    <w:unhideWhenUsed/>
    <w:rsid w:val="007C424D"/>
    <w:rPr>
      <w:color w:val="954F72" w:themeColor="followedHyperlink"/>
      <w:u w:val="single"/>
    </w:rPr>
  </w:style>
  <w:style w:type="character" w:customStyle="1" w:styleId="u-small-caps">
    <w:name w:val="u-small-caps"/>
    <w:basedOn w:val="DefaultParagraphFont"/>
    <w:rsid w:val="007C424D"/>
  </w:style>
  <w:style w:type="character" w:styleId="UnresolvedMention">
    <w:name w:val="Unresolved Mention"/>
    <w:basedOn w:val="DefaultParagraphFont"/>
    <w:uiPriority w:val="99"/>
    <w:semiHidden/>
    <w:unhideWhenUsed/>
    <w:rsid w:val="007C424D"/>
    <w:rPr>
      <w:color w:val="605E5C"/>
      <w:shd w:val="clear" w:color="auto" w:fill="E1DFDD"/>
    </w:rPr>
  </w:style>
  <w:style w:type="paragraph" w:styleId="EndnoteText">
    <w:name w:val="endnote text"/>
    <w:basedOn w:val="Normal"/>
    <w:link w:val="EndnoteTextChar"/>
    <w:uiPriority w:val="99"/>
    <w:semiHidden/>
    <w:unhideWhenUsed/>
    <w:rsid w:val="007C424D"/>
    <w:rPr>
      <w:sz w:val="20"/>
      <w:szCs w:val="20"/>
    </w:rPr>
  </w:style>
  <w:style w:type="character" w:customStyle="1" w:styleId="EndnoteTextChar">
    <w:name w:val="Endnote Text Char"/>
    <w:basedOn w:val="DefaultParagraphFont"/>
    <w:link w:val="EndnoteText"/>
    <w:uiPriority w:val="99"/>
    <w:semiHidden/>
    <w:rsid w:val="007C424D"/>
    <w:rPr>
      <w:kern w:val="0"/>
      <w:sz w:val="20"/>
      <w:szCs w:val="20"/>
      <w14:ligatures w14:val="none"/>
    </w:rPr>
  </w:style>
  <w:style w:type="character" w:styleId="EndnoteReference">
    <w:name w:val="endnote reference"/>
    <w:basedOn w:val="DefaultParagraphFont"/>
    <w:uiPriority w:val="99"/>
    <w:semiHidden/>
    <w:unhideWhenUsed/>
    <w:rsid w:val="007C42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20</Pages>
  <Words>7719</Words>
  <Characters>44004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Moore</dc:creator>
  <cp:keywords/>
  <dc:description/>
  <cp:lastModifiedBy>Oliver Moore</cp:lastModifiedBy>
  <cp:revision>4</cp:revision>
  <dcterms:created xsi:type="dcterms:W3CDTF">2023-05-01T08:44:00Z</dcterms:created>
  <dcterms:modified xsi:type="dcterms:W3CDTF">2023-07-07T09:51:00Z</dcterms:modified>
</cp:coreProperties>
</file>