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78F3" w14:textId="77777777" w:rsidR="00B2513F" w:rsidRPr="00A82E1E" w:rsidRDefault="00B2513F" w:rsidP="00E32293">
      <w:pPr>
        <w:spacing w:line="480" w:lineRule="auto"/>
        <w:jc w:val="both"/>
        <w:rPr>
          <w:rFonts w:eastAsia="Arial"/>
          <w:b/>
          <w:bCs/>
          <w:sz w:val="28"/>
          <w:szCs w:val="28"/>
          <w:lang w:val="en-US"/>
        </w:rPr>
      </w:pPr>
      <w:bookmarkStart w:id="0" w:name="_zibrqg7qkmlm"/>
      <w:bookmarkEnd w:id="0"/>
      <w:r w:rsidRPr="00A82E1E">
        <w:rPr>
          <w:rFonts w:eastAsia="Arial"/>
          <w:b/>
          <w:bCs/>
          <w:sz w:val="28"/>
          <w:szCs w:val="28"/>
          <w:lang w:val="en-US"/>
        </w:rPr>
        <w:t>Supplementary Material</w:t>
      </w:r>
    </w:p>
    <w:p w14:paraId="36CE671B" w14:textId="77777777" w:rsidR="00BC4C24" w:rsidRPr="00B82745" w:rsidRDefault="00BC4C24" w:rsidP="00E32293">
      <w:pPr>
        <w:spacing w:line="480" w:lineRule="auto"/>
        <w:jc w:val="both"/>
        <w:rPr>
          <w:rFonts w:eastAsia="Arial"/>
          <w:sz w:val="28"/>
          <w:szCs w:val="28"/>
          <w:lang w:val="en-US" w:eastAsia="en-GB"/>
        </w:rPr>
      </w:pPr>
    </w:p>
    <w:p w14:paraId="1672B0E0" w14:textId="77777777" w:rsidR="0000556C" w:rsidRPr="0098108E" w:rsidRDefault="0000556C" w:rsidP="0000556C">
      <w:pPr>
        <w:snapToGrid w:val="0"/>
        <w:spacing w:line="480" w:lineRule="auto"/>
        <w:contextualSpacing/>
        <w:jc w:val="center"/>
        <w:rPr>
          <w:b/>
          <w:bCs/>
          <w:color w:val="000000"/>
          <w:lang w:val="en-US"/>
        </w:rPr>
      </w:pPr>
      <w:bookmarkStart w:id="1" w:name="_Hlk128729847"/>
      <w:r>
        <w:rPr>
          <w:b/>
          <w:bCs/>
          <w:color w:val="000000"/>
          <w:sz w:val="28"/>
          <w:szCs w:val="28"/>
          <w:lang w:val="en-US"/>
        </w:rPr>
        <w:t xml:space="preserve">Coastal upwelling systems as </w:t>
      </w:r>
      <w:r w:rsidRPr="00A61FB6">
        <w:rPr>
          <w:b/>
          <w:bCs/>
          <w:color w:val="000000"/>
          <w:sz w:val="28"/>
          <w:szCs w:val="28"/>
          <w:lang w:val="en-US"/>
        </w:rPr>
        <w:t>dynamic mosaics of bacterioplankton functional specialization</w:t>
      </w:r>
      <w:r>
        <w:rPr>
          <w:b/>
          <w:bCs/>
          <w:color w:val="000000"/>
          <w:sz w:val="28"/>
          <w:szCs w:val="28"/>
          <w:lang w:val="en-US"/>
        </w:rPr>
        <w:t xml:space="preserve"> </w:t>
      </w:r>
      <w:bookmarkEnd w:id="1"/>
    </w:p>
    <w:p w14:paraId="301C07E1" w14:textId="77777777" w:rsidR="00E3620E" w:rsidRPr="0098108E" w:rsidRDefault="00E3620E" w:rsidP="00E3620E">
      <w:pPr>
        <w:snapToGrid w:val="0"/>
        <w:spacing w:line="480" w:lineRule="auto"/>
        <w:contextualSpacing/>
        <w:jc w:val="center"/>
        <w:rPr>
          <w:b/>
          <w:bCs/>
          <w:color w:val="000000"/>
          <w:lang w:val="en-US"/>
        </w:rPr>
      </w:pPr>
    </w:p>
    <w:p w14:paraId="3DD179DF" w14:textId="77777777" w:rsidR="0000556C" w:rsidRPr="00690F00" w:rsidRDefault="0000556C" w:rsidP="0000556C">
      <w:pPr>
        <w:snapToGrid w:val="0"/>
        <w:spacing w:line="480" w:lineRule="auto"/>
        <w:contextualSpacing/>
        <w:jc w:val="both"/>
        <w:rPr>
          <w:color w:val="000000"/>
          <w:lang w:val="en-US"/>
        </w:rPr>
      </w:pPr>
      <w:bookmarkStart w:id="2" w:name="_Hlk128729889"/>
      <w:r w:rsidRPr="00690F00">
        <w:rPr>
          <w:color w:val="000000"/>
          <w:lang w:val="en-US"/>
        </w:rPr>
        <w:t>Erick Delgadillo-Nuño</w:t>
      </w:r>
      <w:r w:rsidRPr="00690F00">
        <w:rPr>
          <w:color w:val="000000"/>
          <w:vertAlign w:val="superscript"/>
          <w:lang w:val="en-US"/>
        </w:rPr>
        <w:t>1</w:t>
      </w:r>
      <w:r w:rsidRPr="00690F00">
        <w:rPr>
          <w:color w:val="000000"/>
          <w:lang w:val="en-US"/>
        </w:rPr>
        <w:t>, Eva Teira</w:t>
      </w:r>
      <w:r w:rsidRPr="00690F00">
        <w:rPr>
          <w:color w:val="000000"/>
          <w:vertAlign w:val="superscript"/>
          <w:lang w:val="en-US"/>
        </w:rPr>
        <w:t>1</w:t>
      </w:r>
      <w:r w:rsidRPr="00690F00">
        <w:rPr>
          <w:color w:val="000000"/>
          <w:lang w:val="en-US"/>
        </w:rPr>
        <w:t>, Benjamin Pontiller</w:t>
      </w:r>
      <w:r w:rsidRPr="00690F00">
        <w:rPr>
          <w:color w:val="000000"/>
          <w:vertAlign w:val="superscript"/>
          <w:lang w:val="en-US"/>
        </w:rPr>
        <w:t>2,4</w:t>
      </w:r>
      <w:r w:rsidRPr="00690F00">
        <w:rPr>
          <w:color w:val="000000"/>
          <w:lang w:val="en-US"/>
        </w:rPr>
        <w:t>, Daniel Lundin</w:t>
      </w:r>
      <w:r w:rsidRPr="00690F00">
        <w:rPr>
          <w:color w:val="000000"/>
          <w:vertAlign w:val="superscript"/>
          <w:lang w:val="en-US"/>
        </w:rPr>
        <w:t>2</w:t>
      </w:r>
      <w:r w:rsidRPr="00690F00">
        <w:rPr>
          <w:color w:val="000000"/>
          <w:lang w:val="en-US"/>
        </w:rPr>
        <w:t>, Vanessa Joglar</w:t>
      </w:r>
      <w:r w:rsidRPr="00690F00">
        <w:rPr>
          <w:color w:val="000000"/>
          <w:vertAlign w:val="superscript"/>
          <w:lang w:val="en-US"/>
        </w:rPr>
        <w:t>1</w:t>
      </w:r>
      <w:r w:rsidRPr="00690F00">
        <w:rPr>
          <w:color w:val="000000"/>
          <w:lang w:val="en-US"/>
        </w:rPr>
        <w:t>, Carlos Pedrós-Alió</w:t>
      </w:r>
      <w:r w:rsidRPr="00690F00">
        <w:rPr>
          <w:color w:val="000000"/>
          <w:vertAlign w:val="superscript"/>
          <w:lang w:val="en-US"/>
        </w:rPr>
        <w:t>3</w:t>
      </w:r>
      <w:r w:rsidRPr="00690F00">
        <w:rPr>
          <w:color w:val="000000"/>
          <w:lang w:val="en-US"/>
        </w:rPr>
        <w:t>, Emilio Fernández</w:t>
      </w:r>
      <w:r w:rsidRPr="00690F00">
        <w:rPr>
          <w:color w:val="000000"/>
          <w:vertAlign w:val="superscript"/>
          <w:lang w:val="en-US"/>
        </w:rPr>
        <w:t>1</w:t>
      </w:r>
      <w:r w:rsidRPr="00690F00">
        <w:rPr>
          <w:color w:val="000000"/>
          <w:lang w:val="en-US"/>
        </w:rPr>
        <w:t>, Jarone Pinhassi</w:t>
      </w:r>
      <w:r w:rsidRPr="00690F00">
        <w:rPr>
          <w:color w:val="000000"/>
          <w:vertAlign w:val="superscript"/>
          <w:lang w:val="en-US"/>
        </w:rPr>
        <w:t>2</w:t>
      </w:r>
      <w:r w:rsidRPr="00690F00">
        <w:rPr>
          <w:color w:val="000000"/>
          <w:lang w:val="en-US"/>
        </w:rPr>
        <w:t>, Sandra Martínez-García</w:t>
      </w:r>
      <w:r w:rsidRPr="00690F00">
        <w:rPr>
          <w:color w:val="000000"/>
          <w:vertAlign w:val="superscript"/>
          <w:lang w:val="en-US"/>
        </w:rPr>
        <w:t>1*</w:t>
      </w:r>
    </w:p>
    <w:bookmarkEnd w:id="2"/>
    <w:p w14:paraId="283D4458" w14:textId="77777777" w:rsidR="0000556C" w:rsidRPr="00690F00" w:rsidRDefault="0000556C" w:rsidP="0000556C">
      <w:pPr>
        <w:snapToGrid w:val="0"/>
        <w:spacing w:line="480" w:lineRule="auto"/>
        <w:contextualSpacing/>
        <w:jc w:val="both"/>
        <w:rPr>
          <w:color w:val="000000"/>
          <w:lang w:val="en-US"/>
        </w:rPr>
      </w:pPr>
    </w:p>
    <w:p w14:paraId="51739FC3" w14:textId="77777777" w:rsidR="0000556C" w:rsidRPr="00AB6FDF" w:rsidRDefault="0000556C" w:rsidP="0000556C">
      <w:pPr>
        <w:snapToGrid w:val="0"/>
        <w:spacing w:line="480" w:lineRule="auto"/>
        <w:contextualSpacing/>
        <w:jc w:val="both"/>
        <w:rPr>
          <w:color w:val="000000"/>
          <w:lang w:val="en-US"/>
        </w:rPr>
      </w:pPr>
      <w:r w:rsidRPr="00AB6FDF">
        <w:rPr>
          <w:color w:val="000000"/>
          <w:vertAlign w:val="superscript"/>
          <w:lang w:val="en-US"/>
        </w:rPr>
        <w:t>1</w:t>
      </w:r>
      <w:r w:rsidRPr="00AB6FDF">
        <w:rPr>
          <w:color w:val="000000"/>
          <w:lang w:val="en-US"/>
        </w:rPr>
        <w:t xml:space="preserve">Centro de Investigación Mariña da Universidade de Vigo (CIM-UVigo), Departamento de Ecoloxía e Bioloxía Animal, Vigo, Spain. </w:t>
      </w:r>
    </w:p>
    <w:p w14:paraId="5BC4D3BB" w14:textId="77777777" w:rsidR="0000556C" w:rsidRPr="00C87672" w:rsidRDefault="0000556C" w:rsidP="0000556C">
      <w:pPr>
        <w:snapToGrid w:val="0"/>
        <w:spacing w:line="480" w:lineRule="auto"/>
        <w:contextualSpacing/>
        <w:jc w:val="both"/>
        <w:rPr>
          <w:color w:val="000000"/>
          <w:lang w:val="en-US"/>
        </w:rPr>
      </w:pPr>
      <w:r w:rsidRPr="00C87672">
        <w:rPr>
          <w:color w:val="000000"/>
          <w:vertAlign w:val="superscript"/>
          <w:lang w:val="en-US"/>
        </w:rPr>
        <w:t>2</w:t>
      </w:r>
      <w:r w:rsidRPr="00C87672">
        <w:rPr>
          <w:color w:val="000000"/>
          <w:lang w:val="en-US"/>
        </w:rPr>
        <w:t>Centre for Ecology and Evolution in Microbial Model Systems, Linnaeus University, Kalmar, Sweden.</w:t>
      </w:r>
    </w:p>
    <w:p w14:paraId="28FB893F" w14:textId="77777777" w:rsidR="0000556C" w:rsidRPr="00AB6FDF" w:rsidRDefault="0000556C" w:rsidP="0000556C">
      <w:pPr>
        <w:snapToGrid w:val="0"/>
        <w:spacing w:line="480" w:lineRule="auto"/>
        <w:contextualSpacing/>
        <w:jc w:val="both"/>
        <w:rPr>
          <w:color w:val="000000"/>
          <w:lang w:val="en-US"/>
        </w:rPr>
      </w:pPr>
      <w:r w:rsidRPr="00AB6FDF">
        <w:rPr>
          <w:color w:val="000000"/>
          <w:vertAlign w:val="superscript"/>
          <w:lang w:val="en-US"/>
        </w:rPr>
        <w:t>3</w:t>
      </w:r>
      <w:r w:rsidRPr="00AB6FDF">
        <w:rPr>
          <w:color w:val="000000"/>
          <w:lang w:val="en-US"/>
        </w:rPr>
        <w:t xml:space="preserve">Centro Nacional de Biotecnología (CNB-CSIC), Campus de Cantoblanco, Madrid, Spain. </w:t>
      </w:r>
    </w:p>
    <w:p w14:paraId="54CD0755" w14:textId="77777777" w:rsidR="0000556C" w:rsidRPr="00C87672" w:rsidRDefault="0000556C" w:rsidP="0000556C">
      <w:pPr>
        <w:snapToGrid w:val="0"/>
        <w:spacing w:line="480" w:lineRule="auto"/>
        <w:contextualSpacing/>
        <w:jc w:val="both"/>
        <w:rPr>
          <w:color w:val="000000"/>
          <w:lang w:val="en-US"/>
        </w:rPr>
      </w:pPr>
      <w:r w:rsidRPr="00C8052E">
        <w:rPr>
          <w:color w:val="000000"/>
          <w:vertAlign w:val="superscript"/>
          <w:lang w:val="en-US"/>
        </w:rPr>
        <w:t>4</w:t>
      </w:r>
      <w:r w:rsidRPr="009643AE">
        <w:rPr>
          <w:rFonts w:ascii="Times" w:eastAsia="Calibri" w:hAnsi="Times" w:cs="Times"/>
          <w:color w:val="656561"/>
          <w:sz w:val="14"/>
          <w:szCs w:val="14"/>
          <w:lang w:val="en-GB" w:eastAsia="en-GB"/>
        </w:rPr>
        <w:t xml:space="preserve"> </w:t>
      </w:r>
      <w:r w:rsidRPr="00C8052E">
        <w:rPr>
          <w:color w:val="000000"/>
          <w:lang w:val="en-US"/>
        </w:rPr>
        <w:t>GEOMAR Helmholtz Centre for Ocean Research Kiel,</w:t>
      </w:r>
      <w:r>
        <w:rPr>
          <w:color w:val="000000"/>
          <w:lang w:val="en-US"/>
        </w:rPr>
        <w:t xml:space="preserve"> Kiel, </w:t>
      </w:r>
      <w:r w:rsidRPr="00C8052E">
        <w:rPr>
          <w:color w:val="000000"/>
          <w:lang w:val="en-US"/>
        </w:rPr>
        <w:t>Germany</w:t>
      </w:r>
      <w:r>
        <w:rPr>
          <w:color w:val="000000"/>
          <w:lang w:val="en-US"/>
        </w:rPr>
        <w:t>.</w:t>
      </w:r>
      <w:r w:rsidRPr="00C87672">
        <w:rPr>
          <w:color w:val="000000"/>
          <w:lang w:val="en-US"/>
        </w:rPr>
        <w:t xml:space="preserve"> </w:t>
      </w:r>
    </w:p>
    <w:p w14:paraId="33725839" w14:textId="77777777" w:rsidR="00BC4C24" w:rsidRPr="009D2A73" w:rsidRDefault="00BC4C24" w:rsidP="00E32293">
      <w:pPr>
        <w:spacing w:line="480" w:lineRule="auto"/>
        <w:jc w:val="both"/>
        <w:rPr>
          <w:color w:val="000000"/>
          <w:lang w:val="en-US"/>
        </w:rPr>
      </w:pPr>
    </w:p>
    <w:p w14:paraId="12AA984E" w14:textId="744ABB6F" w:rsidR="0065779F" w:rsidRPr="00A82E1E" w:rsidRDefault="0065779F" w:rsidP="00E32293">
      <w:pPr>
        <w:tabs>
          <w:tab w:val="left" w:pos="142"/>
        </w:tabs>
        <w:snapToGrid w:val="0"/>
        <w:spacing w:line="480" w:lineRule="auto"/>
        <w:jc w:val="both"/>
        <w:outlineLvl w:val="0"/>
        <w:rPr>
          <w:b/>
          <w:bCs/>
          <w:color w:val="000000"/>
          <w:sz w:val="28"/>
          <w:szCs w:val="28"/>
          <w:lang w:val="en-US"/>
        </w:rPr>
      </w:pPr>
      <w:r w:rsidRPr="00A82E1E">
        <w:rPr>
          <w:b/>
          <w:bCs/>
          <w:color w:val="000000"/>
          <w:sz w:val="28"/>
          <w:szCs w:val="28"/>
          <w:lang w:val="en-US"/>
        </w:rPr>
        <w:t>Supplementary methods</w:t>
      </w:r>
    </w:p>
    <w:p w14:paraId="35A1AE52" w14:textId="77777777" w:rsidR="0065779F" w:rsidRPr="0067516F" w:rsidRDefault="0065779F" w:rsidP="00E32293">
      <w:pPr>
        <w:snapToGrid w:val="0"/>
        <w:spacing w:line="480" w:lineRule="auto"/>
        <w:jc w:val="both"/>
        <w:outlineLvl w:val="1"/>
        <w:rPr>
          <w:b/>
          <w:bCs/>
          <w:color w:val="000000"/>
          <w:lang w:val="en-US"/>
        </w:rPr>
      </w:pPr>
      <w:r w:rsidRPr="0067516F">
        <w:rPr>
          <w:b/>
          <w:bCs/>
          <w:color w:val="000000"/>
          <w:lang w:val="en-US"/>
        </w:rPr>
        <w:t>Study site</w:t>
      </w:r>
    </w:p>
    <w:p w14:paraId="16A94C4B" w14:textId="17A9B94E" w:rsidR="0065779F" w:rsidRPr="0067516F" w:rsidRDefault="0065779F" w:rsidP="00654A2E">
      <w:pPr>
        <w:snapToGrid w:val="0"/>
        <w:spacing w:after="240" w:line="480" w:lineRule="auto"/>
        <w:contextualSpacing/>
        <w:jc w:val="both"/>
        <w:rPr>
          <w:color w:val="000000"/>
          <w:lang w:val="en-US"/>
        </w:rPr>
      </w:pPr>
      <w:r w:rsidRPr="0067516F">
        <w:rPr>
          <w:color w:val="000000"/>
          <w:lang w:val="en-US"/>
        </w:rPr>
        <w:t xml:space="preserve">The upwelling system of the Iberian Peninsula (NW Spain) is characterized by the inflow of subsurface oceanic Eastern North Atlantic Central Water (ENACW) from March to September (when northerly winds dominate) </w:t>
      </w:r>
      <w:r w:rsidRPr="0067516F">
        <w:rPr>
          <w:color w:val="000000"/>
          <w:lang w:val="en-US"/>
        </w:rPr>
        <w:fldChar w:fldCharType="begin" w:fldLock="1"/>
      </w:r>
      <w:r w:rsidR="00993394" w:rsidRPr="0067516F">
        <w:rPr>
          <w:color w:val="000000"/>
          <w:lang w:val="en-US"/>
        </w:rPr>
        <w:instrText>ADDIN CSL_CITATION {"citationItems":[{"id":"ITEM-1","itemData":{"DOI":"10.1016/j.hal.2010.08.003","ISSN":"15689883","abstract":"Closures of mussel rafts in the Ría de Ares-Betanzos (NW Spain) because of the occurrence of lipophilic shellfish poisoning outbreaks over the period 1999-2007 have been studied in relation to the coastal wind and precipitation regimes of the area. More than 85% of the episodes concentrate on the summer and autumn that coincide with the upwelling-favourable/dry season and the transition to the downwelling-favourable/wet season, respectively. We obtain that the percentage of days closed in summer can be predicted by the average continental runoff (Qr) during the preceding spring (86% of the variance explained by the average Qr of May) and the percentage of days closed in autumn by the average offshore Ekman transport (EkL) during the preceding summer (91% of the variance explained by the average EkL of August). A rainy spring will produce extensive closures in summer and a windy summer extensive closures in autumn. We speculate that this seasonal lag between atmospheric forcing and lipophilic shellfish poisoning outbreaks, which provides a chance to forecast mussel toxicity, is compatible with the obligate mixotrophic nutritional mode of the Dynophysis acuminata complex, the dominant lipophilic shellfish poisoning species in the Ría de Ares-Betanzos. © 2010 Elsevier B.V.","author":[{"dropping-particle":"","family":"Álvarez-Salgado","given":"X. A.","non-dropping-particle":"","parse-names":false,"suffix":""},{"dropping-particle":"","family":"Figueiras","given":"F. G.","non-dropping-particle":"","parse-names":false,"suffix":""},{"dropping-particle":"","family":"Fernández-Reiriz","given":"M. J.","non-dropping-particle":"","parse-names":false,"suffix":""},{"dropping-particle":"","family":"Labarta","given":"U.","non-dropping-particle":"","parse-names":false,"suffix":""},{"dropping-particle":"","family":"Peteiro","given":"L.","non-dropping-particle":"","parse-names":false,"suffix":""},{"dropping-particle":"","family":"Piedracoba","given":"S.","non-dropping-particle":"","parse-names":false,"suffix":""}],"container-title":"Harmful Algae","id":"ITEM-1","issue":"2","issued":{"date-parts":[["2011"]]},"page":"121-129","title":"Control of lipophilic shellfish poisoning outbreaks by seasonal upwelling and continental runoff","type":"article-journal","volume":"10"},"uris":["http://www.mendeley.com/documents/?uuid=0d31e403-976f-44c8-8863-3082f79cfd00"]}],"mendeley":{"formattedCitation":"[1]","plainTextFormattedCitation":"[1]","previouslyFormattedCitation":"[1]"},"properties":{"noteIndex":0},"schema":"https://github.com/citation-style-language/schema/raw/master/csl-citation.json"}</w:instrText>
      </w:r>
      <w:r w:rsidRPr="0067516F">
        <w:rPr>
          <w:color w:val="000000"/>
          <w:lang w:val="en-US"/>
        </w:rPr>
        <w:fldChar w:fldCharType="separate"/>
      </w:r>
      <w:r w:rsidRPr="0067516F">
        <w:rPr>
          <w:noProof/>
          <w:color w:val="000000"/>
          <w:lang w:val="en-US"/>
        </w:rPr>
        <w:t>[1]</w:t>
      </w:r>
      <w:r w:rsidRPr="0067516F">
        <w:rPr>
          <w:color w:val="000000"/>
          <w:lang w:val="en-US"/>
        </w:rPr>
        <w:fldChar w:fldCharType="end"/>
      </w:r>
      <w:r w:rsidRPr="0067516F">
        <w:rPr>
          <w:color w:val="000000"/>
          <w:lang w:val="en-US"/>
        </w:rPr>
        <w:t xml:space="preserve">. During autumn and winter, downwelling conditions prevail due to the predominance of south and southwest winds </w:t>
      </w:r>
      <w:r w:rsidRPr="0067516F">
        <w:rPr>
          <w:color w:val="000000"/>
          <w:lang w:val="en-US"/>
        </w:rPr>
        <w:fldChar w:fldCharType="begin" w:fldLock="1"/>
      </w:r>
      <w:r w:rsidR="00993394" w:rsidRPr="0067516F">
        <w:rPr>
          <w:color w:val="000000"/>
          <w:lang w:val="en-US"/>
        </w:rPr>
        <w:instrText xml:space="preserve">ADDIN CSL_CITATION {"citationItems":[{"id":"ITEM-1","itemData":{"DOI":"10.1023/A:1021309222459","ISSN":"00188158","abstract":"The Rías Baixas are four flooded tectonic valleys located on the northwest Iberian Peninsula that support a mussel production of about 250 × 106 kg y-1 from 3337 mussel rafts. Mussel production in this region is the highest in Europe and one of the most intensive in the world, giving employment to 9000 people directly and 20 000 indirectly. The causes of this high mussel production are discussed through the analysis of published and some unpublished information. The interaction between coastal upwelling and the circulation patterns in the Rías, which channel the 3-dimensional variability of the open ocean into a 2-dimensional system, promotes a massive response in the productivity of phytoplankton populations inside the Rías, even during weak upwelling events along the coast. Coastal upwelling in the area typically occurs between March-April and September-October. The mean value of gross primary production during the whole upwelling season is </w:instrText>
      </w:r>
      <w:r w:rsidR="00993394" w:rsidRPr="0067516F">
        <w:rPr>
          <w:rFonts w:ascii="Cambria Math" w:hAnsi="Cambria Math" w:cs="Cambria Math"/>
          <w:color w:val="000000"/>
          <w:lang w:val="en-US"/>
        </w:rPr>
        <w:instrText>∼</w:instrText>
      </w:r>
      <w:r w:rsidR="00993394" w:rsidRPr="0067516F">
        <w:rPr>
          <w:color w:val="000000"/>
          <w:lang w:val="en-US"/>
        </w:rPr>
        <w:instrText xml:space="preserve">1.4 g C m-2 d-1, although high sporadic values of </w:instrText>
      </w:r>
      <w:r w:rsidR="00993394" w:rsidRPr="0067516F">
        <w:rPr>
          <w:rFonts w:ascii="Cambria Math" w:hAnsi="Cambria Math" w:cs="Cambria Math"/>
          <w:color w:val="000000"/>
          <w:lang w:val="en-US"/>
        </w:rPr>
        <w:instrText>∼</w:instrText>
      </w:r>
      <w:r w:rsidR="00993394" w:rsidRPr="0067516F">
        <w:rPr>
          <w:color w:val="000000"/>
          <w:lang w:val="en-US"/>
        </w:rPr>
        <w:instrText xml:space="preserve">4 g C m-2 d-1 may occur during upwelling relaxation events, when phytoplankton export to the coastal shelf is restricted. Mussel growth occurs mainly during the upwelling season. It is estimated that mussel harvest extracts </w:instrText>
      </w:r>
      <w:r w:rsidR="00993394" w:rsidRPr="0067516F">
        <w:rPr>
          <w:rFonts w:ascii="Cambria Math" w:hAnsi="Cambria Math" w:cs="Cambria Math"/>
          <w:color w:val="000000"/>
          <w:lang w:val="en-US"/>
        </w:rPr>
        <w:instrText>∼</w:instrText>
      </w:r>
      <w:r w:rsidR="00993394" w:rsidRPr="0067516F">
        <w:rPr>
          <w:color w:val="000000"/>
          <w:lang w:val="en-US"/>
        </w:rPr>
        <w:instrText xml:space="preserve">10% of the primary production. The phytoplankton response to upwelling provides food of high quality (f </w:instrText>
      </w:r>
      <w:r w:rsidR="00993394" w:rsidRPr="0067516F">
        <w:rPr>
          <w:rFonts w:ascii="Cambria Math" w:hAnsi="Cambria Math" w:cs="Cambria Math"/>
          <w:color w:val="000000"/>
          <w:lang w:val="en-US"/>
        </w:rPr>
        <w:instrText>∼</w:instrText>
      </w:r>
      <w:r w:rsidR="00993394" w:rsidRPr="0067516F">
        <w:rPr>
          <w:color w:val="000000"/>
          <w:lang w:val="en-US"/>
        </w:rPr>
        <w:instrText>0.5) that determines high absorption efficiency (</w:instrText>
      </w:r>
      <w:r w:rsidR="00993394" w:rsidRPr="0067516F">
        <w:rPr>
          <w:rFonts w:ascii="Cambria Math" w:hAnsi="Cambria Math" w:cs="Cambria Math"/>
          <w:color w:val="000000"/>
          <w:lang w:val="en-US"/>
        </w:rPr>
        <w:instrText>∼</w:instrText>
      </w:r>
      <w:r w:rsidR="00993394" w:rsidRPr="0067516F">
        <w:rPr>
          <w:color w:val="000000"/>
          <w:lang w:val="en-US"/>
        </w:rPr>
        <w:instrText>0.6), whereas the characteristics of the Rías maintains the seston concentration at levels (0.5 - 1.3 mg TPM l-1 and &lt;5 mg Chl a m-3) below the threshold of pseudo-faeces production. The physiological behaviour of mussels indicates that the high yield of mussel culture in the Rías of Galicia is a consequence of the particular characteristics of the seston.","author":[{"dropping-particle":"","family":"Figueiras","given":"F. G.","non-dropping-particle":"","parse-names":false,"suffix":""},{"dropping-particle":"","family":"Labarta","given":"U.","non-dropping-particle":"","parse-names":false,"suffix":""},{"dropping-particle":"","family":"Fernández Reiriz","given":"M. J.","non-dropping-particle":"","parse-names":false,"suffix":""}],"container-title":"Hydrobiologia","id":"ITEM-1","issued":{"date-parts":[["2002"]]},"page":"121-131","title":"Coastal upwelling, primary production and mussel growth in the Rías Baixas of Galicia","type":"article-journal","volume":"484"},"uris":["http://www.mendeley.com/documents/?uuid=73d4d252-d9d9-46b7-8760-2f35f1ed65f9"]}],"mendeley":{"formattedCitation":"[2]","plainTextFormattedCitation":"[2]","previouslyFormattedCitation":"[2]"},"properties":{"noteIndex":0},"schema":"https://github.com/citation-style-language/schema/raw/master/csl-citation.json"}</w:instrText>
      </w:r>
      <w:r w:rsidRPr="0067516F">
        <w:rPr>
          <w:color w:val="000000"/>
          <w:lang w:val="en-US"/>
        </w:rPr>
        <w:fldChar w:fldCharType="separate"/>
      </w:r>
      <w:r w:rsidRPr="0067516F">
        <w:rPr>
          <w:noProof/>
          <w:color w:val="000000"/>
          <w:lang w:val="en-US"/>
        </w:rPr>
        <w:t>[2]</w:t>
      </w:r>
      <w:r w:rsidRPr="0067516F">
        <w:rPr>
          <w:color w:val="000000"/>
          <w:lang w:val="en-US"/>
        </w:rPr>
        <w:fldChar w:fldCharType="end"/>
      </w:r>
      <w:r w:rsidRPr="0067516F">
        <w:rPr>
          <w:color w:val="000000"/>
          <w:lang w:val="en-US"/>
        </w:rPr>
        <w:t>. During spring and summer, coinciding with the input of upwelled nutrients, seawater temperature, and irradiance levels increase.</w:t>
      </w:r>
    </w:p>
    <w:p w14:paraId="77E09E2D" w14:textId="77777777" w:rsidR="0065779F" w:rsidRPr="0067516F" w:rsidRDefault="0065779F" w:rsidP="00E32293">
      <w:pPr>
        <w:spacing w:line="480" w:lineRule="auto"/>
        <w:jc w:val="both"/>
        <w:rPr>
          <w:color w:val="000000"/>
          <w:lang w:val="en-US"/>
        </w:rPr>
      </w:pPr>
    </w:p>
    <w:p w14:paraId="7F2128BE" w14:textId="77777777" w:rsidR="0065779F" w:rsidRPr="0067516F" w:rsidRDefault="0065779F" w:rsidP="00E32293">
      <w:pPr>
        <w:snapToGrid w:val="0"/>
        <w:spacing w:line="480" w:lineRule="auto"/>
        <w:jc w:val="both"/>
        <w:outlineLvl w:val="1"/>
        <w:rPr>
          <w:b/>
          <w:bCs/>
          <w:color w:val="000000"/>
          <w:lang w:val="en-US"/>
        </w:rPr>
      </w:pPr>
      <w:r w:rsidRPr="0067516F">
        <w:rPr>
          <w:b/>
          <w:bCs/>
          <w:color w:val="000000"/>
          <w:lang w:val="en-US"/>
        </w:rPr>
        <w:t>Sampling</w:t>
      </w:r>
    </w:p>
    <w:p w14:paraId="3624FFBA" w14:textId="45BE2F84" w:rsidR="0065779F" w:rsidRPr="00743CE4" w:rsidRDefault="0085788E" w:rsidP="00654A2E">
      <w:pPr>
        <w:snapToGrid w:val="0"/>
        <w:spacing w:line="480" w:lineRule="auto"/>
        <w:contextualSpacing/>
        <w:jc w:val="both"/>
        <w:rPr>
          <w:lang w:val="en-US"/>
        </w:rPr>
      </w:pPr>
      <w:r w:rsidRPr="0085788E">
        <w:rPr>
          <w:lang w:val="en-US"/>
        </w:rPr>
        <w:t xml:space="preserve">Seawater for this study was collected during the </w:t>
      </w:r>
      <w:r w:rsidR="00073652">
        <w:rPr>
          <w:color w:val="000000"/>
          <w:lang w:val="en-US"/>
        </w:rPr>
        <w:t>t</w:t>
      </w:r>
      <w:r w:rsidRPr="0067516F">
        <w:rPr>
          <w:color w:val="000000"/>
          <w:lang w:val="en-US"/>
        </w:rPr>
        <w:t xml:space="preserve">hree </w:t>
      </w:r>
      <w:r w:rsidRPr="0085788E">
        <w:rPr>
          <w:lang w:val="en-US"/>
        </w:rPr>
        <w:t xml:space="preserve">ENVISION </w:t>
      </w:r>
      <w:r w:rsidR="0065779F" w:rsidRPr="0067516F">
        <w:rPr>
          <w:color w:val="000000"/>
          <w:lang w:val="en-US"/>
        </w:rPr>
        <w:t xml:space="preserve">10-day cruises conducted </w:t>
      </w:r>
      <w:r w:rsidR="00E16C25" w:rsidRPr="00E16C25">
        <w:rPr>
          <w:lang w:val="en-US"/>
        </w:rPr>
        <w:t>(CTM2014-59031-P, PI: Eva Teir</w:t>
      </w:r>
      <w:r w:rsidR="00C5426C">
        <w:rPr>
          <w:lang w:val="en-US"/>
        </w:rPr>
        <w:t xml:space="preserve">a </w:t>
      </w:r>
      <w:r w:rsidR="00C5426C">
        <w:rPr>
          <w:lang w:val="en-US"/>
        </w:rPr>
        <w:fldChar w:fldCharType="begin" w:fldLock="1"/>
      </w:r>
      <w:r w:rsidR="00D13CF9">
        <w:rPr>
          <w:lang w:val="en-US"/>
        </w:rPr>
        <w:instrText>ADDIN CSL_CITATION {"citationItems":[{"id":"ITEM-1","itemData":{"DOI":"10.5194/bg-2019-306","ISSN":"1810-6277","abstract":"Abstract. We evaluated the temporal (inter-day and inter-season) and spatial variability in microbial plankton responses to vitamins B12 and B1 supply in coastal and oceanic waters. Inter-day variability in microbial plankton responses to B-vitamins was not of great concern, suggesting that B-vitamins availability was controlled by factors operating at larger temporal scales, such as those driving microbial community seasonal succession. Most positive responses were produced by treatments containing either B12 alone or B12 combined with B1 in oceanic waters, which was consistent with the significantly lower average vitamin B12 ambient concentrations compared to that in the coastal station. Growth stimulation by B1 addition was more frequent on bacteria, which is coherent with their widespread dependence on exogenous sources for this growth factor. Negative responses to B-vitamins were generalized in coastal waters in summer, and were associated to a high contribution of Flavobacteriales to the prokaryote community. This observation suggests that the external supply of B12 and/or B1 may promote negative interactions between microbial components when B-vitamins auxotrophs are abundant. The microbial response patterns to B12 and/or B1 amendments were significantly correlated with changes in the prokaryotic community composition, highlighting the pivotal role of prokaryotes in B-vitamins cycling in marine ecosystems.","author":[{"dropping-particle":"","family":"Joglar","given":"Vanessa","non-dropping-particle":"","parse-names":false,"suffix":""},{"dropping-particle":"","family":"Prieto","given":"Antero","non-dropping-particle":"","parse-names":false,"suffix":""},{"dropping-particle":"","family":"Barber-Lluch","given":"Esther","non-dropping-particle":"","parse-names":false,"suffix":""},{"dropping-particle":"","family":"Hernández-Ruiz","given":"Marta","non-dropping-particle":"","parse-names":false,"suffix":""},{"dropping-particle":"","family":"Fernández","given":"Emilio","non-dropping-particle":"","parse-names":false,"suffix":""},{"dropping-particle":"","family":"Teira","given":"Eva","non-dropping-particle":"","parse-names":false,"suffix":""}],"container-title":"Biogeosciences Discussions","id":"ITEM-1","issued":{"date-parts":[["2020"]]},"page":"1-43","title":"Spatial and temporal variability in the response of phytoplankton and bacterioplankton to B-vitamin amendments in an upwelling system","type":"article-journal"},"uris":["http://www.mendeley.com/documents/?uuid=39199c78-3031-450e-ad2a-6ee72f8918d0"]}],"mendeley":{"formattedCitation":"[3]","plainTextFormattedCitation":"[3]","previouslyFormattedCitation":"[3]"},"properties":{"noteIndex":0},"schema":"https://github.com/citation-style-language/schema/raw/master/csl-citation.json"}</w:instrText>
      </w:r>
      <w:r w:rsidR="00C5426C">
        <w:rPr>
          <w:lang w:val="en-US"/>
        </w:rPr>
        <w:fldChar w:fldCharType="separate"/>
      </w:r>
      <w:r w:rsidR="00C5426C" w:rsidRPr="00C5426C">
        <w:rPr>
          <w:noProof/>
          <w:lang w:val="en-US"/>
        </w:rPr>
        <w:t>[3]</w:t>
      </w:r>
      <w:r w:rsidR="00C5426C">
        <w:rPr>
          <w:lang w:val="en-US"/>
        </w:rPr>
        <w:fldChar w:fldCharType="end"/>
      </w:r>
      <w:r w:rsidR="00E16C25" w:rsidRPr="00E16C25">
        <w:rPr>
          <w:lang w:val="en-US"/>
        </w:rPr>
        <w:t>) on</w:t>
      </w:r>
      <w:r w:rsidR="00E16C25">
        <w:rPr>
          <w:lang w:val="en-US"/>
        </w:rPr>
        <w:t xml:space="preserve"> </w:t>
      </w:r>
      <w:r w:rsidR="00E16C25" w:rsidRPr="00E16C25">
        <w:rPr>
          <w:lang w:val="en-US"/>
        </w:rPr>
        <w:t xml:space="preserve">board the R/V </w:t>
      </w:r>
      <w:r w:rsidR="00E16C25" w:rsidRPr="00E16C25">
        <w:rPr>
          <w:i/>
          <w:lang w:val="en-US"/>
        </w:rPr>
        <w:t>Ramón Margalef</w:t>
      </w:r>
      <w:r w:rsidR="00E16C25" w:rsidRPr="00E16C25">
        <w:rPr>
          <w:lang w:val="en-US"/>
        </w:rPr>
        <w:t xml:space="preserve"> </w:t>
      </w:r>
      <w:r w:rsidR="0065779F" w:rsidRPr="0067516F">
        <w:rPr>
          <w:color w:val="000000"/>
          <w:lang w:val="en-US"/>
        </w:rPr>
        <w:t>in February (</w:t>
      </w:r>
      <w:r w:rsidR="005B3C25" w:rsidRPr="005B3C25">
        <w:rPr>
          <w:color w:val="000000"/>
          <w:lang w:val="en-US"/>
        </w:rPr>
        <w:t>ENVISION I</w:t>
      </w:r>
      <w:r w:rsidR="005B3C25">
        <w:rPr>
          <w:color w:val="000000"/>
          <w:lang w:val="en-US"/>
        </w:rPr>
        <w:t xml:space="preserve">; </w:t>
      </w:r>
      <w:r w:rsidR="0065779F" w:rsidRPr="0067516F">
        <w:rPr>
          <w:color w:val="000000"/>
          <w:lang w:val="en-US"/>
        </w:rPr>
        <w:t>winter), April (</w:t>
      </w:r>
      <w:r w:rsidR="005B3C25" w:rsidRPr="005B3C25">
        <w:rPr>
          <w:color w:val="000000"/>
          <w:lang w:val="en-US"/>
        </w:rPr>
        <w:t>ENVISION I</w:t>
      </w:r>
      <w:r w:rsidR="005B3C25">
        <w:rPr>
          <w:color w:val="000000"/>
          <w:lang w:val="en-US"/>
        </w:rPr>
        <w:t xml:space="preserve">I; </w:t>
      </w:r>
      <w:r w:rsidR="0065779F" w:rsidRPr="0067516F">
        <w:rPr>
          <w:color w:val="000000"/>
          <w:lang w:val="en-US"/>
        </w:rPr>
        <w:t>spring), and August (</w:t>
      </w:r>
      <w:r w:rsidR="005B3C25" w:rsidRPr="005B3C25">
        <w:rPr>
          <w:color w:val="000000"/>
          <w:lang w:val="en-US"/>
        </w:rPr>
        <w:t xml:space="preserve">ENVISION </w:t>
      </w:r>
      <w:r w:rsidR="005B3C25">
        <w:rPr>
          <w:color w:val="000000"/>
          <w:lang w:val="en-US"/>
        </w:rPr>
        <w:t>II</w:t>
      </w:r>
      <w:r w:rsidR="005B3C25" w:rsidRPr="005B3C25">
        <w:rPr>
          <w:color w:val="000000"/>
          <w:lang w:val="en-US"/>
        </w:rPr>
        <w:t>I</w:t>
      </w:r>
      <w:r w:rsidR="005B3C25">
        <w:rPr>
          <w:color w:val="000000"/>
          <w:lang w:val="en-US"/>
        </w:rPr>
        <w:t xml:space="preserve">; </w:t>
      </w:r>
      <w:r w:rsidR="0065779F" w:rsidRPr="0067516F">
        <w:rPr>
          <w:color w:val="000000"/>
          <w:lang w:val="en-US"/>
        </w:rPr>
        <w:t xml:space="preserve">summer) 2016 to cover a wide range of initial hydrographic and ecological conditions. </w:t>
      </w:r>
      <w:r w:rsidR="00997CFE" w:rsidRPr="00997CFE">
        <w:rPr>
          <w:color w:val="000000"/>
          <w:lang w:val="en-US"/>
        </w:rPr>
        <w:t xml:space="preserve">The first cruise was carried out from 17 to </w:t>
      </w:r>
      <w:r w:rsidR="002432C1">
        <w:rPr>
          <w:color w:val="000000"/>
          <w:lang w:val="en-US"/>
        </w:rPr>
        <w:t>February 26</w:t>
      </w:r>
      <w:r w:rsidR="00997CFE" w:rsidRPr="00997CFE">
        <w:rPr>
          <w:color w:val="000000"/>
          <w:lang w:val="en-US"/>
        </w:rPr>
        <w:t xml:space="preserve">, the second cruise was carried out from 16 to </w:t>
      </w:r>
      <w:r w:rsidR="002432C1">
        <w:rPr>
          <w:color w:val="000000"/>
          <w:lang w:val="en-US"/>
        </w:rPr>
        <w:t>April 25</w:t>
      </w:r>
      <w:r w:rsidR="00997CFE" w:rsidRPr="00997CFE">
        <w:rPr>
          <w:color w:val="000000"/>
          <w:lang w:val="en-US"/>
        </w:rPr>
        <w:t xml:space="preserve">, and the last cruise was carried out from 5 to </w:t>
      </w:r>
      <w:r w:rsidR="002432C1">
        <w:rPr>
          <w:color w:val="000000"/>
          <w:lang w:val="en-US"/>
        </w:rPr>
        <w:t>August 14</w:t>
      </w:r>
      <w:r w:rsidR="005C76FB">
        <w:rPr>
          <w:color w:val="000000"/>
          <w:lang w:val="en-US"/>
        </w:rPr>
        <w:t>. C</w:t>
      </w:r>
      <w:r w:rsidR="005C76FB" w:rsidRPr="005C76FB">
        <w:rPr>
          <w:color w:val="000000"/>
          <w:lang w:val="en-US"/>
        </w:rPr>
        <w:t>oinciding with the spring bloom</w:t>
      </w:r>
      <w:r w:rsidR="002669E8">
        <w:rPr>
          <w:color w:val="000000"/>
          <w:lang w:val="en-US"/>
        </w:rPr>
        <w:t xml:space="preserve"> </w:t>
      </w:r>
      <w:r w:rsidR="005C76FB" w:rsidRPr="005C76FB">
        <w:rPr>
          <w:color w:val="000000"/>
          <w:lang w:val="en-US"/>
        </w:rPr>
        <w:t xml:space="preserve">and </w:t>
      </w:r>
      <w:r w:rsidR="002669E8" w:rsidRPr="005C76FB">
        <w:rPr>
          <w:color w:val="000000"/>
          <w:lang w:val="en-US"/>
        </w:rPr>
        <w:t>the early and late summer upwelling</w:t>
      </w:r>
      <w:r w:rsidR="002669E8">
        <w:rPr>
          <w:color w:val="000000"/>
          <w:lang w:val="en-US"/>
        </w:rPr>
        <w:t xml:space="preserve">. </w:t>
      </w:r>
      <w:r w:rsidR="0065779F" w:rsidRPr="00743CE4">
        <w:rPr>
          <w:lang w:val="en-US"/>
        </w:rPr>
        <w:t xml:space="preserve">Samples were taken at two locations in the eastern Atlantic Ocean, in the upwelling system near the Ría de Vigo </w:t>
      </w:r>
      <w:r w:rsidR="0055381C" w:rsidRPr="00743CE4">
        <w:rPr>
          <w:lang w:val="en-US"/>
        </w:rPr>
        <w:t>(coastal station; 88 m depth, 42º N, 8.88º W, and offshore station; 260 m depth, 42º N, 9.06º W).</w:t>
      </w:r>
      <w:r w:rsidR="004E57EC" w:rsidRPr="00743CE4">
        <w:rPr>
          <w:lang w:val="en-US"/>
        </w:rPr>
        <w:t xml:space="preserve"> Water was collected with </w:t>
      </w:r>
      <w:r w:rsidR="00354F55" w:rsidRPr="00743CE4">
        <w:rPr>
          <w:lang w:val="en-US"/>
        </w:rPr>
        <w:t>2</w:t>
      </w:r>
      <w:r w:rsidR="004E57EC" w:rsidRPr="00743CE4">
        <w:rPr>
          <w:lang w:val="en-US"/>
        </w:rPr>
        <w:t xml:space="preserve">0L Niskin </w:t>
      </w:r>
      <w:r w:rsidR="007C057D" w:rsidRPr="00743CE4">
        <w:rPr>
          <w:lang w:val="en-US"/>
        </w:rPr>
        <w:t xml:space="preserve">metal-free </w:t>
      </w:r>
      <w:r w:rsidR="004E57EC" w:rsidRPr="00743CE4">
        <w:rPr>
          <w:lang w:val="en-US"/>
        </w:rPr>
        <w:t>bottles mounted on a rosette sampler (equipped with CTD sensors) from water from 5 m. The pooled water was pre-filtered through a 200 µm filter net</w:t>
      </w:r>
      <w:r w:rsidR="00E67A42" w:rsidRPr="00743CE4">
        <w:rPr>
          <w:lang w:val="en-US"/>
        </w:rPr>
        <w:t>.</w:t>
      </w:r>
    </w:p>
    <w:p w14:paraId="3CDC9CB7" w14:textId="77777777" w:rsidR="00C36784" w:rsidRPr="0067516F" w:rsidRDefault="00C36784" w:rsidP="00E32293">
      <w:pPr>
        <w:spacing w:line="480" w:lineRule="auto"/>
        <w:jc w:val="both"/>
        <w:rPr>
          <w:color w:val="000000"/>
          <w:lang w:val="en-US"/>
        </w:rPr>
      </w:pPr>
    </w:p>
    <w:p w14:paraId="1992EF79" w14:textId="073FDC6D" w:rsidR="0065779F" w:rsidRPr="0067516F" w:rsidRDefault="0065779F" w:rsidP="00E32293">
      <w:pPr>
        <w:snapToGrid w:val="0"/>
        <w:spacing w:line="480" w:lineRule="auto"/>
        <w:jc w:val="both"/>
        <w:outlineLvl w:val="1"/>
        <w:rPr>
          <w:b/>
          <w:bCs/>
          <w:color w:val="000000"/>
          <w:lang w:val="en-US"/>
        </w:rPr>
      </w:pPr>
      <w:r w:rsidRPr="0067516F">
        <w:rPr>
          <w:b/>
          <w:bCs/>
          <w:color w:val="000000"/>
          <w:lang w:val="en-US"/>
        </w:rPr>
        <w:t>Hydrographic survey</w:t>
      </w:r>
      <w:r w:rsidR="00CF7964" w:rsidRPr="0067516F">
        <w:rPr>
          <w:b/>
          <w:bCs/>
          <w:color w:val="000000"/>
          <w:lang w:val="en-US"/>
        </w:rPr>
        <w:t xml:space="preserve"> </w:t>
      </w:r>
    </w:p>
    <w:p w14:paraId="5C10AF2B" w14:textId="2C31A728" w:rsidR="00CC2B7C" w:rsidRPr="0067516F" w:rsidRDefault="0065779F" w:rsidP="002432C1">
      <w:pPr>
        <w:snapToGrid w:val="0"/>
        <w:spacing w:line="480" w:lineRule="auto"/>
        <w:contextualSpacing/>
        <w:jc w:val="both"/>
        <w:rPr>
          <w:b/>
          <w:bCs/>
          <w:lang w:val="en-US"/>
        </w:rPr>
      </w:pPr>
      <w:r w:rsidRPr="0067516F">
        <w:rPr>
          <w:color w:val="000000"/>
          <w:lang w:val="en-US"/>
        </w:rPr>
        <w:t xml:space="preserve">Vertical profiles of temperature (°C), salinity (PSU), turbidity (NTU), total chlorophyll fluorescence, and photosynthetically active radiation (PAR) were obtained using a Seabird CTD rosette down to 60 m in the coastal station and 200 m in the offshore station. </w:t>
      </w:r>
      <w:r w:rsidR="00FA38A1" w:rsidRPr="0067516F">
        <w:rPr>
          <w:lang w:val="en-US"/>
        </w:rPr>
        <w:t xml:space="preserve">Aliquots of 50 ml for </w:t>
      </w:r>
      <w:r w:rsidR="00CF7964" w:rsidRPr="0067516F">
        <w:rPr>
          <w:color w:val="000000"/>
          <w:lang w:val="en-US"/>
        </w:rPr>
        <w:t>nitrite (NO₂</w:t>
      </w:r>
      <w:r w:rsidR="00CF7964" w:rsidRPr="0067516F">
        <w:rPr>
          <w:color w:val="000000"/>
          <w:vertAlign w:val="superscript"/>
          <w:lang w:val="en-US"/>
        </w:rPr>
        <w:t>⁻</w:t>
      </w:r>
      <w:r w:rsidR="00CF7964" w:rsidRPr="0067516F">
        <w:rPr>
          <w:color w:val="000000"/>
          <w:lang w:val="en-US"/>
        </w:rPr>
        <w:t>), nitrate (</w:t>
      </w:r>
      <w:r w:rsidR="00CF7964" w:rsidRPr="0067516F">
        <w:rPr>
          <w:rStyle w:val="eq0j8"/>
          <w:color w:val="000000"/>
          <w:lang w:val="en-US"/>
        </w:rPr>
        <w:t>NO</w:t>
      </w:r>
      <w:r w:rsidR="00CF7964" w:rsidRPr="0067516F">
        <w:rPr>
          <w:rStyle w:val="eq0j8"/>
          <w:color w:val="000000"/>
          <w:vertAlign w:val="subscript"/>
          <w:lang w:val="en-US"/>
        </w:rPr>
        <w:t>3</w:t>
      </w:r>
      <w:r w:rsidR="00CF7964" w:rsidRPr="0067516F">
        <w:rPr>
          <w:rStyle w:val="eq0j8"/>
          <w:color w:val="000000"/>
          <w:vertAlign w:val="superscript"/>
          <w:lang w:val="en-US"/>
        </w:rPr>
        <w:t>-</w:t>
      </w:r>
      <w:r w:rsidR="00CF7964" w:rsidRPr="0067516F">
        <w:rPr>
          <w:rStyle w:val="eq0j8"/>
          <w:color w:val="000000"/>
          <w:lang w:val="en-US"/>
        </w:rPr>
        <w:t>)</w:t>
      </w:r>
      <w:r w:rsidR="00CF7964" w:rsidRPr="0067516F">
        <w:rPr>
          <w:color w:val="000000"/>
          <w:lang w:val="en-US"/>
        </w:rPr>
        <w:t>, ammonium (</w:t>
      </w:r>
      <w:r w:rsidR="00CF7964" w:rsidRPr="0067516F">
        <w:rPr>
          <w:rStyle w:val="eq0j8"/>
          <w:color w:val="000000"/>
          <w:lang w:val="en-US"/>
        </w:rPr>
        <w:t>NH₄⁺</w:t>
      </w:r>
      <w:r w:rsidR="00CF7964" w:rsidRPr="0067516F">
        <w:rPr>
          <w:color w:val="000000"/>
          <w:lang w:val="en-US"/>
        </w:rPr>
        <w:t>), phosphate (</w:t>
      </w:r>
      <w:r w:rsidR="00CF7964" w:rsidRPr="0067516F">
        <w:rPr>
          <w:rStyle w:val="eq0j8"/>
          <w:color w:val="000000"/>
          <w:lang w:val="en-US"/>
        </w:rPr>
        <w:t>PO₄³</w:t>
      </w:r>
      <w:r w:rsidR="00CF7964" w:rsidRPr="0067516F">
        <w:rPr>
          <w:rStyle w:val="eq0j8"/>
          <w:color w:val="000000"/>
          <w:vertAlign w:val="superscript"/>
          <w:lang w:val="en-US"/>
        </w:rPr>
        <w:t>⁻</w:t>
      </w:r>
      <w:r w:rsidR="00CF7964" w:rsidRPr="0067516F">
        <w:rPr>
          <w:rStyle w:val="eq0j8"/>
          <w:color w:val="000000"/>
          <w:lang w:val="en-US"/>
        </w:rPr>
        <w:t>)</w:t>
      </w:r>
      <w:r w:rsidR="00CF7964" w:rsidRPr="0067516F">
        <w:rPr>
          <w:color w:val="000000"/>
          <w:lang w:val="en-US"/>
        </w:rPr>
        <w:t>, and silicate (</w:t>
      </w:r>
      <w:r w:rsidR="00CF7964" w:rsidRPr="0067516F">
        <w:rPr>
          <w:rStyle w:val="tlid-translation"/>
          <w:color w:val="000000"/>
          <w:lang w:val="en-US"/>
        </w:rPr>
        <w:t>SiO</w:t>
      </w:r>
      <w:r w:rsidR="00CF7964" w:rsidRPr="0067516F">
        <w:rPr>
          <w:rStyle w:val="tlid-translation"/>
          <w:color w:val="000000"/>
          <w:vertAlign w:val="subscript"/>
          <w:lang w:val="en-US"/>
        </w:rPr>
        <w:t>2</w:t>
      </w:r>
      <w:r w:rsidR="00CF7964" w:rsidRPr="0067516F">
        <w:rPr>
          <w:color w:val="000000"/>
          <w:lang w:val="en-US"/>
        </w:rPr>
        <w:t xml:space="preserve">) </w:t>
      </w:r>
      <w:r w:rsidR="00FA38A1" w:rsidRPr="0067516F">
        <w:rPr>
          <w:lang w:val="en-US"/>
        </w:rPr>
        <w:t xml:space="preserve">were collected directly from the Niskin bottle in polyethylene bottles using contamination-free plastic gloves before all other variables to avoid contamination. Samples were analyzed with a Bran + Luebbe segmented flow analyzer [33]. The detection limit was 0.1 µmol L−1 for NO3-, 0.02 µmol L−1 for NO2- and PO₄³⁻, and 0.05 µmol L−1 for NH₄⁺ and SiO2- µmol L−1. </w:t>
      </w:r>
    </w:p>
    <w:p w14:paraId="479EEC10" w14:textId="77777777" w:rsidR="00CF7964" w:rsidRPr="00B82745" w:rsidRDefault="00CF7964" w:rsidP="00E32293">
      <w:pPr>
        <w:spacing w:line="480" w:lineRule="auto"/>
        <w:jc w:val="both"/>
        <w:rPr>
          <w:lang w:val="en-US"/>
        </w:rPr>
      </w:pPr>
    </w:p>
    <w:p w14:paraId="18944CF1" w14:textId="77777777" w:rsidR="0065779F" w:rsidRPr="0067516F" w:rsidRDefault="0065779F" w:rsidP="00E32293">
      <w:pPr>
        <w:snapToGrid w:val="0"/>
        <w:spacing w:line="480" w:lineRule="auto"/>
        <w:jc w:val="both"/>
        <w:outlineLvl w:val="1"/>
        <w:rPr>
          <w:b/>
          <w:bCs/>
          <w:color w:val="000000"/>
          <w:lang w:val="en-US"/>
        </w:rPr>
      </w:pPr>
      <w:r w:rsidRPr="0067516F">
        <w:rPr>
          <w:b/>
          <w:bCs/>
          <w:color w:val="000000"/>
          <w:lang w:val="en-US"/>
        </w:rPr>
        <w:t>Chlorophyll a</w:t>
      </w:r>
    </w:p>
    <w:p w14:paraId="0C5886CE" w14:textId="7CFD3FB6" w:rsidR="0065779F" w:rsidRPr="0067516F" w:rsidRDefault="0065779F" w:rsidP="00654A2E">
      <w:pPr>
        <w:snapToGrid w:val="0"/>
        <w:spacing w:line="480" w:lineRule="auto"/>
        <w:contextualSpacing/>
        <w:jc w:val="both"/>
        <w:rPr>
          <w:color w:val="000000"/>
          <w:lang w:val="en-US"/>
        </w:rPr>
      </w:pPr>
      <w:r w:rsidRPr="0067516F">
        <w:rPr>
          <w:color w:val="000000"/>
          <w:lang w:val="en-US"/>
        </w:rPr>
        <w:t>Chlorophyll a (Chl-</w:t>
      </w:r>
      <w:r w:rsidRPr="0067516F">
        <w:rPr>
          <w:i/>
          <w:iCs/>
          <w:color w:val="000000"/>
          <w:lang w:val="en-US"/>
        </w:rPr>
        <w:t>a</w:t>
      </w:r>
      <w:r w:rsidRPr="0067516F">
        <w:rPr>
          <w:color w:val="000000"/>
          <w:lang w:val="en-US"/>
        </w:rPr>
        <w:t>) concentration was measured as a phytoplankton biomass proxy. A volume of 300 mL of water samples was filtered through 0.2 µm polycarbonate filters, and the filters were immediately frozen at −20°C until further analysis. Chl-</w:t>
      </w:r>
      <w:r w:rsidRPr="0067516F">
        <w:rPr>
          <w:i/>
          <w:iCs/>
          <w:color w:val="000000"/>
          <w:lang w:val="en-US"/>
        </w:rPr>
        <w:t>a</w:t>
      </w:r>
      <w:r w:rsidRPr="0067516F">
        <w:rPr>
          <w:color w:val="000000"/>
          <w:lang w:val="en-US"/>
        </w:rPr>
        <w:t xml:space="preserve"> was extracted with 90 % acetone and kept in darkness at 4°C overnight. Fluorescence was determined with a TD-700 Turner Designs fluorometer calibrated with pure Chl-</w:t>
      </w:r>
      <w:r w:rsidRPr="0067516F">
        <w:rPr>
          <w:i/>
          <w:iCs/>
          <w:color w:val="000000"/>
          <w:lang w:val="en-US"/>
        </w:rPr>
        <w:t>a</w:t>
      </w:r>
      <w:r w:rsidRPr="0067516F">
        <w:rPr>
          <w:color w:val="000000"/>
          <w:lang w:val="en-US"/>
        </w:rPr>
        <w:t xml:space="preserve"> standard solution (absorption coefficient at 663 nm = 87.7 </w:t>
      </w:r>
      <w:r w:rsidRPr="0067516F">
        <w:rPr>
          <w:color w:val="000000"/>
          <w:lang w:val="en-US"/>
        </w:rPr>
        <w:fldChar w:fldCharType="begin" w:fldLock="1"/>
      </w:r>
      <w:r w:rsidR="00BB3441">
        <w:rPr>
          <w:color w:val="000000"/>
          <w:lang w:val="en-US"/>
        </w:rPr>
        <w:instrText>ADDIN CSL_CITATION {"citationItems":[{"id":"ITEM-1","itemData":{"DOI":"10.4319/lo.1986.31.2.0449","ISSN":"19395590","abstract":"This article is in Free Access Publication and may be downloaded using the “Download Full Text PDF” link at right. © 1986, by the Association for the Sciences of Limnology and Oceanography, Inc.","author":[{"dropping-particle":"","family":"Lorenzen","given":"C. J.","non-dropping-particle":"","parse-names":false,"suffix":""},{"dropping-particle":"","family":"Newton Downs","given":"J.","non-dropping-particle":"","parse-names":false,"suffix":""}],"container-title":"Limnology and Oceanography","id":"ITEM-1","issue":"2","issued":{"date-parts":[["1986"]]},"page":"449-452","title":"The specific absorption coefficients of chlorophyllide a and pheophorbide a in 90% acetone, and comments on the fluorometric determination of chlorophyll and pheopigments","type":"article-journal","volume":"31"},"uris":["http://www.mendeley.com/documents/?uuid=9bee5a0a-eb5a-45a4-bbf0-98eb0d9e1145"]}],"mendeley":{"formattedCitation":"[4]","plainTextFormattedCitation":"[4]","previouslyFormattedCitation":"[4]"},"properties":{"noteIndex":0},"schema":"https://github.com/citation-style-language/schema/raw/master/csl-citation.json"}</w:instrText>
      </w:r>
      <w:r w:rsidRPr="0067516F">
        <w:rPr>
          <w:color w:val="000000"/>
          <w:lang w:val="en-US"/>
        </w:rPr>
        <w:fldChar w:fldCharType="separate"/>
      </w:r>
      <w:r w:rsidR="00C5426C" w:rsidRPr="00C5426C">
        <w:rPr>
          <w:noProof/>
          <w:color w:val="000000"/>
          <w:lang w:val="en-US"/>
        </w:rPr>
        <w:t>[4]</w:t>
      </w:r>
      <w:r w:rsidRPr="0067516F">
        <w:rPr>
          <w:color w:val="000000"/>
          <w:lang w:val="en-US"/>
        </w:rPr>
        <w:fldChar w:fldCharType="end"/>
      </w:r>
      <w:r w:rsidRPr="0067516F">
        <w:rPr>
          <w:color w:val="000000"/>
          <w:lang w:val="en-US"/>
        </w:rPr>
        <w:t>.</w:t>
      </w:r>
    </w:p>
    <w:p w14:paraId="3B384ABA" w14:textId="77777777" w:rsidR="0065779F" w:rsidRPr="0067516F" w:rsidRDefault="0065779F" w:rsidP="00E32293">
      <w:pPr>
        <w:spacing w:line="480" w:lineRule="auto"/>
        <w:jc w:val="both"/>
        <w:rPr>
          <w:color w:val="000000"/>
          <w:lang w:val="en-US"/>
        </w:rPr>
      </w:pPr>
    </w:p>
    <w:p w14:paraId="79979CC1" w14:textId="77777777" w:rsidR="0065779F" w:rsidRPr="0067516F" w:rsidRDefault="0065779F" w:rsidP="00E32293">
      <w:pPr>
        <w:snapToGrid w:val="0"/>
        <w:spacing w:line="480" w:lineRule="auto"/>
        <w:jc w:val="both"/>
        <w:outlineLvl w:val="1"/>
        <w:rPr>
          <w:b/>
          <w:bCs/>
          <w:color w:val="000000"/>
          <w:lang w:val="en-US"/>
        </w:rPr>
      </w:pPr>
      <w:r w:rsidRPr="0067516F">
        <w:rPr>
          <w:b/>
          <w:bCs/>
          <w:color w:val="000000"/>
          <w:lang w:val="en-US"/>
        </w:rPr>
        <w:t>Prokaryotic abundance and biomass</w:t>
      </w:r>
    </w:p>
    <w:p w14:paraId="48659A7D" w14:textId="264604E9" w:rsidR="0065779F" w:rsidRPr="0067516F" w:rsidRDefault="0065779F" w:rsidP="00654A2E">
      <w:pPr>
        <w:snapToGrid w:val="0"/>
        <w:spacing w:line="480" w:lineRule="auto"/>
        <w:contextualSpacing/>
        <w:jc w:val="both"/>
        <w:rPr>
          <w:lang w:val="en-US"/>
        </w:rPr>
      </w:pPr>
      <w:r w:rsidRPr="0067516F">
        <w:rPr>
          <w:lang w:val="en-US"/>
        </w:rPr>
        <w:t xml:space="preserve">Seawater samples (2 mL) were preserved by adding 1% paraformaldehyde +0.05% glutaraldehyde, incubated for 20 min, quick-frozen by submerged in liquid nitrogen, and stored at −80°C. Prokaryotic abundance was calculated by measuring the signature of side scatter (SSC) and green fluorescence of the stained cells (SybrGreen staining) as described by </w:t>
      </w:r>
      <w:r w:rsidRPr="0067516F">
        <w:rPr>
          <w:noProof/>
          <w:lang w:val="en-US"/>
        </w:rPr>
        <w:t xml:space="preserve">Gasol and Del Giorgio </w:t>
      </w:r>
      <w:r w:rsidRPr="0067516F">
        <w:rPr>
          <w:noProof/>
          <w:lang w:val="en-US"/>
        </w:rPr>
        <w:fldChar w:fldCharType="begin" w:fldLock="1"/>
      </w:r>
      <w:r w:rsidR="00BB3441">
        <w:rPr>
          <w:noProof/>
          <w:lang w:val="en-US"/>
        </w:rPr>
        <w:instrText>ADDIN CSL_CITATION {"citationItems":[{"id":"ITEM-1","itemData":{"DOI":"10.3989/scimar.2000.64n2197","ISSN":"02148358","abstract":"Flow cytometry is rapidly becoming a routine methodology in aquatic microbial ecology. The combination of simple to use bench-top flow cytometers and highly fluorescent nucleic acid stains allows fast and easy determination of microbe abundance in the plankton of lakes and oceans. The different dyes and protocols used to stain and count planktonic bacteria as well as the equipment in use are reviewed, with special attention to some of the problems encountered in daily routine practice such as fixation, staining and absolute counting. One of the main advantages of flow cytometry over epifluorescence microscopy is the ability to obtain cell-specific measurements in large numbers of cells with limited effort. We discuss how this characteristic has been used for differentiating photosynthetic from non-photosynthetic prokaryotes, for measuring bacterial cell size and nucleic acid content, and for estimating the relative activity and physiological state of each cell. We also describe how some of the flow cytometrically obtained data can be used to characterize the role of microbes on carbon cycling in the aquatic environment and we prospect the likely avenues of progress in the study of planktonic prokaryotes through the use of flow cytometry.","author":[{"dropping-particle":"","family":"Gasol","given":"Josep M.","non-dropping-particle":"","parse-names":false,"suffix":""},{"dropping-particle":"","family":"Giorgio","given":"Paul A.","non-dropping-particle":"Del","parse-names":false,"suffix":""}],"container-title":"Scientia Marina","id":"ITEM-1","issue":"2","issued":{"date-parts":[["2000"]]},"page":"197-224","title":"Using flow cytometry for counting natural planktonic bacteria and understanding the structure of planktonic bacterial communities","type":"article-journal","volume":"64"},"uris":["http://www.mendeley.com/documents/?uuid=b69e2b58-6400-49bd-82d6-88da9033f186"]}],"mendeley":{"formattedCitation":"[5]","plainTextFormattedCitation":"[5]","previouslyFormattedCitation":"[5]"},"properties":{"noteIndex":0},"schema":"https://github.com/citation-style-language/schema/raw/master/csl-citation.json"}</w:instrText>
      </w:r>
      <w:r w:rsidRPr="0067516F">
        <w:rPr>
          <w:noProof/>
          <w:lang w:val="en-US"/>
        </w:rPr>
        <w:fldChar w:fldCharType="separate"/>
      </w:r>
      <w:r w:rsidR="00C5426C" w:rsidRPr="00C5426C">
        <w:rPr>
          <w:noProof/>
          <w:lang w:val="en-US"/>
        </w:rPr>
        <w:t>[5]</w:t>
      </w:r>
      <w:r w:rsidRPr="0067516F">
        <w:rPr>
          <w:noProof/>
          <w:lang w:val="en-US"/>
        </w:rPr>
        <w:fldChar w:fldCharType="end"/>
      </w:r>
      <w:r w:rsidRPr="0067516F">
        <w:rPr>
          <w:lang w:val="en-US"/>
        </w:rPr>
        <w:t xml:space="preserve">using a Becton Dickinson FACSCalibur flow cytometer (488‐nm light produced by argon‐ion laser). </w:t>
      </w:r>
      <w:r w:rsidRPr="0067516F">
        <w:rPr>
          <w:rStyle w:val="rynqvb"/>
          <w:lang w:val="en-US"/>
        </w:rPr>
        <w:t xml:space="preserve">Prokaryotic biomass was estimated by measuring the SSC </w:t>
      </w:r>
      <w:r w:rsidRPr="0067516F">
        <w:rPr>
          <w:lang w:val="en-US"/>
        </w:rPr>
        <w:t>and cell diameter</w:t>
      </w:r>
      <w:r w:rsidRPr="0067516F">
        <w:rPr>
          <w:rStyle w:val="rynqvb"/>
          <w:lang w:val="en-US"/>
        </w:rPr>
        <w:t xml:space="preserve"> to calculate </w:t>
      </w:r>
      <w:r w:rsidRPr="0067516F">
        <w:rPr>
          <w:lang w:val="en-US"/>
        </w:rPr>
        <w:t xml:space="preserve">cell biovolume (BV) as described by Calvo-Díaz and Moran </w:t>
      </w:r>
      <w:r w:rsidRPr="0067516F">
        <w:rPr>
          <w:lang w:val="en-US"/>
        </w:rPr>
        <w:fldChar w:fldCharType="begin" w:fldLock="1"/>
      </w:r>
      <w:r w:rsidR="00BB3441">
        <w:rPr>
          <w:lang w:val="en-US"/>
        </w:rPr>
        <w:instrText>ADDIN CSL_CITATION {"citationItems":[{"id":"ITEM-1","itemData":{"DOI":"10.3354/ame042159","ISSN":"09483055","abstract":"Seasonal variations in autotrophic and heterotrophic picoplankton community structure were studied by flow cytometry at 3 shelf stations in the central Cantabrian Sea (southern Bay of Biscay), from April 2002 to April 2003. A marked seasonality was found for autotrophs, with cyanobacteria (Synechococcus and Prochlorococcus) being more important in nutrient-depleted waters (June to October, 75 ± 3 % of picophytoplanktonic cells) whereas picoeukaryotes clearly dominated in terms of biomass during the rest of the year (82 ± 2%). The absence of Prochlorococcus in spring and summer seems to be related to hydrology rather than to nutrient conditions. Under stratification the maximum abundance of cyanobacteria was found above the nutricline, in contrast to picoeukaryotes. Autotrophic groups cell size was strongly influenced by nutrient conditions while chlorophyll a fluorescence varied in parallel to irradiance. Heterotrophic bacteria were less variable than picophytoplankton and high nucleic acid content (HNA) cells dominated the community in winter and spring (64 ± 1 %) but only at depth during the rest of the year. A similar response of low nucleic acid content (LNA) bacteria to environmental conditions suggests they are, at least partially, metabolically active, in contrast to the commonly held view that they are a homogeneous group of dead or dormant cells. A larger mean size of LNA compared with HNA bacteria was consistently observed in winter and spring. Regardless of variations in abundance and group composition, the great constancy of the picoplanktonic contribution to integrated algal biomass (17 ± 2 %) over the seasonal cycle outlines the importance of picophytoplankton also in coastal zones. © Inter-Research 2006.","author":[{"dropping-particle":"","family":"Calvo-Díaz","given":"Alejandra","non-dropping-particle":"","parse-names":false,"suffix":""},{"dropping-particle":"","family":"Morán","given":"Xosé Anxelu G.","non-dropping-particle":"","parse-names":false,"suffix":""}],"container-title":"Aquatic Microbial Ecology","id":"ITEM-1","issue":"2","issued":{"date-parts":[["2006"]]},"page":"159-174","title":"Seasonal dynamics of picoplankton in shelf waters of the southern Bay of Biscay","type":"article-journal","volume":"42"},"uris":["http://www.mendeley.com/documents/?uuid=58afacf5-ec48-4cd1-a539-fed0540f3986"]}],"mendeley":{"formattedCitation":"[6]","plainTextFormattedCitation":"[6]","previouslyFormattedCitation":"[6]"},"properties":{"noteIndex":0},"schema":"https://github.com/citation-style-language/schema/raw/master/csl-citation.json"}</w:instrText>
      </w:r>
      <w:r w:rsidRPr="0067516F">
        <w:rPr>
          <w:lang w:val="en-US"/>
        </w:rPr>
        <w:fldChar w:fldCharType="separate"/>
      </w:r>
      <w:r w:rsidR="00C5426C" w:rsidRPr="00C5426C">
        <w:rPr>
          <w:noProof/>
          <w:lang w:val="en-US"/>
        </w:rPr>
        <w:t>[6]</w:t>
      </w:r>
      <w:r w:rsidRPr="0067516F">
        <w:rPr>
          <w:lang w:val="en-US"/>
        </w:rPr>
        <w:fldChar w:fldCharType="end"/>
      </w:r>
      <w:r w:rsidRPr="0067516F">
        <w:rPr>
          <w:lang w:val="en-US"/>
        </w:rPr>
        <w:t>. BV was converted into biomass using the allometric factor of Norland (1993: fg C cell</w:t>
      </w:r>
      <w:r w:rsidRPr="0067516F">
        <w:rPr>
          <w:vertAlign w:val="superscript"/>
          <w:lang w:val="en-US"/>
        </w:rPr>
        <w:t>−1</w:t>
      </w:r>
      <w:r w:rsidRPr="0067516F">
        <w:rPr>
          <w:lang w:val="en-US"/>
        </w:rPr>
        <w:t xml:space="preserve"> = 120×BV</w:t>
      </w:r>
      <w:r w:rsidRPr="0067516F">
        <w:rPr>
          <w:vertAlign w:val="superscript"/>
          <w:lang w:val="en-US"/>
        </w:rPr>
        <w:t xml:space="preserve">0.72) </w:t>
      </w:r>
      <w:r w:rsidRPr="0067516F">
        <w:rPr>
          <w:lang w:val="en-US"/>
        </w:rPr>
        <w:t>for the coastal experiments and the open-ocean conversion factor for the oceanic experiments (fg C cell</w:t>
      </w:r>
      <w:r w:rsidRPr="0067516F">
        <w:rPr>
          <w:vertAlign w:val="superscript"/>
          <w:lang w:val="en-US"/>
        </w:rPr>
        <w:t>−1</w:t>
      </w:r>
      <w:r w:rsidRPr="0067516F">
        <w:rPr>
          <w:lang w:val="en-US"/>
        </w:rPr>
        <w:t xml:space="preserve"> = 350×BV).</w:t>
      </w:r>
    </w:p>
    <w:p w14:paraId="49684D38" w14:textId="77777777" w:rsidR="00654A2E" w:rsidRPr="0067516F" w:rsidRDefault="00654A2E" w:rsidP="00E32293">
      <w:pPr>
        <w:snapToGrid w:val="0"/>
        <w:spacing w:line="480" w:lineRule="auto"/>
        <w:contextualSpacing/>
        <w:jc w:val="both"/>
        <w:rPr>
          <w:lang w:val="en-US"/>
        </w:rPr>
      </w:pPr>
    </w:p>
    <w:p w14:paraId="7CE48958" w14:textId="77777777" w:rsidR="0065779F" w:rsidRPr="0067516F" w:rsidRDefault="0065779F" w:rsidP="00E32293">
      <w:pPr>
        <w:snapToGrid w:val="0"/>
        <w:spacing w:line="480" w:lineRule="auto"/>
        <w:jc w:val="both"/>
        <w:outlineLvl w:val="1"/>
        <w:rPr>
          <w:b/>
          <w:bCs/>
          <w:color w:val="000000"/>
          <w:lang w:val="en-US"/>
        </w:rPr>
      </w:pPr>
      <w:r w:rsidRPr="0067516F">
        <w:rPr>
          <w:b/>
          <w:bCs/>
          <w:color w:val="000000"/>
          <w:lang w:val="en-US"/>
        </w:rPr>
        <w:t>Microbial community composition</w:t>
      </w:r>
    </w:p>
    <w:p w14:paraId="6675F04C" w14:textId="1C2A6FE7" w:rsidR="0065779F" w:rsidRPr="0067516F" w:rsidRDefault="00654A2E" w:rsidP="00654A2E">
      <w:pPr>
        <w:tabs>
          <w:tab w:val="left" w:pos="720"/>
        </w:tabs>
        <w:snapToGrid w:val="0"/>
        <w:spacing w:line="480" w:lineRule="auto"/>
        <w:contextualSpacing/>
        <w:jc w:val="both"/>
        <w:rPr>
          <w:color w:val="000000"/>
          <w:lang w:val="en-US"/>
        </w:rPr>
      </w:pPr>
      <w:r w:rsidRPr="00654A2E">
        <w:rPr>
          <w:color w:val="000000"/>
          <w:lang w:val="en-US"/>
        </w:rPr>
        <w:t>A total of 24 DNA samples were taken at the surface in the coastal and oceanic stations on day 1, day 3, day 5, and day 7 of each cruise.</w:t>
      </w:r>
      <w:r>
        <w:rPr>
          <w:color w:val="000000"/>
          <w:sz w:val="20"/>
          <w:szCs w:val="20"/>
          <w:bdr w:val="none" w:sz="0" w:space="0" w:color="auto" w:frame="1"/>
        </w:rPr>
        <w:t xml:space="preserve"> </w:t>
      </w:r>
      <w:r w:rsidR="0065779F" w:rsidRPr="0067516F">
        <w:rPr>
          <w:color w:val="000000"/>
          <w:lang w:val="en-US"/>
        </w:rPr>
        <w:t xml:space="preserve">Community composition was assessed by </w:t>
      </w:r>
      <w:r w:rsidR="0065779F" w:rsidRPr="0067516F">
        <w:rPr>
          <w:color w:val="000000"/>
          <w:lang w:val="en-US"/>
        </w:rPr>
        <w:lastRenderedPageBreak/>
        <w:t xml:space="preserve">sequencing the 16S rRNA gene (16S rDNA) for prokaryotes and the 18S rRNA gene (18S rDNA) for eukaryotes. Water samples were sequentially filtered through 3 µm pore size polycarbonate filters </w:t>
      </w:r>
      <w:r w:rsidR="00D13CF9">
        <w:rPr>
          <w:color w:val="000000"/>
          <w:lang w:val="en-US"/>
        </w:rPr>
        <w:t xml:space="preserve">(Millipore, Italy) </w:t>
      </w:r>
      <w:r w:rsidR="0065779F" w:rsidRPr="0067516F">
        <w:rPr>
          <w:color w:val="000000"/>
          <w:lang w:val="en-US"/>
        </w:rPr>
        <w:t xml:space="preserve">and a 0.2 µm pore size Sterivex </w:t>
      </w:r>
      <w:r w:rsidR="00D13CF9">
        <w:rPr>
          <w:color w:val="000000"/>
          <w:lang w:val="en-US"/>
        </w:rPr>
        <w:t xml:space="preserve">(Millipore, Italy) </w:t>
      </w:r>
      <w:r w:rsidR="0065779F" w:rsidRPr="0067516F">
        <w:rPr>
          <w:color w:val="000000"/>
          <w:lang w:val="en-US"/>
        </w:rPr>
        <w:t xml:space="preserve">filter and immediately frozen in liquid nitrogen and conserved at −80°C. DNA retained in the 3 and 0.2 µm filters were extracted using the PowerSoil DNA isolation kit (MoBio Laboratories Inc., CA, USA) and the PowerWater DNA isolation kit (MoBio Laboratories Inc., CA, USA), respectively, according to the manufacturer’s instructions. Prokaryotic DNA from 0.2 µm filters was amplified using the universal primers 515F and 926R </w:t>
      </w:r>
      <w:r w:rsidR="0065779F" w:rsidRPr="0067516F">
        <w:rPr>
          <w:color w:val="000000"/>
          <w:lang w:val="en-US"/>
        </w:rPr>
        <w:fldChar w:fldCharType="begin" w:fldLock="1"/>
      </w:r>
      <w:r w:rsidR="00BB3441">
        <w:rPr>
          <w:color w:val="000000"/>
          <w:lang w:val="en-US"/>
        </w:rPr>
        <w:instrText>ADDIN CSL_CITATION {"citationItems":[{"id":"ITEM-1","itemData":{"DOI":"10.1111/1462-2920.13023","ISSN":"14622920","PMID":"26271760","abstract":"Microbial community analysis via high-throughput sequencing of amplified 16S rRNA genes is an essential microbiology tool. We found the popular primer pair 515F (515F-C) and 806R greatly underestimated (e.g. SAR11) or overestimated (e.g. Gammaproteobacteria) common marine taxa. We evaluated marine samples and mock communities (containing 11 or 27 marine 16S clones), showing alternative primers 515F-Y (5′-GTGYCAGCMGCCGCGGTAA) and 926R (5′-CCGYCAATTYMTTTRAGTTT) yield more accurate estimates of mock community abundances, produce longer amplicons that can differentiate taxa unresolvable with 515F-C/806R, and amplify eukaryotic 18S rRNA. Mock communities amplified with 515F-Y/926R yielded closer observed community composition versus expected (r2=0.95) compared with 515F-Y/806R (r2</w:instrText>
      </w:r>
      <w:r w:rsidR="00BB3441">
        <w:rPr>
          <w:rFonts w:ascii="Cambria Math" w:hAnsi="Cambria Math" w:cs="Cambria Math"/>
          <w:color w:val="000000"/>
          <w:lang w:val="en-US"/>
        </w:rPr>
        <w:instrText>∼</w:instrText>
      </w:r>
      <w:r w:rsidR="00BB3441">
        <w:rPr>
          <w:color w:val="000000"/>
          <w:lang w:val="en-US"/>
        </w:rPr>
        <w:instrText>0.5). Unexpectedly, biases with 515F-Y/806R against SAR11 in field samples (</w:instrText>
      </w:r>
      <w:r w:rsidR="00BB3441">
        <w:rPr>
          <w:rFonts w:ascii="Cambria Math" w:hAnsi="Cambria Math" w:cs="Cambria Math"/>
          <w:color w:val="000000"/>
          <w:lang w:val="en-US"/>
        </w:rPr>
        <w:instrText>∼</w:instrText>
      </w:r>
      <w:r w:rsidR="00BB3441">
        <w:rPr>
          <w:color w:val="000000"/>
          <w:lang w:val="en-US"/>
        </w:rPr>
        <w:instrText>4-10-fold) were stronger than in mock communities (</w:instrText>
      </w:r>
      <w:r w:rsidR="00BB3441">
        <w:rPr>
          <w:rFonts w:ascii="Cambria Math" w:hAnsi="Cambria Math" w:cs="Cambria Math"/>
          <w:color w:val="000000"/>
          <w:lang w:val="en-US"/>
        </w:rPr>
        <w:instrText>∼</w:instrText>
      </w:r>
      <w:r w:rsidR="00BB3441">
        <w:rPr>
          <w:color w:val="000000"/>
          <w:lang w:val="en-US"/>
        </w:rPr>
        <w:instrText xml:space="preserve">2-fold). Correcting a mismatch to Thaumarchaea in the 515F-C increased their apparent abundance in field samples, but not as much as using 926R rather than 806R. With plankton samples rich in eukaryotic DNA (&gt;1μm size fraction), 18S sequences averaged </w:instrText>
      </w:r>
      <w:r w:rsidR="00BB3441">
        <w:rPr>
          <w:rFonts w:ascii="Cambria Math" w:hAnsi="Cambria Math" w:cs="Cambria Math"/>
          <w:color w:val="000000"/>
          <w:lang w:val="en-US"/>
        </w:rPr>
        <w:instrText>∼</w:instrText>
      </w:r>
      <w:r w:rsidR="00BB3441">
        <w:rPr>
          <w:color w:val="000000"/>
          <w:lang w:val="en-US"/>
        </w:rPr>
        <w:instrText>17% of all sequences. A single mismatch can strongly bias amplification, but even perfectly matched primers can exhibit preferential amplification. We show that beyond in silico predictions, testing with mock communities and field samples is important in primer selection.","author":[{"dropping-particle":"","family":"Parada","given":"Alma E.","non-dropping-particle":"","parse-names":false,"suffix":""},{"dropping-particle":"","family":"Needham","given":"David M.","non-dropping-particle":"","parse-names":false,"suffix":""},{"dropping-particle":"","family":"Fuhrman","given":"Jed A.","non-dropping-particle":"","parse-names":false,"suffix":""}],"container-title":"Environmental Microbiology","id":"ITEM-1","issue":"5","issued":{"date-parts":[["2016"]]},"page":"1403-1414","title":"Every base matters: Assessing small subunit rRNA primers for marine microbiomes with mock communities, time series and global field samples","type":"article-journal","volume":"18"},"uris":["http://www.mendeley.com/documents/?uuid=9a1c1dac-4210-48f4-8588-64abbbd89e4e"]}],"mendeley":{"formattedCitation":"[7]","plainTextFormattedCitation":"[7]","previouslyFormattedCitation":"[7]"},"properties":{"noteIndex":0},"schema":"https://github.com/citation-style-language/schema/raw/master/csl-citation.json"}</w:instrText>
      </w:r>
      <w:r w:rsidR="0065779F" w:rsidRPr="0067516F">
        <w:rPr>
          <w:color w:val="000000"/>
          <w:lang w:val="en-US"/>
        </w:rPr>
        <w:fldChar w:fldCharType="separate"/>
      </w:r>
      <w:r w:rsidR="00C5426C" w:rsidRPr="00C5426C">
        <w:rPr>
          <w:noProof/>
          <w:color w:val="000000"/>
          <w:lang w:val="en-US"/>
        </w:rPr>
        <w:t>[7]</w:t>
      </w:r>
      <w:r w:rsidR="0065779F" w:rsidRPr="0067516F">
        <w:rPr>
          <w:color w:val="000000"/>
          <w:lang w:val="en-US"/>
        </w:rPr>
        <w:fldChar w:fldCharType="end"/>
      </w:r>
      <w:r w:rsidR="0065779F" w:rsidRPr="0067516F">
        <w:rPr>
          <w:noProof/>
          <w:color w:val="000000"/>
          <w:lang w:val="en-US"/>
        </w:rPr>
        <w:t xml:space="preserve"> </w:t>
      </w:r>
      <w:r w:rsidR="0065779F" w:rsidRPr="0067516F">
        <w:rPr>
          <w:color w:val="000000"/>
          <w:lang w:val="en-US"/>
        </w:rPr>
        <w:t xml:space="preserve"> and eukaryotic DNA from 3 and 0.2 µm filters, using the primers TAReuk454FWD1 and TAReukREV3 </w:t>
      </w:r>
      <w:r w:rsidR="0065779F" w:rsidRPr="0067516F">
        <w:rPr>
          <w:color w:val="000000"/>
          <w:lang w:val="en-US"/>
        </w:rPr>
        <w:fldChar w:fldCharType="begin" w:fldLock="1"/>
      </w:r>
      <w:r w:rsidR="00BB3441">
        <w:rPr>
          <w:color w:val="000000"/>
          <w:lang w:val="en-US"/>
        </w:rPr>
        <w:instrText>ADDIN CSL_CITATION {"citationItems":[{"id":"ITEM-1","itemData":{"DOI":"10.1016/j.cub.2014.02.050","ISSN":"09609822","PMID":"24704080","abstract":"Background: Biological communities are normally composed of a few abundant and many rare species. This pattern is particularly prominent in microbial communities, in which most constituent taxa are usually extremely rare. Although abundant and rare subcommunities may present intrinsic characteristics that could be crucial for understanding community dynamics and ecosystem functioning, microbiologists normally do not differentiate between them. Here, we investigate abundant and rare subcommunities of marine microbial eukaryotes, a crucial group of organisms that remains among the least-explored biodiversity components of the biosphere. We surveyed surface waters of six separate coastal locations in Europe, independently considering the picoplankton, nanoplankton, and microplankton/mesoplankton organismal size fractions. Results: Deep Illumina sequencing of the 18S rRNA indicated that the abundant regional community was mostly structured by organismal size fraction, whereas the rare regional community was mainly structured by geographic origin. However, some abundant and rare taxa presented similar biogeography, pointing to spatiotemporal structure in the rare microeukaryote biosphere. Abundant and rare subcommunities presented regular proportions across samples, indicating similar species-abundance distributions despite taxonomic compositional variation. Several taxa were abundant in one location and rare in other locations, suggesting large oscillations in abundance. The substantial amount of metabolically active lineages found in the rare biosphere suggests that this subcommunity constitutes a diversity reservoir that can respond rapidly to environmental change. Conclusions: We propose that marine planktonic microeukaryote assemblages incorporate dynamic and metabolically active abundant and rare subcommunities, with contrasting structuring patterns but fairly regular proportions, across space and time. © 2014 Elsevier Ltd.","author":[{"dropping-particle":"","family":"Logares","given":"Ramiro","non-dropping-particle":"","parse-names":false,"suffix":""},{"dropping-particle":"","family":"Audic","given":"Stéphane","non-dropping-particle":"","parse-names":false,"suffix":""},{"dropping-particle":"","family":"Bass","given":"David","non-dropping-particle":"","parse-names":false,"suffix":""},{"dropping-particle":"","family":"Bittner","given":"Lucie","non-dropping-particle":"","parse-names":false,"suffix":""},{"dropping-particle":"","family":"Boutte","given":"Christophe","non-dropping-particle":"","parse-names":false,"suffix":""},{"dropping-particle":"","family":"Christen","given":"Richard","non-dropping-particle":"","parse-names":false,"suffix":""},{"dropping-particle":"","family":"Claverie","given":"Jean Michel","non-dropping-particle":"","parse-names":false,"suffix":""},{"dropping-particle":"","family":"Decelle","given":"Johan","non-dropping-particle":"","parse-names":false,"suffix":""},{"dropping-particle":"","family":"Dolan","given":"John R.","non-dropping-particle":"","parse-names":false,"suffix":""},{"dropping-particle":"","family":"Dunthorn","given":"Micah","non-dropping-particle":"","parse-names":false,"suffix":""},{"dropping-particle":"","family":"Edvardsen","given":"Bente","non-dropping-particle":"","parse-names":false,"suffix":""},{"dropping-particle":"","family":"Gobet","given":"Angélique","non-dropping-particle":"","parse-names":false,"suffix":""},{"dropping-particle":"","family":"Kooistra","given":"Wiebe H.C.F.","non-dropping-particle":"","parse-names":false,"suffix":""},{"dropping-particle":"","family":"Mahé","given":"Frédéric","non-dropping-particle":"","parse-names":false,"suffix":""},{"dropping-particle":"","family":"Not","given":"Fabrice","non-dropping-particle":"","parse-names":false,"suffix":""},{"dropping-particle":"","family":"Ogata","given":"Hiroyuki","non-dropping-particle":"","parse-names":false,"suffix":""},{"dropping-particle":"","family":"Pawlowski","given":"Jan","non-dropping-particle":"","parse-names":false,"suffix":""},{"dropping-particle":"","family":"Pernice","given":"Massimo C.","non-dropping-particle":"","parse-names":false,"suffix":""},{"dropping-particle":"","family":"Romac","given":"Sarah","non-dropping-particle":"","parse-names":false,"suffix":""},{"dropping-particle":"","family":"Shalchian-Tabrizi","given":"Kamran","non-dropping-particle":"","parse-names":false,"suffix":""},{"dropping-particle":"","family":"Simon","given":"Nathalie","non-dropping-particle":"","parse-names":false,"suffix":""},{"dropping-particle":"","family":"Stoeck","given":"Thorsten","non-dropping-particle":"","parse-names":false,"suffix":""},{"dropping-particle":"","family":"Santini","given":"Sébastien","non-dropping-particle":"","parse-names":false,"suffix":""},{"dropping-particle":"","family":"Siano","given":"Raffaele","non-dropping-particle":"","parse-names":false,"suffix":""},{"dropping-particle":"","family":"Wincker","given":"Patrick","non-dropping-particle":"","parse-names":false,"suffix":""},{"dropping-particle":"","family":"Zingone","given":"Adriana","non-dropping-particle":"","parse-names":false,"suffix":""},{"dropping-particle":"","family":"Richards","given":"Thomas A.","non-dropping-particle":"","parse-names":false,"suffix":""},{"dropping-particle":"","family":"Vargas","given":"Colomban","non-dropping-particle":"De","parse-names":false,"suffix":""},{"dropping-particle":"","family":"Massana","given":"Ramon","non-dropping-particle":"","parse-names":false,"suffix":""}],"container-title":"Current Biology","id":"ITEM-1","issue":"8","issued":{"date-parts":[["2014"]]},"page":"813-821","title":"Patterns of rare and abundant marine microbial eukaryotes","type":"article-journal","volume":"24"},"uris":["http://www.mendeley.com/documents/?uuid=76824255-68d2-40a9-ad58-9d98cad9e6eb"]}],"mendeley":{"formattedCitation":"[8]","plainTextFormattedCitation":"[8]","previouslyFormattedCitation":"[8]"},"properties":{"noteIndex":0},"schema":"https://github.com/citation-style-language/schema/raw/master/csl-citation.json"}</w:instrText>
      </w:r>
      <w:r w:rsidR="0065779F" w:rsidRPr="0067516F">
        <w:rPr>
          <w:color w:val="000000"/>
          <w:lang w:val="en-US"/>
        </w:rPr>
        <w:fldChar w:fldCharType="separate"/>
      </w:r>
      <w:r w:rsidR="00C5426C" w:rsidRPr="00C5426C">
        <w:rPr>
          <w:color w:val="000000"/>
          <w:lang w:val="en-US"/>
        </w:rPr>
        <w:t>[8]</w:t>
      </w:r>
      <w:r w:rsidR="0065779F" w:rsidRPr="0067516F">
        <w:rPr>
          <w:color w:val="000000"/>
          <w:lang w:val="en-US"/>
        </w:rPr>
        <w:fldChar w:fldCharType="end"/>
      </w:r>
      <w:r w:rsidR="0065779F" w:rsidRPr="0067516F">
        <w:rPr>
          <w:color w:val="000000"/>
          <w:lang w:val="en-US"/>
        </w:rPr>
        <w:t>. Amplified regions were sequenced in an Illumina Miseq platform</w:t>
      </w:r>
      <w:r>
        <w:rPr>
          <w:color w:val="000000"/>
          <w:lang w:val="en-US"/>
        </w:rPr>
        <w:t>,</w:t>
      </w:r>
      <w:r w:rsidR="003F42C3">
        <w:rPr>
          <w:color w:val="000000"/>
          <w:lang w:val="en-US"/>
        </w:rPr>
        <w:t xml:space="preserve"> </w:t>
      </w:r>
      <w:r w:rsidRPr="00654A2E">
        <w:rPr>
          <w:color w:val="000000"/>
          <w:lang w:val="en-US"/>
        </w:rPr>
        <w:t>with a sequencing depth of 10 million reads</w:t>
      </w:r>
      <w:r>
        <w:rPr>
          <w:color w:val="000000"/>
          <w:lang w:val="en-US"/>
        </w:rPr>
        <w:t xml:space="preserve">, </w:t>
      </w:r>
      <w:r w:rsidR="00AF0933" w:rsidRPr="00AF0933">
        <w:rPr>
          <w:color w:val="000000"/>
          <w:lang w:val="en-US"/>
        </w:rPr>
        <w:t>at the Research and Testing Laboratory (Lubbock, TX, USA)</w:t>
      </w:r>
      <w:r w:rsidR="0065779F" w:rsidRPr="0067516F">
        <w:rPr>
          <w:color w:val="000000"/>
          <w:lang w:val="en-US"/>
        </w:rPr>
        <w:t xml:space="preserve">. The sequences obtained were analyzed with the </w:t>
      </w:r>
      <w:r>
        <w:rPr>
          <w:color w:val="000000"/>
          <w:lang w:val="en-US"/>
        </w:rPr>
        <w:t>S</w:t>
      </w:r>
      <w:r w:rsidR="0065779F" w:rsidRPr="0067516F">
        <w:rPr>
          <w:color w:val="000000"/>
          <w:lang w:val="en-US"/>
        </w:rPr>
        <w:t xml:space="preserve">oftware DADA2 for amplicon sequence variants (ASVs) </w:t>
      </w:r>
      <w:r w:rsidR="0065779F" w:rsidRPr="0067516F">
        <w:rPr>
          <w:color w:val="000000"/>
          <w:lang w:val="en-US"/>
        </w:rPr>
        <w:fldChar w:fldCharType="begin" w:fldLock="1"/>
      </w:r>
      <w:r w:rsidR="00BB3441">
        <w:rPr>
          <w:color w:val="000000"/>
          <w:lang w:val="en-US"/>
        </w:rPr>
        <w:instrText>ADDIN CSL_CITATION {"citationItems":[{"id":"ITEM-1","itemData":{"DOI":"10.1038/nmeth.3869","ISSN":"15487105","PMID":"27214047","abstract":"We present the open-source software package DADA2 for modeling and correcting Illumina-sequenced amplicon errors (https://github.com/benjjneb/dada2). DADA2 infers sample sequences exactly and resolves differences of as little as 1 nucleotide. In several mock communities, DADA2 identified more real variants and output fewer spurious sequences than other methods. We applied DADA2 to vaginal samples from a cohort of pregnant women, revealing a diversity of previously undetected Lactobacillus crispatus variants.","author":[{"dropping-particle":"","family":"Callahan","given":"Benjamin J.","non-dropping-particle":"","parse-names":false,"suffix":""},{"dropping-particle":"","family":"McMurdie","given":"Paul J.","non-dropping-particle":"","parse-names":false,"suffix":""},{"dropping-particle":"","family":"Rosen","given":"Michael J.","non-dropping-particle":"","parse-names":false,"suffix":""},{"dropping-particle":"","family":"Han","given":"Andrew W.","non-dropping-particle":"","parse-names":false,"suffix":""},{"dropping-particle":"","family":"Johnson","given":"Amy Jo A.","non-dropping-particle":"","parse-names":false,"suffix":""},{"dropping-particle":"","family":"Holmes","given":"Susan P.","non-dropping-particle":"","parse-names":false,"suffix":""}],"container-title":"Nature Methods","id":"ITEM-1","issue":"7","issued":{"date-parts":[["2016"]]},"page":"581-583","publisher":"Nature Publishing Group","title":"DADA2: High-resolution sample inference from Illumina amplicon data","type":"article-journal","volume":"13"},"uris":["http://www.mendeley.com/documents/?uuid=8d419b20-1d04-45c9-a07c-888f0a416cd7"]}],"mendeley":{"formattedCitation":"[9]","plainTextFormattedCitation":"[9]","previouslyFormattedCitation":"[9]"},"properties":{"noteIndex":0},"schema":"https://github.com/citation-style-language/schema/raw/master/csl-citation.json"}</w:instrText>
      </w:r>
      <w:r w:rsidR="0065779F" w:rsidRPr="0067516F">
        <w:rPr>
          <w:color w:val="000000"/>
          <w:lang w:val="en-US"/>
        </w:rPr>
        <w:fldChar w:fldCharType="separate"/>
      </w:r>
      <w:r w:rsidR="00C5426C" w:rsidRPr="00C5426C">
        <w:rPr>
          <w:noProof/>
          <w:color w:val="000000"/>
          <w:lang w:val="en-US"/>
        </w:rPr>
        <w:t>[9]</w:t>
      </w:r>
      <w:r w:rsidR="0065779F" w:rsidRPr="0067516F">
        <w:rPr>
          <w:color w:val="000000"/>
          <w:lang w:val="en-US"/>
        </w:rPr>
        <w:fldChar w:fldCharType="end"/>
      </w:r>
      <w:r w:rsidR="0065779F" w:rsidRPr="0067516F">
        <w:rPr>
          <w:color w:val="000000"/>
          <w:lang w:val="en-US"/>
        </w:rPr>
        <w:t xml:space="preserve"> using the SILVA reference database for taxonomic assignment of 16S </w:t>
      </w:r>
      <w:r w:rsidR="0065779F" w:rsidRPr="0067516F">
        <w:rPr>
          <w:color w:val="000000"/>
          <w:lang w:val="en-US"/>
        </w:rPr>
        <w:fldChar w:fldCharType="begin" w:fldLock="1"/>
      </w:r>
      <w:r w:rsidR="00BB3441">
        <w:rPr>
          <w:color w:val="000000"/>
          <w:lang w:val="en-US"/>
        </w:rPr>
        <w:instrText>ADDIN CSL_CITATION {"citationItems":[{"id":"ITEM-1","itemData":{"DOI":"10.1093/nar/gks1219","ISSN":"03051048","PMID":"23193283","abstract":"SILVA (from Latin silva, forest, http://www.arb-silva.de) is a comprehensive web resource for up to date, quality-controlled databases of aligned ribosomal RNA (rRNA) gene sequences from the Bacteria, Archaea and Eukaryota domains and supplementary online services. The referred database release 111 (July 2012) contains 3194 778 small subunit and 288717 large subunit rRNA gene sequences. Since the initial description of the project, substantial new features have been introduced, including advanced quality control procedures, an improved rRNA gene aligner, online tools for probe and primer evaluation and optimized browsing, searching and downloading on the website. Furthermore, the extensively curated SILVA taxonomy and the new non-redundant SILVA datasets provide an ideal reference for high-throughput classification of data from next-generation sequencing approaches. © The Author(s) 2012.","author":[{"dropping-particle":"","family":"Quast","given":"Christian","non-dropping-particle":"","parse-names":false,"suffix":""},{"dropping-particle":"","family":"Pruesse","given":"Elmar","non-dropping-particle":"","parse-names":false,"suffix":""},{"dropping-particle":"","family":"Yilmaz","given":"Pelin","non-dropping-particle":"","parse-names":false,"suffix":""},{"dropping-particle":"","family":"Gerken","given":"Jan","non-dropping-particle":"","parse-names":false,"suffix":""},{"dropping-particle":"","family":"Schweer","given":"Timmy","non-dropping-particle":"","parse-names":false,"suffix":""},{"dropping-particle":"","family":"Yarza","given":"Pablo","non-dropping-particle":"","parse-names":false,"suffix":""},{"dropping-particle":"","family":"Peplies","given":"Jörg","non-dropping-particle":"","parse-names":false,"suffix":""},{"dropping-particle":"","family":"Glöckner","given":"Frank Oliver","non-dropping-particle":"","parse-names":false,"suffix":""}],"container-title":"Nucleic Acids Research","id":"ITEM-1","issue":"D1","issued":{"date-parts":[["2013"]]},"page":"590-596","title":"The SILVA ribosomal RNA gene database project: Improved data processing and web-based tools","type":"article-journal","volume":"41"},"uris":["http://www.mendeley.com/documents/?uuid=09d0462e-c4cc-40ab-831e-8fbfff5fdbe5"]}],"mendeley":{"formattedCitation":"[10]","plainTextFormattedCitation":"[10]","previouslyFormattedCitation":"[10]"},"properties":{"noteIndex":0},"schema":"https://github.com/citation-style-language/schema/raw/master/csl-citation.json"}</w:instrText>
      </w:r>
      <w:r w:rsidR="0065779F" w:rsidRPr="0067516F">
        <w:rPr>
          <w:color w:val="000000"/>
          <w:lang w:val="en-US"/>
        </w:rPr>
        <w:fldChar w:fldCharType="separate"/>
      </w:r>
      <w:r w:rsidR="00C5426C" w:rsidRPr="00C5426C">
        <w:rPr>
          <w:noProof/>
          <w:color w:val="000000"/>
          <w:lang w:val="en-US"/>
        </w:rPr>
        <w:t>[10]</w:t>
      </w:r>
      <w:r w:rsidR="0065779F" w:rsidRPr="0067516F">
        <w:rPr>
          <w:color w:val="000000"/>
          <w:lang w:val="en-US"/>
        </w:rPr>
        <w:fldChar w:fldCharType="end"/>
      </w:r>
      <w:r w:rsidR="0065779F" w:rsidRPr="0067516F">
        <w:rPr>
          <w:color w:val="000000"/>
          <w:lang w:val="en-US"/>
        </w:rPr>
        <w:t xml:space="preserve">, and the databases PR2 </w:t>
      </w:r>
      <w:r w:rsidR="0065779F" w:rsidRPr="0067516F">
        <w:rPr>
          <w:color w:val="000000"/>
          <w:lang w:val="en-US"/>
        </w:rPr>
        <w:fldChar w:fldCharType="begin" w:fldLock="1"/>
      </w:r>
      <w:r w:rsidR="00BB3441">
        <w:rPr>
          <w:color w:val="000000"/>
          <w:lang w:val="en-US"/>
        </w:rPr>
        <w:instrText>ADDIN CSL_CITATION {"citationItems":[{"id":"ITEM-1","itemData":{"DOI":"10.1093/nar/gks1160","ISSN":"03051048","PMID":"23193267","abstract":"The interrogation of genetic markers in environmental meta-barcoding studies is currently seriously hindered by the lack of taxonomically curated reference data sets for the targeted genes. The Protist Ribosomal Reference database (PR2, http://ssu-rrna.org/) provides a unique access to eukaryotic small sub-unit (SSU) ribosomal RNA and DNA sequences, with curated taxonomy. The database mainly consists of nuclear-encoded protistan sequences. However, metazoans, land plants, macrosporic fungi and eukaryotic organelles (mitochondrion, plastid and others) are also included because they are useful for the analysis of high-troughput sequencing data sets. Introns and putative chimeric sequences have been also carefully checked. Taxonomic assignation of sequences consists of eight unique taxonomic fields. In total, 136866 sequences are nuclear encoded, 45708 (36 501 mitochondrial and 9657 chloroplastic) are from organelles, the remaining being putative chimeric sequences. The website allows the users to download sequences from the entire and partial databases (including representative sequences after clustering at a given level of similarity). Different web tools also allow searches by sequence similarity. The presence of both rRNA and rDNA sequences, taking into account introns (crucial for eukaryotic sequences), a normalized eight terms ranked-taxonomy and updates of new GenBank releases were made possible by a long-term collaboration between experts in taxonomy and computer scientists. © The Author(s) 2012.","author":[{"dropping-particle":"","family":"Guillou","given":"Laure","non-dropping-particle":"","parse-names":false,"suffix":""},{"dropping-particle":"","family":"Bachar","given":"Dipankar","non-dropping-particle":"","parse-names":false,"suffix":""},{"dropping-particle":"","family":"Audic","given":"Stéphane","non-dropping-particle":"","parse-names":false,"suffix":""},{"dropping-particle":"","family":"Bass","given":"David","non-dropping-particle":"","parse-names":false,"suffix":""},{"dropping-particle":"","family":"Berney","given":"Cédric","non-dropping-particle":"","parse-names":false,"suffix":""},{"dropping-particle":"","family":"Bittner","given":"Lucie","non-dropping-particle":"","parse-names":false,"suffix":""},{"dropping-particle":"","family":"Boutte","given":"Christophe","non-dropping-particle":"","parse-names":false,"suffix":""},{"dropping-particle":"","family":"Burgaud","given":"Gaétan","non-dropping-particle":"","parse-names":false,"suffix":""},{"dropping-particle":"","family":"Vargas","given":"Colomban","non-dropping-particle":"De","parse-names":false,"suffix":""},{"dropping-particle":"","family":"Decelle","given":"Johan","non-dropping-particle":"","parse-names":false,"suffix":""},{"dropping-particle":"","family":"Campo","given":"Javier","non-dropping-particle":"Del","parse-names":false,"suffix":""},{"dropping-particle":"","family":"Dolan","given":"John R.","non-dropping-particle":"","parse-names":false,"suffix":""},{"dropping-particle":"","family":"Dunthorn","given":"Micah","non-dropping-particle":"","parse-names":false,"suffix":""},{"dropping-particle":"","family":"Edvardsen","given":"Bente","non-dropping-particle":"","parse-names":false,"suffix":""},{"dropping-particle":"","family":"Holzmann","given":"Maria","non-dropping-particle":"","parse-names":false,"suffix":""},{"dropping-particle":"","family":"Kooistra","given":"Wiebe H.C.F.","non-dropping-particle":"","parse-names":false,"suffix":""},{"dropping-particle":"","family":"Lara","given":"Enrique","non-dropping-particle":"","parse-names":false,"suffix":""},{"dropping-particle":"","family":"Bescot","given":"Noan","non-dropping-particle":"Le","parse-names":false,"suffix":""},{"dropping-particle":"","family":"Logares","given":"Ramiro","non-dropping-particle":"","parse-names":false,"suffix":""},{"dropping-particle":"","family":"Mahé","given":"Frédéric","non-dropping-particle":"","parse-names":false,"suffix":""},{"dropping-particle":"","family":"Massana","given":"Ramon","non-dropping-particle":"","parse-names":false,"suffix":""},{"dropping-particle":"","family":"Montresor","given":"Marina","non-dropping-particle":"","parse-names":false,"suffix":""},{"dropping-particle":"","family":"Morard","given":"Raphael","non-dropping-particle":"","parse-names":false,"suffix":""},{"dropping-particle":"","family":"Not","given":"Fabrice","non-dropping-particle":"","parse-names":false,"suffix":""},{"dropping-particle":"","family":"Pawlowski","given":"Jan","non-dropping-particle":"","parse-names":false,"suffix":""},{"dropping-particle":"","family":"Probert","given":"Ian","non-dropping-particle":"","parse-names":false,"suffix":""},{"dropping-particle":"","family":"Sauvadet","given":"Anne Laure","non-dropping-particle":"","parse-names":false,"suffix":""},{"dropping-particle":"","family":"Siano","given":"Raffaele","non-dropping-particle":"","parse-names":false,"suffix":""},{"dropping-particle":"","family":"Stoeck","given":"Thorsten","non-dropping-particle":"","parse-names":false,"suffix":""},{"dropping-particle":"","family":"Vaulot","given":"Daniel","non-dropping-particle":"","parse-names":false,"suffix":""},{"dropping-particle":"","family":"Zimmermann","given":"Pascal","non-dropping-particle":"","parse-names":false,"suffix":""},{"dropping-particle":"","family":"Christen","given":"Richard","non-dropping-particle":"","parse-names":false,"suffix":""}],"container-title":"Nucleic Acids Research","id":"ITEM-1","issue":"D1","issued":{"date-parts":[["2013"]]},"title":"The Protist Ribosomal Reference database (PR2): A catalog of unicellular eukaryote Small Sub-Unit rRNA sequences with curated taxonomy","type":"article-journal","volume":"41"},"uris":["http://www.mendeley.com/documents/?uuid=02e9a4a0-304f-42b3-a378-9dee84ee25a5"]}],"mendeley":{"formattedCitation":"[11]","plainTextFormattedCitation":"[11]","previouslyFormattedCitation":"[11]"},"properties":{"noteIndex":0},"schema":"https://github.com/citation-style-language/schema/raw/master/csl-citation.json"}</w:instrText>
      </w:r>
      <w:r w:rsidR="0065779F" w:rsidRPr="0067516F">
        <w:rPr>
          <w:color w:val="000000"/>
          <w:lang w:val="en-US"/>
        </w:rPr>
        <w:fldChar w:fldCharType="separate"/>
      </w:r>
      <w:r w:rsidR="00C5426C" w:rsidRPr="00C5426C">
        <w:rPr>
          <w:noProof/>
          <w:color w:val="000000"/>
          <w:lang w:val="en-US"/>
        </w:rPr>
        <w:t>[11]</w:t>
      </w:r>
      <w:r w:rsidR="0065779F" w:rsidRPr="0067516F">
        <w:rPr>
          <w:color w:val="000000"/>
          <w:lang w:val="en-US"/>
        </w:rPr>
        <w:fldChar w:fldCharType="end"/>
      </w:r>
      <w:r w:rsidR="0065779F" w:rsidRPr="0067516F">
        <w:rPr>
          <w:color w:val="000000"/>
          <w:lang w:val="en-US"/>
        </w:rPr>
        <w:t xml:space="preserve"> and the marine protist from the BioMarKs project </w:t>
      </w:r>
      <w:r w:rsidR="0065779F" w:rsidRPr="0067516F">
        <w:rPr>
          <w:color w:val="000000"/>
          <w:lang w:val="en-US"/>
        </w:rPr>
        <w:fldChar w:fldCharType="begin" w:fldLock="1"/>
      </w:r>
      <w:r w:rsidR="00BB3441">
        <w:rPr>
          <w:color w:val="000000"/>
          <w:lang w:val="en-US"/>
        </w:rPr>
        <w:instrText>ADDIN CSL_CITATION {"citationItems":[{"id":"ITEM-1","itemData":{"DOI":"10.1111/1462-2920.12955","ISSN":"14622920","PMID":"26119494","abstract":"Although protists are critical components of marine ecosystems, they are still poorly characterized. Here we analysed the taxonomic diversity of planktonic and benthic protist communities collected in six distant European coastal sites. Environmental deoxyribonucleic acid (DNA) and ribonucleic acid (RNA) from three size fractions (pico-, nano- and micro/mesoplankton), as well as from dissolved DNA and surface sediments were used as templates for tag pyrosequencing of the V4 region of the 18S ribosomal DNA. Beta-diversity analyses split the protist community structure into three main clusters: picoplankton-nanoplankton-dissolved DNA, micro/mesoplankton and sediments. Within each cluster, protist communities from the same site and time clustered together, while communities from the same site but different seasons were unrelated. Both DNA and RNA-based surveys provided similar relative abundances for most class-level taxonomic groups. Yet, particular groups were overrepresented in one of the two templates, such as marine alveolates (MALV)-I and MALV-II that were much more abundant in DNA surveys. Overall, the groups displaying the highest relative contribution were Dinophyceae, Diatomea, Ciliophora and Acantharia. Also, well represented were Mamiellophyceae, Cryptomonadales, marine alveolates and marine stramenopiles in the picoplankton, and Monadofilosa and basal Fungi in sediments. Our extensive and systematic sequencing of geographically separated sites provides the most comprehensive molecular description of coastal marine protist diversity to date.","author":[{"dropping-particle":"","family":"Massana","given":"Ramon","non-dropping-particle":"","parse-names":false,"suffix":""},{"dropping-particle":"","family":"Gobet","given":"Angélique","non-dropping-particle":"","parse-names":false,"suffix":""},{"dropping-particle":"","family":"Audic","given":"Stéphane","non-dropping-particle":"","parse-names":false,"suffix":""},{"dropping-particle":"","family":"Bass","given":"David","non-dropping-particle":"","parse-names":false,"suffix":""},{"dropping-particle":"","family":"Bittner","given":"Lucie","non-dropping-particle":"","parse-names":false,"suffix":""},{"dropping-particle":"","family":"Boutte","given":"Christophe","non-dropping-particle":"","parse-names":false,"suffix":""},{"dropping-particle":"","family":"Chambouvet","given":"Aurélie","non-dropping-particle":"","parse-names":false,"suffix":""},{"dropping-particle":"","family":"Christen","given":"Richard","non-dropping-particle":"","parse-names":false,"suffix":""},{"dropping-particle":"","family":"Claverie","given":"Jean Michel","non-dropping-particle":"","parse-names":false,"suffix":""},{"dropping-particle":"","family":"Decelle","given":"Johan","non-dropping-particle":"","parse-names":false,"suffix":""},{"dropping-particle":"","family":"Dolan","given":"John R.","non-dropping-particle":"","parse-names":false,"suffix":""},{"dropping-particle":"","family":"Dunthorn","given":"Micah","non-dropping-particle":"","parse-names":false,"suffix":""},{"dropping-particle":"","family":"Edvardsen","given":"Bente","non-dropping-particle":"","parse-names":false,"suffix":""},{"dropping-particle":"","family":"Forn","given":"Irene","non-dropping-particle":"","parse-names":false,"suffix":""},{"dropping-particle":"","family":"Forster","given":"Dominik","non-dropping-particle":"","parse-names":false,"suffix":""},{"dropping-particle":"","family":"Guillou","given":"Laure","non-dropping-particle":"","parse-names":false,"suffix":""},{"dropping-particle":"","family":"Jaillon","given":"Olivier","non-dropping-particle":"","parse-names":false,"suffix":""},{"dropping-particle":"","family":"Kooistra","given":"Wiebe H.C.F.","non-dropping-particle":"","parse-names":false,"suffix":""},{"dropping-particle":"","family":"Logares","given":"Ramiro","non-dropping-particle":"","parse-names":false,"suffix":""},{"dropping-particle":"","family":"Mahé","given":"Frédéric","non-dropping-particle":"","parse-names":false,"suffix":""},{"dropping-particle":"","family":"Not","given":"Fabrice","non-dropping-particle":"","parse-names":false,"suffix":""},{"dropping-particle":"","family":"Ogata","given":"Hiroyuki","non-dropping-particle":"","parse-names":false,"suffix":""},{"dropping-particle":"","family":"Pawlowski","given":"Jan","non-dropping-particle":"","parse-names":false,"suffix":""},{"dropping-particle":"","family":"Pernice","given":"Massimo C.","non-dropping-particle":"","parse-names":false,"suffix":""},{"dropping-particle":"","family":"Probert","given":"Ian","non-dropping-particle":"","parse-names":false,"suffix":""},{"dropping-particle":"","family":"Romac","given":"Sarah","non-dropping-particle":"","parse-names":false,"suffix":""},{"dropping-particle":"","family":"Richards","given":"Thomas","non-dropping-particle":"","parse-names":false,"suffix":""},{"dropping-particle":"","family":"Santini","given":"Sébastien","non-dropping-particle":"","parse-names":false,"suffix":""},{"dropping-particle":"","family":"Shalchian-Tabrizi","given":"Kamran","non-dropping-particle":"","parse-names":false,"suffix":""},{"dropping-particle":"","family":"Siano","given":"Raffaele","non-dropping-particle":"","parse-names":false,"suffix":""},{"dropping-particle":"","family":"Simon","given":"Nathalie","non-dropping-particle":"","parse-names":false,"suffix":""},{"dropping-particle":"","family":"Stoeck","given":"Thorsten","non-dropping-particle":"","parse-names":false,"suffix":""},{"dropping-particle":"","family":"Vaulot","given":"Daniel","non-dropping-particle":"","parse-names":false,"suffix":""},{"dropping-particle":"","family":"Zingone","given":"Adriana","non-dropping-particle":"","parse-names":false,"suffix":""},{"dropping-particle":"","family":"Vargas","given":"Colomban","non-dropping-particle":"de","parse-names":false,"suffix":""}],"container-title":"Environmental Microbiology","id":"ITEM-1","issue":"10","issued":{"date-parts":[["2015"]]},"page":"4035-4049","title":"Marine protist diversity in European coastal waters and sediments as revealed by high-throughput sequencing","type":"article-journal","volume":"17"},"uris":["http://www.mendeley.com/documents/?uuid=3eabd1b9-d076-4a02-a89f-e43f6794f246"]}],"mendeley":{"formattedCitation":"[12]","plainTextFormattedCitation":"[12]","previouslyFormattedCitation":"[12]"},"properties":{"noteIndex":0},"schema":"https://github.com/citation-style-language/schema/raw/master/csl-citation.json"}</w:instrText>
      </w:r>
      <w:r w:rsidR="0065779F" w:rsidRPr="0067516F">
        <w:rPr>
          <w:color w:val="000000"/>
          <w:lang w:val="en-US"/>
        </w:rPr>
        <w:fldChar w:fldCharType="separate"/>
      </w:r>
      <w:r w:rsidR="00C5426C" w:rsidRPr="00C5426C">
        <w:rPr>
          <w:noProof/>
          <w:color w:val="000000"/>
          <w:lang w:val="en-US"/>
        </w:rPr>
        <w:t>[12]</w:t>
      </w:r>
      <w:r w:rsidR="0065779F" w:rsidRPr="0067516F">
        <w:rPr>
          <w:color w:val="000000"/>
          <w:lang w:val="en-US"/>
        </w:rPr>
        <w:fldChar w:fldCharType="end"/>
      </w:r>
      <w:r w:rsidR="0065779F" w:rsidRPr="0067516F">
        <w:rPr>
          <w:color w:val="000000"/>
          <w:lang w:val="en-US"/>
        </w:rPr>
        <w:t xml:space="preserve"> for taxonomic assignment of 18S ASVs</w:t>
      </w:r>
      <w:r w:rsidR="00D13CF9">
        <w:rPr>
          <w:color w:val="000000"/>
          <w:lang w:val="en-US"/>
        </w:rPr>
        <w:t xml:space="preserve"> as described in </w:t>
      </w:r>
      <w:r w:rsidR="00D13CF9">
        <w:rPr>
          <w:color w:val="000000"/>
          <w:lang w:val="en-US"/>
        </w:rPr>
        <w:fldChar w:fldCharType="begin" w:fldLock="1"/>
      </w:r>
      <w:r w:rsidR="00D13CF9">
        <w:rPr>
          <w:color w:val="000000"/>
          <w:lang w:val="en-US"/>
        </w:rPr>
        <w:instrText>ADDIN CSL_CITATION {"citationItems":[{"id":"ITEM-1","itemData":{"DOI":"10.5194/bg-2019-306","ISSN":"1810-6277","abstract":"Abstract. We evaluated the temporal (inter-day and inter-season) and spatial variability in microbial plankton responses to vitamins B12 and B1 supply in coastal and oceanic waters. Inter-day variability in microbial plankton responses to B-vitamins was not of great concern, suggesting that B-vitamins availability was controlled by factors operating at larger temporal scales, such as those driving microbial community seasonal succession. Most positive responses were produced by treatments containing either B12 alone or B12 combined with B1 in oceanic waters, which was consistent with the significantly lower average vitamin B12 ambient concentrations compared to that in the coastal station. Growth stimulation by B1 addition was more frequent on bacteria, which is coherent with their widespread dependence on exogenous sources for this growth factor. Negative responses to B-vitamins were generalized in coastal waters in summer, and were associated to a high contribution of Flavobacteriales to the prokaryote community. This observation suggests that the external supply of B12 and/or B1 may promote negative interactions between microbial components when B-vitamins auxotrophs are abundant. The microbial response patterns to B12 and/or B1 amendments were significantly correlated with changes in the prokaryotic community composition, highlighting the pivotal role of prokaryotes in B-vitamins cycling in marine ecosystems.","author":[{"dropping-particle":"","family":"Joglar","given":"Vanessa","non-dropping-particle":"","parse-names":false,"suffix":""},{"dropping-particle":"","family":"Prieto","given":"Antero","non-dropping-particle":"","parse-names":false,"suffix":""},{"dropping-particle":"","family":"Barber-Lluch","given":"Esther","non-dropping-particle":"","parse-names":false,"suffix":""},{"dropping-particle":"","family":"Hernández-Ruiz","given":"Marta","non-dropping-particle":"","parse-names":false,"suffix":""},{"dropping-particle":"","family":"Fernández","given":"Emilio","non-dropping-particle":"","parse-names":false,"suffix":""},{"dropping-particle":"","family":"Teira","given":"Eva","non-dropping-particle":"","parse-names":false,"suffix":""}],"container-title":"Biogeosciences Discussions","id":"ITEM-1","issued":{"date-parts":[["2020"]]},"page":"1-43","title":"Spatial and temporal variability in the response of phytoplankton and bacterioplankton to B-vitamin amendments in an upwelling system","type":"article-journal"},"uris":["http://www.mendeley.com/documents/?uuid=39199c78-3031-450e-ad2a-6ee72f8918d0"]}],"mendeley":{"formattedCitation":"[3]","plainTextFormattedCitation":"[3]"},"properties":{"noteIndex":0},"schema":"https://github.com/citation-style-language/schema/raw/master/csl-citation.json"}</w:instrText>
      </w:r>
      <w:r w:rsidR="00D13CF9">
        <w:rPr>
          <w:color w:val="000000"/>
          <w:lang w:val="en-US"/>
        </w:rPr>
        <w:fldChar w:fldCharType="separate"/>
      </w:r>
      <w:r w:rsidR="00D13CF9" w:rsidRPr="00D13CF9">
        <w:rPr>
          <w:noProof/>
          <w:color w:val="000000"/>
          <w:lang w:val="en-US"/>
        </w:rPr>
        <w:t>[3]</w:t>
      </w:r>
      <w:r w:rsidR="00D13CF9">
        <w:rPr>
          <w:color w:val="000000"/>
          <w:lang w:val="en-US"/>
        </w:rPr>
        <w:fldChar w:fldCharType="end"/>
      </w:r>
      <w:r w:rsidR="0065779F" w:rsidRPr="0067516F">
        <w:rPr>
          <w:color w:val="000000"/>
          <w:lang w:val="en-US"/>
        </w:rPr>
        <w:t>. The raw ASV tables of prokaryotes and eukaryotes were subsampled to the number of reads present in the sample with the lowest number of reads, 2080 and 1286</w:t>
      </w:r>
      <w:r>
        <w:rPr>
          <w:color w:val="000000"/>
          <w:lang w:val="en-US"/>
        </w:rPr>
        <w:t>,</w:t>
      </w:r>
      <w:r w:rsidR="0065779F" w:rsidRPr="0067516F">
        <w:rPr>
          <w:color w:val="000000"/>
          <w:lang w:val="en-US"/>
        </w:rPr>
        <w:t xml:space="preserve"> for 16S rDNA and 18S rDNA, respectively. The sequence abundances of the subsampled ASV tables were transformed using the centred log ratio (clr) </w:t>
      </w:r>
      <w:r w:rsidR="0065779F" w:rsidRPr="0067516F">
        <w:rPr>
          <w:color w:val="000000"/>
          <w:lang w:val="en-US"/>
        </w:rPr>
        <w:fldChar w:fldCharType="begin" w:fldLock="1"/>
      </w:r>
      <w:r w:rsidR="00BB3441">
        <w:rPr>
          <w:color w:val="000000"/>
          <w:lang w:val="en-US"/>
        </w:rPr>
        <w:instrText>ADDIN CSL_CITATION {"citationItems":[{"id":"ITEM-1","itemData":{"abstract":"Background: Experimental designs that take advantage of high-throughput sequencing to generate datasets include RNA sequencing (RNA-seq), chromatin immunoprecipitation sequencing (ChIP-seq), sequencing of 16S rRNA gene fragments, metagenomic analysis and selective growth experiments. In each case the underlying data are similar and are composed of counts of sequencing reads mapped to a large number of features in each sample. Despite this underlying similarity, the data analysis methods used for these experimental designs are all different, and do not translate across experiments. Alternative methods have been developed in the physical and geological sciences that treat similar data as compositions. Compositional data analysis methods transform the data to relative abundances with the result that the analyses are more robust and reproducible. Results: Data from an in vitro selective growth experiment, an RNA-seq experiment and the Human Microbiome Project 16S rRNA gene abundance dataset were examined by ALDEx2, a compositional data analysis tool that uses Bayesian methods to infer technical and statistical error. The ALDEx2 approach is shown to be suitable for all three types of data: it correctly identifies both the direction and differential abundance of features in the differential growth experiment, it identifies a substantially similar set of differentially expressed genes in the RNA-seq dataset as the leading tools and it identifies as differential the taxa that distinguish the tongue dorsum and buccal mucosa in the Human Microbiome Project dataset. The design of ALDEx2 reduces the number of false positive identifications that result from datasets composed of many features in few samples. Conclusion: Statistical analysis of high-throughput sequencing datasets composed of per feature counts showed that the ALDEx2 R package is a simple and robust tool, which can be applied to RNA-seq, 16S rRNA gene sequencing and differential growth datasets, and by extension to other techniques that use a similar approach.","author":[{"dropping-particle":"","family":"Fernandes","given":"","non-dropping-particle":"","parse-names":false,"suffix":""},{"dropping-particle":"","family":"D.","given":"A","non-dropping-particle":"","parse-names":false,"suffix":""},{"dropping-particle":"","family":"Reid","given":"","non-dropping-particle":"","parse-names":false,"suffix":""},{"dropping-particle":"","family":"J.","given":"","non-dropping-particle":"","parse-names":false,"suffix":""},{"dropping-particle":"","family":"Macklaim","given":"","non-dropping-particle":"","parse-names":false,"suffix":""},{"dropping-particle":"","family":"M.","given":"J","non-dropping-particle":"","parse-names":false,"suffix":""},{"dropping-particle":"","family":"McMurrough","given":"","non-dropping-particle":"","parse-names":false,"suffix":""},{"dropping-particle":"","family":"T.A","given":"","non-dropping-particle":"","parse-names":false,"suffix":""},{"dropping-particle":"","family":"Edgell","given":"","non-dropping-particle":"","parse-names":false,"suffix":""},{"dropping-particle":"","family":"D.R.","given":"","non-dropping-particle":"","parse-names":false,"suffix":""},{"dropping-particle":"","family":"Gloor","given":"","non-dropping-particle":"","parse-names":false,"suffix":""},{"dropping-particle":"","family":"B.","given":"G","non-dropping-particle":"","parse-names":false,"suffix":""}],"container-title":"Microbiome","id":"ITEM-1","issue":"15","issued":{"date-parts":[["2014"]]},"page":"1-13","title":"Unifying the analysis of high-throughput sequencing datasets: characterizing RNA-seq, 16S rRNA gene sequencing and selective growth experiments by compositional data analysis","type":"article-journal","volume":"2"},"uris":["http://www.mendeley.com/documents/?uuid=228251fe-5348-40a8-9d88-3e5e4516d73d"]},{"id":"ITEM-2","itemData":{"DOI":"10.3389/fmicb.2017.02224","ISSN":"1664302X","abstract":"Datasets collected by high-throughput sequencing (HTS) of 16S rRNA gene amplimers, metagenomes or metatranscriptomes are commonplace and being used to study human disease states, ecological differences between sites, and the built environment. There is increasing awareness that microbiome datasets generated by HTS are compositional because they have an arbitrary total imposed by the instrument. However, many investigators are either unaware of this or assume specific properties of the compositional data. The purpose of this review is to alert investigators to the dangers inherent in ignoring the compositional nature of the data, and point out that HTS datasets derived from microbiome studies can and should be treated as compositions at all stages of analysis. We briefly introduce compositional data, illustrate the pathologies that occur when compositional data are analyzed inappropriately, and finally give guidance and point to resources and examples for the analysis of microbiome datasets using compositional data analysis.","author":[{"dropping-particle":"","family":"Gloor","given":"Gregory B.","non-dropping-particle":"","parse-names":false,"suffix":""},{"dropping-particle":"","family":"Macklaim","given":"Jean M.","non-dropping-particle":"","parse-names":false,"suffix":""},{"dropping-particle":"","family":"Pawlowsky-Glahn","given":"Vera","non-dropping-particle":"","parse-names":false,"suffix":""},{"dropping-particle":"","family":"Egozcue","given":"Juan J.","non-dropping-particle":"","parse-names":false,"suffix":""}],"container-title":"Frontiers in Microbiology","id":"ITEM-2","issue":"NOV","issued":{"date-parts":[["2017"]]},"page":"1-6","title":"Microbiome datasets are compositional: And this is not optional","type":"article-journal","volume":"8"},"uris":["http://www.mendeley.com/documents/?uuid=17e938fa-fb06-4d11-9cf4-ed5d955f110c"]}],"mendeley":{"formattedCitation":"[13, 14]","plainTextFormattedCitation":"[13, 14]","previouslyFormattedCitation":"[13, 14]"},"properties":{"noteIndex":0},"schema":"https://github.com/citation-style-language/schema/raw/master/csl-citation.json"}</w:instrText>
      </w:r>
      <w:r w:rsidR="0065779F" w:rsidRPr="0067516F">
        <w:rPr>
          <w:color w:val="000000"/>
          <w:lang w:val="en-US"/>
        </w:rPr>
        <w:fldChar w:fldCharType="separate"/>
      </w:r>
      <w:r w:rsidR="00C5426C" w:rsidRPr="00C5426C">
        <w:rPr>
          <w:noProof/>
          <w:color w:val="000000"/>
          <w:lang w:val="en-US"/>
        </w:rPr>
        <w:t>[13, 14]</w:t>
      </w:r>
      <w:r w:rsidR="0065779F" w:rsidRPr="0067516F">
        <w:rPr>
          <w:color w:val="000000"/>
          <w:lang w:val="en-US"/>
        </w:rPr>
        <w:fldChar w:fldCharType="end"/>
      </w:r>
      <w:r w:rsidR="0065779F" w:rsidRPr="0067516F">
        <w:rPr>
          <w:color w:val="000000"/>
          <w:lang w:val="en-US"/>
        </w:rPr>
        <w:t xml:space="preserve">. Before </w:t>
      </w:r>
      <w:r>
        <w:rPr>
          <w:color w:val="000000"/>
          <w:lang w:val="en-US"/>
        </w:rPr>
        <w:t xml:space="preserve">the </w:t>
      </w:r>
      <w:r w:rsidR="0065779F" w:rsidRPr="0067516F">
        <w:rPr>
          <w:color w:val="000000"/>
          <w:lang w:val="en-US"/>
        </w:rPr>
        <w:t xml:space="preserve">clr transformation, zeros were replaced by the minimum value larger than 0 divided by 2 </w:t>
      </w:r>
      <w:r w:rsidR="0065779F" w:rsidRPr="0067516F">
        <w:rPr>
          <w:color w:val="000000"/>
          <w:lang w:val="en-US"/>
        </w:rPr>
        <w:fldChar w:fldCharType="begin" w:fldLock="1"/>
      </w:r>
      <w:r w:rsidR="00BB3441">
        <w:rPr>
          <w:color w:val="000000"/>
          <w:lang w:val="en-US"/>
        </w:rPr>
        <w:instrText>ADDIN CSL_CITATION {"citationItems":[{"id":"ITEM-1","itemData":{"DOI":"10.1111/j.2517-6161.1982.tb01195.x","abstract":"The simplex plays an important role as sample space in many practical situations where compositional data, in the form of proportions of some whole,require interpretation. It is argued that the statistical analysis of such data has proved difficult because of a lack both of concepts of independence and of rich enough parametric classesof distributions in the simplex. A variety of independence hypotheses are introduced and interrelated, and new classesof transformed-normal distributions in the simplexare provided as models within which the independence hypotheses can be tested through standard theory of parametric hypothesis testing. The new concepts and statistical methodology are illustrated by a number of applications.","author":[{"dropping-particle":"","family":"Aitchison","given":"J.","non-dropping-particle":"","parse-names":false,"suffix":""}],"container-title":"Journal of the Royal Statistical Society: Series B (Methodological)","id":"ITEM-1","issue":"2","issued":{"date-parts":[["1982"]]},"page":"139-160","title":"The Statistical Analysis of Compositional Data","type":"article-journal","volume":"44"},"uris":["http://www.mendeley.com/documents/?uuid=706d0102-2d5e-4b84-9fea-8c3d9da01b72"]},{"id":"ITEM-2","itemData":{"DOI":"10.1023/A:1023866030544","ISSN":"08828121","abstract":"The statistical analysis of compositional data based on logratios of parts is not suitable when zeros are present in a data set. Nevertheless, if there is interest in using this modeling approach, several strategies have been published in the specialized literature which can be used. In particular, substitution or imputation strategies are available for rounded zeros. In this paper, existing nonparametric imputation methods - both for the additive and the multiplicative approach - are revised and essential properties of the last method are given. For missing values a generalization of the multiplicative approach is proposed.","author":[{"dropping-particle":"","family":"Martín-Fernández","given":"J. A.","non-dropping-particle":"","parse-names":false,"suffix":""},{"dropping-particle":"","family":"Barceló-Vidal","given":"C.","non-dropping-particle":"","parse-names":false,"suffix":""},{"dropping-particle":"","family":"Pawlowsky-Glahn","given":"V.","non-dropping-particle":"","parse-names":false,"suffix":""}],"container-title":"Mathematical Geology","id":"ITEM-2","issue":"3","issued":{"date-parts":[["2003"]]},"page":"253-278","title":"Dealing with Zeros and Missing Values in Compositional Data Sets Using Nonparametric Imputation","type":"article-journal","volume":"35"},"uris":["http://www.mendeley.com/documents/?uuid=ae04e73c-f935-4829-93b8-d291e5041756"]},{"id":"ITEM-3","itemData":{"DOI":"10.5194/bg-2019-306","ISSN":"1810-6277","abstract":"Abstract. We evaluated the temporal (inter-day and inter-season) and spatial variability in microbial plankton responses to vitamins B12 and B1 supply in coastal and oceanic waters. Inter-day variability in microbial plankton responses to B-vitamins was not of great concern, suggesting that B-vitamins availability was controlled by factors operating at larger temporal scales, such as those driving microbial community seasonal succession. Most positive responses were produced by treatments containing either B12 alone or B12 combined with B1 in oceanic waters, which was consistent with the significantly lower average vitamin B12 ambient concentrations compared to that in the coastal station. Growth stimulation by B1 addition was more frequent on bacteria, which is coherent with their widespread dependence on exogenous sources for this growth factor. Negative responses to B-vitamins were generalized in coastal waters in summer, and were associated to a high contribution of Flavobacteriales to the prokaryote community. This observation suggests that the external supply of B12 and/or B1 may promote negative interactions between microbial components when B-vitamins auxotrophs are abundant. The microbial response patterns to B12 and/or B1 amendments were significantly correlated with changes in the prokaryotic community composition, highlighting the pivotal role of prokaryotes in B-vitamins cycling in marine ecosystems.","author":[{"dropping-particle":"","family":"Joglar","given":"Vanessa","non-dropping-particle":"","parse-names":false,"suffix":""},{"dropping-particle":"","family":"Prieto","given":"Antero","non-dropping-particle":"","parse-names":false,"suffix":""},{"dropping-particle":"","family":"Barber-Lluch","given":"Esther","non-dropping-particle":"","parse-names":false,"suffix":""},{"dropping-particle":"","family":"Hernández-ruiz","given":"Marta","non-dropping-particle":"","parse-names":false,"suffix":""},{"dropping-particle":"","family":"Fernández","given":"Emilio","non-dropping-particle":"","parse-names":false,"suffix":""},{"dropping-particle":"","family":"Teira","given":"Eva","non-dropping-particle":"","parse-names":false,"suffix":""}],"container-title":"Biogeosciences Discussions","id":"ITEM-3","issue":"May","issued":{"date-parts":[["2020"]]},"page":"1-43","title":"Spatial and temporal variability in the response of phytoplankton and bacterioplankton to B-vitamin amendments in an upwelling system","type":"article-journal"},"uris":["http://www.mendeley.com/documents/?uuid=f42700bb-c511-487b-999a-ea7a9cd7555e"]}],"mendeley":{"formattedCitation":"[15–17]","plainTextFormattedCitation":"[15–17]","previouslyFormattedCitation":"[15–17]"},"properties":{"noteIndex":0},"schema":"https://github.com/citation-style-language/schema/raw/master/csl-citation.json"}</w:instrText>
      </w:r>
      <w:r w:rsidR="0065779F" w:rsidRPr="0067516F">
        <w:rPr>
          <w:color w:val="000000"/>
          <w:lang w:val="en-US"/>
        </w:rPr>
        <w:fldChar w:fldCharType="separate"/>
      </w:r>
      <w:r w:rsidR="00C5426C" w:rsidRPr="00C5426C">
        <w:rPr>
          <w:noProof/>
          <w:color w:val="000000"/>
          <w:lang w:val="en-US"/>
        </w:rPr>
        <w:t>[15–17]</w:t>
      </w:r>
      <w:r w:rsidR="0065779F" w:rsidRPr="0067516F">
        <w:rPr>
          <w:color w:val="000000"/>
          <w:lang w:val="en-US"/>
        </w:rPr>
        <w:fldChar w:fldCharType="end"/>
      </w:r>
      <w:r w:rsidR="0065779F" w:rsidRPr="0067516F">
        <w:rPr>
          <w:color w:val="000000"/>
          <w:lang w:val="en-US"/>
        </w:rPr>
        <w:t xml:space="preserve">. </w:t>
      </w:r>
    </w:p>
    <w:p w14:paraId="2FBB1729" w14:textId="77777777" w:rsidR="002432C1" w:rsidRDefault="002432C1" w:rsidP="00E32293">
      <w:pPr>
        <w:snapToGrid w:val="0"/>
        <w:spacing w:line="480" w:lineRule="auto"/>
        <w:jc w:val="both"/>
        <w:outlineLvl w:val="1"/>
        <w:rPr>
          <w:b/>
          <w:bCs/>
          <w:color w:val="000000"/>
          <w:lang w:val="en-US"/>
        </w:rPr>
      </w:pPr>
    </w:p>
    <w:p w14:paraId="55909336" w14:textId="07E678F6" w:rsidR="0065779F" w:rsidRPr="0067516F" w:rsidRDefault="0065779F" w:rsidP="00E32293">
      <w:pPr>
        <w:snapToGrid w:val="0"/>
        <w:spacing w:line="480" w:lineRule="auto"/>
        <w:jc w:val="both"/>
        <w:outlineLvl w:val="1"/>
        <w:rPr>
          <w:b/>
          <w:bCs/>
          <w:color w:val="000000"/>
          <w:lang w:val="en-US"/>
        </w:rPr>
      </w:pPr>
      <w:r w:rsidRPr="0067516F">
        <w:rPr>
          <w:b/>
          <w:bCs/>
          <w:color w:val="000000"/>
          <w:lang w:val="en-US"/>
        </w:rPr>
        <w:t>Metatranscriptomic analyses: prokaryotic community gene expression</w:t>
      </w:r>
    </w:p>
    <w:p w14:paraId="6E0DED2B" w14:textId="4331ECE4" w:rsidR="00CE5C0F" w:rsidRPr="00E34C8B" w:rsidRDefault="00654A2E" w:rsidP="00D13CF9">
      <w:pPr>
        <w:snapToGrid w:val="0"/>
        <w:spacing w:line="480" w:lineRule="auto"/>
        <w:contextualSpacing/>
        <w:jc w:val="both"/>
        <w:rPr>
          <w:lang w:val="en-US"/>
        </w:rPr>
      </w:pPr>
      <w:r w:rsidRPr="00654A2E">
        <w:rPr>
          <w:lang w:val="en-US"/>
        </w:rPr>
        <w:t xml:space="preserve">A total of 24 </w:t>
      </w:r>
      <w:r w:rsidRPr="00654A2E">
        <w:rPr>
          <w:lang w:val="en-US"/>
        </w:rPr>
        <w:t>RNA</w:t>
      </w:r>
      <w:r w:rsidRPr="00654A2E">
        <w:rPr>
          <w:lang w:val="en-US"/>
        </w:rPr>
        <w:t xml:space="preserve"> samples were taken at the surface in the coastal and oceanic stations on day 1, day 3, day 5, and day 7 of each cruise</w:t>
      </w:r>
      <w:r>
        <w:rPr>
          <w:lang w:val="en-US"/>
        </w:rPr>
        <w:t xml:space="preserve"> </w:t>
      </w:r>
      <w:r w:rsidR="00CE5C0F" w:rsidRPr="00E34C8B">
        <w:rPr>
          <w:lang w:val="en-US"/>
        </w:rPr>
        <w:t xml:space="preserve">at the surface in the coastal and oceanic stations. </w:t>
      </w:r>
      <w:r w:rsidR="00D13CF9" w:rsidRPr="0067516F">
        <w:rPr>
          <w:color w:val="000000"/>
          <w:lang w:val="en-US"/>
        </w:rPr>
        <w:lastRenderedPageBreak/>
        <w:t>Sampl</w:t>
      </w:r>
      <w:r w:rsidR="00D13CF9">
        <w:rPr>
          <w:color w:val="000000"/>
          <w:lang w:val="en-US"/>
        </w:rPr>
        <w:t>es</w:t>
      </w:r>
      <w:r w:rsidR="00D13CF9" w:rsidRPr="0067516F">
        <w:rPr>
          <w:color w:val="000000"/>
          <w:lang w:val="en-US"/>
        </w:rPr>
        <w:t xml:space="preserve"> for </w:t>
      </w:r>
      <w:r w:rsidR="00D13CF9">
        <w:rPr>
          <w:color w:val="000000"/>
          <w:lang w:val="en-US"/>
        </w:rPr>
        <w:t xml:space="preserve">community </w:t>
      </w:r>
      <w:r w:rsidR="00D13CF9" w:rsidRPr="0067516F">
        <w:rPr>
          <w:color w:val="000000"/>
          <w:lang w:val="en-US"/>
        </w:rPr>
        <w:t xml:space="preserve">gene expression </w:t>
      </w:r>
      <w:r w:rsidR="00D13CF9">
        <w:rPr>
          <w:color w:val="000000"/>
          <w:lang w:val="en-US"/>
        </w:rPr>
        <w:t xml:space="preserve">analysis </w:t>
      </w:r>
      <w:r w:rsidR="00D13CF9" w:rsidRPr="0067516F">
        <w:rPr>
          <w:color w:val="000000"/>
          <w:lang w:val="en-US"/>
        </w:rPr>
        <w:t>w</w:t>
      </w:r>
      <w:r w:rsidR="00D13CF9">
        <w:rPr>
          <w:color w:val="000000"/>
          <w:lang w:val="en-US"/>
        </w:rPr>
        <w:t xml:space="preserve">ere </w:t>
      </w:r>
      <w:r w:rsidR="00D13CF9" w:rsidRPr="0067516F">
        <w:rPr>
          <w:color w:val="000000"/>
          <w:lang w:val="en-US"/>
        </w:rPr>
        <w:t>taken on day</w:t>
      </w:r>
      <w:r w:rsidR="00D13CF9">
        <w:rPr>
          <w:color w:val="000000"/>
          <w:lang w:val="en-US"/>
        </w:rPr>
        <w:t>s</w:t>
      </w:r>
      <w:r w:rsidR="00D13CF9" w:rsidRPr="0067516F">
        <w:rPr>
          <w:color w:val="000000"/>
          <w:lang w:val="en-US"/>
        </w:rPr>
        <w:t xml:space="preserve"> 1, 3, 5, and 7 of each cruise</w:t>
      </w:r>
      <w:r w:rsidR="00D13CF9">
        <w:rPr>
          <w:color w:val="000000"/>
          <w:lang w:val="en-US"/>
        </w:rPr>
        <w:t xml:space="preserve"> by </w:t>
      </w:r>
      <w:r w:rsidR="00D13CF9" w:rsidRPr="0067516F">
        <w:rPr>
          <w:color w:val="000000"/>
          <w:lang w:val="en-US"/>
        </w:rPr>
        <w:t>sequentially filter</w:t>
      </w:r>
      <w:r w:rsidR="00D13CF9">
        <w:rPr>
          <w:color w:val="000000"/>
          <w:lang w:val="en-US"/>
        </w:rPr>
        <w:t xml:space="preserve">ing the water </w:t>
      </w:r>
      <w:r w:rsidR="00D13CF9" w:rsidRPr="0067516F">
        <w:rPr>
          <w:color w:val="000000"/>
          <w:lang w:val="en-US"/>
        </w:rPr>
        <w:t xml:space="preserve">through 3 µm pore size polycarbonate filters </w:t>
      </w:r>
      <w:r w:rsidR="00D13CF9">
        <w:rPr>
          <w:color w:val="000000"/>
          <w:lang w:val="en-US"/>
        </w:rPr>
        <w:t xml:space="preserve">(Millipore, Italy) </w:t>
      </w:r>
      <w:r w:rsidR="00D13CF9" w:rsidRPr="0067516F">
        <w:rPr>
          <w:color w:val="000000"/>
          <w:lang w:val="en-US"/>
        </w:rPr>
        <w:t>and a 0.2 µm pore size Sterivex filter</w:t>
      </w:r>
      <w:r w:rsidR="00D13CF9">
        <w:rPr>
          <w:color w:val="000000"/>
          <w:lang w:val="en-US"/>
        </w:rPr>
        <w:t xml:space="preserve"> (Millipore, Italy)</w:t>
      </w:r>
      <w:r w:rsidR="00D13CF9" w:rsidRPr="0067516F">
        <w:rPr>
          <w:color w:val="000000"/>
          <w:lang w:val="en-US"/>
        </w:rPr>
        <w:t xml:space="preserve"> and immediately</w:t>
      </w:r>
      <w:r w:rsidR="00D13CF9">
        <w:rPr>
          <w:color w:val="000000"/>
          <w:lang w:val="en-US"/>
        </w:rPr>
        <w:t xml:space="preserve"> preserved in RNAlater (</w:t>
      </w:r>
      <w:r w:rsidR="00985851">
        <w:rPr>
          <w:color w:val="000000"/>
          <w:lang w:val="en-US"/>
        </w:rPr>
        <w:t>I</w:t>
      </w:r>
      <w:r w:rsidR="00985851" w:rsidRPr="00985851">
        <w:rPr>
          <w:color w:val="000000"/>
          <w:lang w:val="en-US"/>
        </w:rPr>
        <w:t>nvitrogen</w:t>
      </w:r>
      <w:r w:rsidR="00D13CF9">
        <w:rPr>
          <w:color w:val="000000"/>
          <w:lang w:val="en-US"/>
        </w:rPr>
        <w:t xml:space="preserve">), flash-frozen </w:t>
      </w:r>
      <w:r w:rsidR="00D13CF9" w:rsidRPr="0067516F">
        <w:rPr>
          <w:color w:val="000000"/>
          <w:lang w:val="en-US"/>
        </w:rPr>
        <w:t xml:space="preserve">in liquid nitrogen and </w:t>
      </w:r>
      <w:r w:rsidR="00D13CF9">
        <w:rPr>
          <w:color w:val="000000"/>
          <w:lang w:val="en-US"/>
        </w:rPr>
        <w:t xml:space="preserve">stored </w:t>
      </w:r>
      <w:r w:rsidR="00D13CF9" w:rsidRPr="0067516F">
        <w:rPr>
          <w:color w:val="000000"/>
          <w:lang w:val="en-US"/>
        </w:rPr>
        <w:t>at −80°C</w:t>
      </w:r>
      <w:r w:rsidR="00D13CF9">
        <w:rPr>
          <w:color w:val="000000"/>
          <w:lang w:val="en-US"/>
        </w:rPr>
        <w:t xml:space="preserve"> until further processing in the laboratory</w:t>
      </w:r>
      <w:r w:rsidR="00D13CF9" w:rsidRPr="0067516F">
        <w:rPr>
          <w:color w:val="000000"/>
          <w:lang w:val="en-US"/>
        </w:rPr>
        <w:t>.</w:t>
      </w:r>
      <w:r w:rsidR="00D13CF9">
        <w:rPr>
          <w:color w:val="000000"/>
          <w:lang w:val="en-US"/>
        </w:rPr>
        <w:t xml:space="preserve"> </w:t>
      </w:r>
      <w:r w:rsidR="00097A57" w:rsidRPr="006B48F0">
        <w:rPr>
          <w:lang w:val="en-US"/>
        </w:rPr>
        <w:t>The total RNA of the free-living size fraction (&lt;3 µm &gt;0.22 µm) was extracted using the Qiagen RNeasy Mini Kit (Qiagen). RNA was then sequenced on a Illumina HiSeq 2500 platform</w:t>
      </w:r>
      <w:r>
        <w:rPr>
          <w:lang w:val="en-US"/>
        </w:rPr>
        <w:t xml:space="preserve">, with a </w:t>
      </w:r>
      <w:r w:rsidR="009550F0" w:rsidRPr="006B48F0">
        <w:rPr>
          <w:lang w:val="en-US"/>
        </w:rPr>
        <w:t xml:space="preserve">sequencing </w:t>
      </w:r>
      <w:r w:rsidR="009550F0" w:rsidRPr="00654A2E">
        <w:rPr>
          <w:lang w:val="en-US"/>
        </w:rPr>
        <w:t xml:space="preserve">depth </w:t>
      </w:r>
      <w:r w:rsidRPr="00654A2E">
        <w:rPr>
          <w:lang w:val="en-US"/>
        </w:rPr>
        <w:t xml:space="preserve">of </w:t>
      </w:r>
      <w:r w:rsidRPr="00654A2E">
        <w:t>70</w:t>
      </w:r>
      <w:r w:rsidR="009550F0" w:rsidRPr="00654A2E">
        <w:t xml:space="preserve"> million reads</w:t>
      </w:r>
      <w:r w:rsidRPr="00654A2E">
        <w:rPr>
          <w:lang w:val="en-US"/>
        </w:rPr>
        <w:t>,</w:t>
      </w:r>
      <w:r w:rsidR="009550F0" w:rsidRPr="006B48F0">
        <w:rPr>
          <w:lang w:val="en-US"/>
        </w:rPr>
        <w:t xml:space="preserve"> </w:t>
      </w:r>
      <w:r w:rsidR="00097A57" w:rsidRPr="006B48F0">
        <w:rPr>
          <w:lang w:val="en-US"/>
        </w:rPr>
        <w:t>at the Science for Life Laboratory in Stockholm in 2016 (SciLifeLab;</w:t>
      </w:r>
      <w:hyperlink r:id="rId5" w:history="1">
        <w:r w:rsidR="00097A57" w:rsidRPr="006B48F0">
          <w:rPr>
            <w:lang w:val="en-US"/>
          </w:rPr>
          <w:t xml:space="preserve"> www.scilifelab.se</w:t>
        </w:r>
      </w:hyperlink>
      <w:r w:rsidR="00097A57" w:rsidRPr="006B48F0">
        <w:rPr>
          <w:lang w:val="en-US"/>
        </w:rPr>
        <w:t>) in rapid mode</w:t>
      </w:r>
      <w:r w:rsidR="00326DF9" w:rsidRPr="006B48F0">
        <w:rPr>
          <w:lang w:val="en-US"/>
        </w:rPr>
        <w:t xml:space="preserve"> and with v3 chemistry</w:t>
      </w:r>
      <w:r w:rsidR="00097A57" w:rsidRPr="006B48F0">
        <w:rPr>
          <w:lang w:val="en-US"/>
        </w:rPr>
        <w:t xml:space="preserve"> to obtain 2 × 125 bp paired-end reads</w:t>
      </w:r>
      <w:r w:rsidR="0033609B" w:rsidRPr="006B48F0">
        <w:rPr>
          <w:lang w:val="en-US"/>
        </w:rPr>
        <w:t xml:space="preserve">. </w:t>
      </w:r>
      <w:r w:rsidR="00C5585B" w:rsidRPr="006B48F0">
        <w:rPr>
          <w:lang w:val="en-US"/>
        </w:rPr>
        <w:t>The sequences obtained</w:t>
      </w:r>
      <w:r w:rsidR="000C6089" w:rsidRPr="006B48F0">
        <w:rPr>
          <w:lang w:val="en-US"/>
        </w:rPr>
        <w:t xml:space="preserve"> </w:t>
      </w:r>
      <w:r w:rsidR="00CE5C0F" w:rsidRPr="006B48F0">
        <w:rPr>
          <w:lang w:val="en-US"/>
        </w:rPr>
        <w:t xml:space="preserve">were quality checked with FastQC </w:t>
      </w:r>
      <w:r w:rsidR="00D73DD3" w:rsidRPr="006B48F0">
        <w:rPr>
          <w:lang w:val="en-US"/>
        </w:rPr>
        <w:fldChar w:fldCharType="begin" w:fldLock="1"/>
      </w:r>
      <w:r w:rsidR="00D13CF9" w:rsidRPr="006B48F0">
        <w:rPr>
          <w:lang w:val="en-US"/>
        </w:rPr>
        <w:instrText>ADDIN CSL_CITATION {"citationItems":[{"id":"ITEM-1","itemData":{"author":[{"dropping-particle":"","family":"Andrews","given":"S.","non-dropping-particle":"","parse-names":false,"suffix":""}],"id":"ITEM-1","issued":{"date-parts":[["2010"]]},"title":"FastQC: A Quality Control Tool for High Throughput Sequence Data","type":"article"},"uris":["http://www.mendeley.com/documents/?uuid=77a02e01-cd80-420c-b374-f12ae02ea5d7"]}],"mendeley":{"formattedCitation":"[18]","plainTextFormattedCitation":"[18]","previouslyFormattedCitation":"[18]"},"properties":{"noteIndex":0},"schema":"https://github.com/citation-style-language/schema/raw/master/csl-citation.json"}</w:instrText>
      </w:r>
      <w:r w:rsidR="00D73DD3" w:rsidRPr="006B48F0">
        <w:rPr>
          <w:lang w:val="en-US"/>
        </w:rPr>
        <w:fldChar w:fldCharType="separate"/>
      </w:r>
      <w:r w:rsidR="00D73DD3" w:rsidRPr="006B48F0">
        <w:rPr>
          <w:noProof/>
          <w:lang w:val="en-US"/>
        </w:rPr>
        <w:t>[18]</w:t>
      </w:r>
      <w:r w:rsidR="00D73DD3" w:rsidRPr="006B48F0">
        <w:rPr>
          <w:lang w:val="en-US"/>
        </w:rPr>
        <w:fldChar w:fldCharType="end"/>
      </w:r>
      <w:r w:rsidR="00CE5C0F" w:rsidRPr="006B48F0">
        <w:rPr>
          <w:lang w:val="en-US"/>
        </w:rPr>
        <w:t xml:space="preserve"> and MultiQC </w:t>
      </w:r>
      <w:r w:rsidR="00CE5C0F" w:rsidRPr="006B48F0">
        <w:rPr>
          <w:lang w:val="en-US"/>
        </w:rPr>
        <w:fldChar w:fldCharType="begin" w:fldLock="1"/>
      </w:r>
      <w:r w:rsidR="00D13CF9" w:rsidRPr="006B48F0">
        <w:rPr>
          <w:lang w:val="en-US"/>
        </w:rPr>
        <w:instrText>ADDIN CSL_CITATION {"citationItems":[{"id":"ITEM-1","itemData":{"DOI":"10.1093/bioinformatics/btw354","ISSN":"14602059","PMID":"27312411","abstract":"Motivation: Fast and accurate quality control is essential for studies involving next-generation sequencing data. Whilst numerous tools exist to quantify QC metrics, there is no common approach to flexibly integrate these across tools and large sample sets. Assessing analysis results across an entire project can be time consuming and error prone; batch effects and outlier samples can easily be missed in the early stages of analysis. Results: We present MultiQC, a tool to create a single report visualising output from multiple tools across many samples, enabling global trends and biases to be quickly identified. MultiQC can plot data from many common bioinformatics tools and is built to allow easy extension and customization. Availability and implementation: MultiQC is available with an GNU GPLv3 license on GitHub, the Python Package Index and Bioconda. Documentation and example reports are available at http://multiqc.info.","author":[{"dropping-particle":"","family":"Ewels","given":"Philip","non-dropping-particle":"","parse-names":false,"suffix":""},{"dropping-particle":"","family":"Magnusson","given":"Måns","non-dropping-particle":"","parse-names":false,"suffix":""},{"dropping-particle":"","family":"Lundin","given":"Sverker","non-dropping-particle":"","parse-names":false,"suffix":""},{"dropping-particle":"","family":"Käller","given":"Max","non-dropping-particle":"","parse-names":false,"suffix":""}],"container-title":"Bioinformatics","id":"ITEM-1","issue":"19","issued":{"date-parts":[["2016"]]},"page":"3047-3048","title":"MultiQC: Summarize analysis results for multiple tools and samples in a single report","type":"article-journal","volume":"32"},"uris":["http://www.mendeley.com/documents/?uuid=40ba5e2d-953c-40e4-ac27-19bd4cbe1bc8"]}],"mendeley":{"formattedCitation":"[19]","plainTextFormattedCitation":"[19]","previouslyFormattedCitation":"[19]"},"properties":{"noteIndex":0},"schema":"https://github.com/citation-style-language/schema/raw/master/csl-citation.json"}</w:instrText>
      </w:r>
      <w:r w:rsidR="00CE5C0F" w:rsidRPr="006B48F0">
        <w:rPr>
          <w:lang w:val="en-US"/>
        </w:rPr>
        <w:fldChar w:fldCharType="separate"/>
      </w:r>
      <w:r w:rsidR="00D73DD3" w:rsidRPr="006B48F0">
        <w:rPr>
          <w:noProof/>
          <w:lang w:val="en-US"/>
        </w:rPr>
        <w:t>[19]</w:t>
      </w:r>
      <w:r w:rsidR="00CE5C0F" w:rsidRPr="006B48F0">
        <w:rPr>
          <w:lang w:val="en-US"/>
        </w:rPr>
        <w:fldChar w:fldCharType="end"/>
      </w:r>
      <w:r w:rsidR="00CE5C0F" w:rsidRPr="006B48F0">
        <w:rPr>
          <w:lang w:val="en-US"/>
        </w:rPr>
        <w:t xml:space="preserve">, adapter-primer sequences were removed with Cutadapt (v1.13) </w:t>
      </w:r>
      <w:r w:rsidR="00CE5C0F" w:rsidRPr="006B48F0">
        <w:rPr>
          <w:lang w:val="en-US"/>
        </w:rPr>
        <w:fldChar w:fldCharType="begin" w:fldLock="1"/>
      </w:r>
      <w:r w:rsidR="00D13CF9" w:rsidRPr="006B48F0">
        <w:rPr>
          <w:lang w:val="en-US"/>
        </w:rPr>
        <w:instrText>ADDIN CSL_CITATION {"citationItems":[{"id":"ITEM-1","itemData":{"ISSN":"19950756","abstract":"In the present research it is investigated the relationship between organizational culture and knowledge management as well their simultaneous effects on performing customer relation management. The picked procedure is descriptive one. The findings show that there is a significant relation between organizational culture and knowledge management, besides every change in each of them can affect justly the successful management in communication with customer. Therefore having a correct understanding of CRM concept as one of up-to-date and effective technology indexes, flexible and entrepreneur cultures as well their simultaneous influence would bring more succeeded CRM performance in an organization also rising values for customer and organization. © 2013 AENSI Publisher All rights reserved.","author":[{"dropping-particle":"","family":"Marcel","given":"Martin","non-dropping-particle":"","parse-names":false,"suffix":""}],"container-title":"EMBnet.journal","id":"ITEM-1","issue":"1","issued":{"date-parts":[["2011"]]},"page":"10-12","title":"Cutadapt removes adapter sequences from high-throughput sequencing reads","type":"article-journal","volume":"17"},"uris":["http://www.mendeley.com/documents/?uuid=5e68deb4-1a56-4b73-98e1-8185d6761f87"]}],"mendeley":{"formattedCitation":"[20]","plainTextFormattedCitation":"[20]","previouslyFormattedCitation":"[20]"},"properties":{"noteIndex":0},"schema":"https://github.com/citation-style-language/schema/raw/master/csl-citation.json"}</w:instrText>
      </w:r>
      <w:r w:rsidR="00CE5C0F" w:rsidRPr="006B48F0">
        <w:rPr>
          <w:lang w:val="en-US"/>
        </w:rPr>
        <w:fldChar w:fldCharType="separate"/>
      </w:r>
      <w:r w:rsidR="00D73DD3" w:rsidRPr="006B48F0">
        <w:rPr>
          <w:noProof/>
          <w:lang w:val="en-US"/>
        </w:rPr>
        <w:t>[20]</w:t>
      </w:r>
      <w:r w:rsidR="00CE5C0F" w:rsidRPr="006B48F0">
        <w:rPr>
          <w:lang w:val="en-US"/>
        </w:rPr>
        <w:fldChar w:fldCharType="end"/>
      </w:r>
      <w:r w:rsidR="00CE5C0F" w:rsidRPr="006B48F0">
        <w:rPr>
          <w:lang w:val="en-US"/>
        </w:rPr>
        <w:t xml:space="preserve">, and reads were trimmed with Sickle using default settings (v1.33) </w:t>
      </w:r>
      <w:r w:rsidR="00CE5C0F" w:rsidRPr="006B48F0">
        <w:rPr>
          <w:lang w:val="en-US"/>
        </w:rPr>
        <w:fldChar w:fldCharType="begin" w:fldLock="1"/>
      </w:r>
      <w:r w:rsidR="00D13CF9" w:rsidRPr="006B48F0">
        <w:rPr>
          <w:lang w:val="en-US"/>
        </w:rPr>
        <w:instrText>ADDIN CSL_CITATION {"citationItems":[{"id":"ITEM-1","itemData":{"abstract":"Most modern sequencing technologies produce reads that have deteriorating quality towards the 3'-end and some towards the 5'-end as well. Incorrectly called bases in both regions negatively impact assembles, mapping, and downstream bioinformatics analyses. Sickle is a tool that uses sliding windows along with quality and length thresholds to determine when quality is sufficiently low to trim the 3'-end of reads and also determines when the quality is sufficiently high enough to trim the 5'-end of reads. It will also discard reads based upon the length threshold. It takes the quality values and slides a window across them whose length is 0.1 times the length of the read. If this length is less than 1, then the window is set to be equal to the length of the read. Otherwise, the window slides along the quality values until the average quality in the window rises above the threshold, at which point the algorithm determines where within the window the rise occurs and cuts the read and quality there for the 5'-end cut. Then when the average quality in the window drops below the threshold, the algorithm determines where in the window the drop occurs and cuts both the read and quality strings there for the 3'-end cut. However, if the length of the remaining sequence is less than the minimum length threshold, then the read is discarded entirely (or replaced with an \"N\" record). 5'-end trimming can be disabled. Sickle supports three types of quality values: Illumina, Solexa, and Sanger. Note that the Solexa quality setting is an approximation (the actual conversion is a non-linear transformation). The end approximation is close. Illumina quality refers to qualities encoded with the CASAVA pipeline between versions 1.3 and 1.7. Illumina quality using CASAVA &gt;= 1.8 is Sanger encoded. Note that Sickle will remove the 2nd fastq record header (on the \"+\" line) and replace it with simply a \"+\". This is the default format for CASAVA &gt;= 1.8. Sickle also supports gzipped file inputs and optional gzipped outputs. By default, Sickle will produce regular (i.e. not gzipped) output, regardless of the input. Sickle also has an option to truncate reads with Ns at the first N position","author":[{"dropping-particle":"","family":"Joshi","given":"NA","non-dropping-particle":"","parse-names":false,"suffix":""},{"dropping-particle":"","family":"Fass","given":"JN","non-dropping-particle":"","parse-names":false,"suffix":""}],"id":"ITEM-1","issued":{"date-parts":[["2011"]]},"page":"[Software]","title":"Sickle: A sliding-window, adaptive, quality-based trimming tool for FastQ files","type":"article"},"uris":["http://www.mendeley.com/documents/?uuid=23f3aa69-357d-431d-bd7c-e64107688132"]}],"mendeley":{"formattedCitation":"[21]","plainTextFormattedCitation":"[21]","previouslyFormattedCitation":"[21]"},"properties":{"noteIndex":0},"schema":"https://github.com/citation-style-language/schema/raw/master/csl-citation.json"}</w:instrText>
      </w:r>
      <w:r w:rsidR="00CE5C0F" w:rsidRPr="006B48F0">
        <w:rPr>
          <w:lang w:val="en-US"/>
        </w:rPr>
        <w:fldChar w:fldCharType="separate"/>
      </w:r>
      <w:r w:rsidR="00D73DD3" w:rsidRPr="006B48F0">
        <w:rPr>
          <w:noProof/>
          <w:lang w:val="en-US"/>
        </w:rPr>
        <w:t>[21]</w:t>
      </w:r>
      <w:r w:rsidR="00CE5C0F" w:rsidRPr="006B48F0">
        <w:rPr>
          <w:lang w:val="en-US"/>
        </w:rPr>
        <w:fldChar w:fldCharType="end"/>
      </w:r>
      <w:r w:rsidR="00CE5C0F" w:rsidRPr="006B48F0">
        <w:rPr>
          <w:lang w:val="en-US"/>
        </w:rPr>
        <w:t xml:space="preserve">. </w:t>
      </w:r>
      <w:r w:rsidR="00CE5C0F" w:rsidRPr="00E34C8B">
        <w:rPr>
          <w:lang w:val="en-US"/>
        </w:rPr>
        <w:t xml:space="preserve">The stable RNA reads were filtered out by aligning all reads to an in-house database of stable RNA sequences with ERNE (v2.1.1) </w:t>
      </w:r>
      <w:r w:rsidR="00CE5C0F" w:rsidRPr="00E34C8B">
        <w:rPr>
          <w:lang w:val="en-US"/>
        </w:rPr>
        <w:fldChar w:fldCharType="begin" w:fldLock="1"/>
      </w:r>
      <w:r w:rsidR="00D13CF9">
        <w:rPr>
          <w:lang w:val="en-US"/>
        </w:rPr>
        <w:instrText>ADDIN CSL_CITATION {"citationItems":[{"id":"ITEM-1","itemData":{"DOI":"10.1371/journal.pone.0085024","ISSN":"19326203","PMID":"24376861","abstract":"Next Generation Sequencing is having an extremely strong impact in biological and medical research and diagnostics, with applications ranging from gene expression quantification to genotyping and genome reconstruction. Sequencing data is often provided as raw reads which are processed prior to analysis 1 of the most used preprocessing procedures is read trimming, which aims at removing low quality portions while preserving the longest high quality part of a NGS read. In the current work, we evaluate nine different trimming algorithms in four datasets and three common NGS-based applications (RNA-Seq, SNP calling and genome assembly). Trimming is shown to increase the quality and reliability of the analysis, with concurrent gains in terms of execution time and computational resources needed. © 2013 Del Fabbro et al.","author":[{"dropping-particle":"","family":"Fabbro","given":"Cristian","non-dropping-particle":"Del","parse-names":false,"suffix":""},{"dropping-particle":"","family":"Scalabrin","given":"Simone","non-dropping-particle":"","parse-names":false,"suffix":""},{"dropping-particle":"","family":"Morgante","given":"Michele","non-dropping-particle":"","parse-names":false,"suffix":""},{"dropping-particle":"","family":"Giorgi","given":"Federico M.","non-dropping-particle":"","parse-names":false,"suffix":""}],"container-title":"PLoS ONE","id":"ITEM-1","issue":"12","issued":{"date-parts":[["2013"]]},"page":"1-13","title":"An extensive evaluation of read trimming effects on illumina NGS data analysis","type":"article-journal","volume":"8"},"uris":["http://www.mendeley.com/documents/?uuid=d4abea98-44eb-4f6a-a4ad-6b0503c24cbd"]}],"mendeley":{"formattedCitation":"[22]","plainTextFormattedCitation":"[22]","previouslyFormattedCitation":"[22]"},"properties":{"noteIndex":0},"schema":"https://github.com/citation-style-language/schema/raw/master/csl-citation.json"}</w:instrText>
      </w:r>
      <w:r w:rsidR="00CE5C0F" w:rsidRPr="00E34C8B">
        <w:rPr>
          <w:lang w:val="en-US"/>
        </w:rPr>
        <w:fldChar w:fldCharType="separate"/>
      </w:r>
      <w:r w:rsidR="00D73DD3" w:rsidRPr="00E34C8B">
        <w:rPr>
          <w:noProof/>
          <w:lang w:val="en-US"/>
        </w:rPr>
        <w:t>[22]</w:t>
      </w:r>
      <w:r w:rsidR="00CE5C0F" w:rsidRPr="00E34C8B">
        <w:rPr>
          <w:lang w:val="en-US"/>
        </w:rPr>
        <w:fldChar w:fldCharType="end"/>
      </w:r>
      <w:r w:rsidR="00CE5C0F" w:rsidRPr="00E34C8B">
        <w:rPr>
          <w:lang w:val="en-US"/>
        </w:rPr>
        <w:t xml:space="preserve">. Remaining quality reads were then de-novo assembled with MEGAHIT (v1.1.2) </w:t>
      </w:r>
      <w:r w:rsidR="00CE5C0F" w:rsidRPr="00E34C8B">
        <w:rPr>
          <w:lang w:val="en-US"/>
        </w:rPr>
        <w:fldChar w:fldCharType="begin" w:fldLock="1"/>
      </w:r>
      <w:r w:rsidR="00D13CF9">
        <w:rPr>
          <w:lang w:val="en-US"/>
        </w:rPr>
        <w:instrText>ADDIN CSL_CITATION {"citationItems":[{"id":"ITEM-1","itemData":{"DOI":"10.1093/bioinformatics/btv033","ISSN":"14602059","PMID":"25609793","abstract":"Summary: MEGAHIT is a NGS de novo assembler for assembling large and complex metagenomics data in a time- and cost-efficient manner. It finished assembling a soil metagenomics dataset with 252</w:instrText>
      </w:r>
      <w:r w:rsidR="00D13CF9">
        <w:rPr>
          <w:rFonts w:ascii="Cambria Math" w:hAnsi="Cambria Math" w:cs="Cambria Math"/>
          <w:lang w:val="en-US"/>
        </w:rPr>
        <w:instrText>∈</w:instrText>
      </w:r>
      <w:r w:rsidR="00D13CF9">
        <w:rPr>
          <w:lang w:val="en-US"/>
        </w:rPr>
        <w:instrText>Gbps in 44.1 and 99.6</w:instrText>
      </w:r>
      <w:r w:rsidR="00D13CF9">
        <w:rPr>
          <w:rFonts w:ascii="Cambria Math" w:hAnsi="Cambria Math" w:cs="Cambria Math"/>
          <w:lang w:val="en-US"/>
        </w:rPr>
        <w:instrText>∈</w:instrText>
      </w:r>
      <w:r w:rsidR="00D13CF9">
        <w:rPr>
          <w:lang w:val="en-US"/>
        </w:rPr>
        <w:instrText>h on a single computing node with and without a graphics processing unit, respectively. MEGAHIT assembles the data as a whole, i.e. no pre-processing like partitioning and normalization was needed. When compared with previous methods on assembling the soil data, MEGAHIT generated a three-time larger assembly, with longer contig N50 and average contig length; furthermore, 55.8% of the reads were aligned to the assembly, giving a fourfold improvement.","author":[{"dropping-particle":"","family":"Li","given":"Dinghua","non-dropping-particle":"","parse-names":false,"suffix":""},{"dropping-particle":"","family":"Liu","given":"Chi Man","non-dropping-particle":"","parse-names":false,"suffix":""},{"dropping-particle":"","family":"Luo","given":"Ruibang","non-dropping-particle":"","parse-names":false,"suffix":""},{"dropping-particle":"","family":"Sadakane","given":"Kunihiko","non-dropping-particle":"","parse-names":false,"suffix":""},{"dropping-particle":"","family":"Lam","given":"Tak Wah","non-dropping-particle":"","parse-names":false,"suffix":""}],"container-title":"Bioinformatics","id":"ITEM-1","issue":"10","issued":{"date-parts":[["2015"]]},"page":"1674-1676","title":"MEGAHIT: An ultra-fast single-node solution for large and complex metagenomics assembly via succinct de Bruijn graph","type":"article-journal","volume":"31"},"uris":["http://www.mendeley.com/documents/?uuid=6d6fcccc-20b2-4aee-9e5f-f79ac9da1c2a"]}],"mendeley":{"formattedCitation":"[23]","plainTextFormattedCitation":"[23]","previouslyFormattedCitation":"[23]"},"properties":{"noteIndex":0},"schema":"https://github.com/citation-style-language/schema/raw/master/csl-citation.json"}</w:instrText>
      </w:r>
      <w:r w:rsidR="00CE5C0F" w:rsidRPr="00E34C8B">
        <w:rPr>
          <w:lang w:val="en-US"/>
        </w:rPr>
        <w:fldChar w:fldCharType="separate"/>
      </w:r>
      <w:r w:rsidR="00D73DD3" w:rsidRPr="00E34C8B">
        <w:rPr>
          <w:noProof/>
          <w:lang w:val="en-US"/>
        </w:rPr>
        <w:t>[23]</w:t>
      </w:r>
      <w:r w:rsidR="00CE5C0F" w:rsidRPr="00E34C8B">
        <w:rPr>
          <w:lang w:val="en-US"/>
        </w:rPr>
        <w:fldChar w:fldCharType="end"/>
      </w:r>
      <w:r w:rsidR="00CE5C0F" w:rsidRPr="00E34C8B">
        <w:rPr>
          <w:lang w:val="en-US"/>
        </w:rPr>
        <w:t>. Open reading frames (ORFs) were determined with Prodigal (v2.6.3</w:t>
      </w:r>
      <w:r w:rsidR="00EA5F3C" w:rsidRPr="00E34C8B">
        <w:rPr>
          <w:lang w:val="en-US"/>
        </w:rPr>
        <w:t xml:space="preserve">) </w:t>
      </w:r>
      <w:r w:rsidR="00EA5F3C" w:rsidRPr="00E34C8B">
        <w:rPr>
          <w:lang w:val="en-US"/>
        </w:rPr>
        <w:fldChar w:fldCharType="begin" w:fldLock="1"/>
      </w:r>
      <w:r w:rsidR="00D13CF9">
        <w:rPr>
          <w:lang w:val="en-US"/>
        </w:rPr>
        <w:instrText>ADDIN CSL_CITATION {"citationItems":[{"id":"ITEM-1","itemData":{"ISBN":"1664-8021","ISSN":"1751-7362","PMID":"26734060","abstract":"The study of microorganisms that pervade each and every part of this planet has encountered many challenges through time such as the discovery of unknown organisms and the understanding of how they interact with their environment. The aim of this review is to take the reader along the timeline and major milestones that led us to modern metagenomics. This new and thriving area is likely to be an important contributor to solve different problems. The transition from classical microbiology to modern metagenomics studies has required the development of new branches of knowledge and specialization. Here, we will review how the availability of high-throughput sequencing technologies has transformed microbiology and bioinformatics and how to tackle the inherent computational challenges that arise from the DNA sequencing revolution. New computational methods are constantly developed to collect, process, and extract useful biological information from a variety of samples and complex datasets, but metagenomics needs the integration of several of these computational methods. Despite the level of specialization needed in bioinformatics, it is important that life-scientists have a good understanding of it for a correct experimental design, which allows them to reveal the information in a metagenome.","author":[{"dropping-particle":"","family":"Hyatt","given":"Doug","non-dropping-particle":"","parse-names":false,"suffix":""},{"dropping-particle":"","family":"Chen","given":"Gwo-Liang","non-dropping-particle":"","parse-names":false,"suffix":""},{"dropping-particle":"","family":"LoCascio","given":"Philip F","non-dropping-particle":"","parse-names":false,"suffix":""},{"dropping-particle":"","family":"Land","given":"Miriam L","non-dropping-particle":"","parse-names":false,"suffix":""},{"dropping-particle":"","family":"Larimer","given":"Frank W","non-dropping-particle":"","parse-names":false,"suffix":""},{"dropping-particle":"","family":"Hauser","given":"Loren J","non-dropping-particle":"","parse-names":false,"suffix":""}],"container-title":"Nature Communications","id":"ITEM-1","issue":"1","issued":{"date-parts":[["2010"]]},"page":"1-8","title":"Integrated nr Database in Protein Annotation System and Its Localization","type":"article-journal","volume":"6"},"uris":["http://www.mendeley.com/documents/?uuid=100aced1-26ba-4026-9a34-10f3672b9440"]}],"mendeley":{"formattedCitation":"[24]","plainTextFormattedCitation":"[24]","previouslyFormattedCitation":"[24]"},"properties":{"noteIndex":0},"schema":"https://github.com/citation-style-language/schema/raw/master/csl-citation.json"}</w:instrText>
      </w:r>
      <w:r w:rsidR="00EA5F3C" w:rsidRPr="00E34C8B">
        <w:rPr>
          <w:lang w:val="en-US"/>
        </w:rPr>
        <w:fldChar w:fldCharType="separate"/>
      </w:r>
      <w:r w:rsidR="00D73DD3" w:rsidRPr="00E34C8B">
        <w:rPr>
          <w:noProof/>
          <w:lang w:val="en-US"/>
        </w:rPr>
        <w:t>[24]</w:t>
      </w:r>
      <w:r w:rsidR="00EA5F3C" w:rsidRPr="00E34C8B">
        <w:rPr>
          <w:lang w:val="en-US"/>
        </w:rPr>
        <w:fldChar w:fldCharType="end"/>
      </w:r>
      <w:r w:rsidR="00CE5C0F" w:rsidRPr="00E34C8B">
        <w:rPr>
          <w:lang w:val="en-US"/>
        </w:rPr>
        <w:t xml:space="preserve"> in single mode, and the nucleotide sequences from all assemblies were clustered at a 99% level with VSEARCH (v2.20.1)</w:t>
      </w:r>
      <w:r w:rsidR="00DF4476" w:rsidRPr="00E34C8B">
        <w:rPr>
          <w:lang w:val="en-US"/>
        </w:rPr>
        <w:t xml:space="preserve"> </w:t>
      </w:r>
      <w:r w:rsidR="00DF4476" w:rsidRPr="00E34C8B">
        <w:rPr>
          <w:lang w:val="en-US"/>
        </w:rPr>
        <w:fldChar w:fldCharType="begin" w:fldLock="1"/>
      </w:r>
      <w:r w:rsidR="00D13CF9">
        <w:rPr>
          <w:lang w:val="en-US"/>
        </w:rPr>
        <w:instrText>ADDIN CSL_CITATION {"citationItems":[{"id":"ITEM-1","itemData":{"DOI":"10.7717/peerj.2584","ISSN":"21678359","PMID":"27781170","abstract":"Background VSEARCH is an open source and free of charge multithreaded 64-bit tool for processing and preparing metagenomics, genomics and population genomics nucleotide sequence data. It is designed as an alternative to the widely used USEARCH tool (Edgar, 2010) for which the source code is not publicly available, algorithm details are only rudimentarily described, and only a memory-confined 32-bit version is freely available for academic use. Methods When searching nucleotide sequences, VSEARCH uses a fast heuristic based on words shared by the query and target sequences in order to quickly identify similar sequences, a similar strategy is probably used in USEARCH. VSEARCH then performs optimal global sequence alignment of the query against potential target sequences, using full dynamic programming instead of the seed-and-extend heuristic used by USEARCH. Pairwise alignments are computed in parallel using vectorisation and multiple threads. Results VSEARCH includes most commands for analysing nucleotide sequences available in USEARCH version 7 and several of those available in USEARCH version 8, including searching (exact or based on global alignment), clustering by similarity (using length pre-sorting, abundance pre-sorting or a user-defined order), chimera detection (reference-based or de novo), dereplication (full length or prefix), pairwise alignment, reverse complementation, sorting, and subsampling. VSEARCH also includes commands for FASTQ file processing, i.e., format detection, filtering, read quality statistics, and merging of paired reads. Furthermore, VSEARCH extends functionality with several new commands and improvements, including shuffling, rereplication, masking of low-complexity sequences with the well-known DUST algorithm, a choice among different similarity definitions, and FASTQ file format conversion. VSEARCH is here shown to be more accurate than USEARCH when performing searching, clustering, chimera detection and subsampling, while on a par with USEARCH for paired-ends read merging. VSEARCH is slower than USEARCH when performing clustering and chimera detection, but significantly faster when performing paired-end reads merging and dereplication. VSEARCH is available at https://github.com/torognes/vsearch under either the BSD 2-clause license or the GNU General Public License version 3.0. Discussion VSEARCH has been shown to be a fast, accurate and full-fledged alternative to USEARCH. A free and open-source versatile tool for sequ…","author":[{"dropping-particle":"","family":"Rognes","given":"Torbjørn","non-dropping-particle":"","parse-names":false,"suffix":""},{"dropping-particle":"","family":"Flouri","given":"Tomáš","non-dropping-particle":"","parse-names":false,"suffix":""},{"dropping-particle":"","family":"Nichols","given":"Ben","non-dropping-particle":"","parse-names":false,"suffix":""},{"dropping-particle":"","family":"Quince","given":"Christopher","non-dropping-particle":"","parse-names":false,"suffix":""},{"dropping-particle":"","family":"Mahé","given":"Frédéric","non-dropping-particle":"","parse-names":false,"suffix":""}],"container-title":"PeerJ","id":"ITEM-1","issue":"10","issued":{"date-parts":[["2016"]]},"page":"1-22","title":"VSEARCH: A versatile open source tool for metagenomics","type":"article-journal","volume":"2016"},"uris":["http://www.mendeley.com/documents/?uuid=5bc7e71f-4742-4f05-adf6-d50cb5b29656"]}],"mendeley":{"formattedCitation":"[25]","plainTextFormattedCitation":"[25]","previouslyFormattedCitation":"[25]"},"properties":{"noteIndex":0},"schema":"https://github.com/citation-style-language/schema/raw/master/csl-citation.json"}</w:instrText>
      </w:r>
      <w:r w:rsidR="00DF4476" w:rsidRPr="00E34C8B">
        <w:rPr>
          <w:lang w:val="en-US"/>
        </w:rPr>
        <w:fldChar w:fldCharType="separate"/>
      </w:r>
      <w:r w:rsidR="00D73DD3" w:rsidRPr="00E34C8B">
        <w:rPr>
          <w:noProof/>
          <w:lang w:val="en-US"/>
        </w:rPr>
        <w:t>[25]</w:t>
      </w:r>
      <w:r w:rsidR="00DF4476" w:rsidRPr="00E34C8B">
        <w:rPr>
          <w:lang w:val="en-US"/>
        </w:rPr>
        <w:fldChar w:fldCharType="end"/>
      </w:r>
      <w:r w:rsidR="00CE5C0F" w:rsidRPr="00E34C8B">
        <w:rPr>
          <w:lang w:val="en-US"/>
        </w:rPr>
        <w:t>. To quantify ORFs, quality reads were mapped to the ORF sequences with Bowtie2 (v2.3.5.1)</w:t>
      </w:r>
      <w:r w:rsidR="009A4A5C" w:rsidRPr="00E34C8B">
        <w:rPr>
          <w:lang w:val="en-US"/>
        </w:rPr>
        <w:t xml:space="preserve"> </w:t>
      </w:r>
      <w:r w:rsidR="009A4A5C" w:rsidRPr="00E34C8B">
        <w:rPr>
          <w:lang w:val="en-US"/>
        </w:rPr>
        <w:fldChar w:fldCharType="begin" w:fldLock="1"/>
      </w:r>
      <w:r w:rsidR="00D13CF9">
        <w:rPr>
          <w:lang w:val="en-US"/>
        </w:rPr>
        <w:instrText>ADDIN CSL_CITATION {"citationItems":[{"id":"ITEM-1","itemData":{"DOI":"10.1038/nmeth.1923","ISSN":"15487091","PMID":"22388286","abstract":"As the rate of sequencing increases, greater throughput is demanded from read aligners. The full-text minute index is often used to make alignment very fast and memory-efficient, but the approach is ill-suited to finding longer, gapped alignments. Bowtie 2 combines the strengths of the full-text minute index with the flexibility and speed of hardware-accelerated dynamic programming algorithms to achieve a combination of high speed, sensitivity and accuracy. © 2012 Nature America, Inc. All rights reserved.","author":[{"dropping-particle":"","family":"Langmead","given":"Ben","non-dropping-particle":"","parse-names":false,"suffix":""},{"dropping-particle":"","family":"Salzberg","given":"Steven L.","non-dropping-particle":"","parse-names":false,"suffix":""}],"container-title":"Nature Methods","id":"ITEM-1","issue":"4","issued":{"date-parts":[["2012"]]},"page":"357-359","title":"Fast gapped-read alignment with Bowtie 2","type":"article-journal","volume":"9"},"uris":["http://www.mendeley.com/documents/?uuid=c91f6a88-7a29-4385-8cda-b5826d915cab"]}],"mendeley":{"formattedCitation":"[26]","plainTextFormattedCitation":"[26]","previouslyFormattedCitation":"[26]"},"properties":{"noteIndex":0},"schema":"https://github.com/citation-style-language/schema/raw/master/csl-citation.json"}</w:instrText>
      </w:r>
      <w:r w:rsidR="009A4A5C" w:rsidRPr="00E34C8B">
        <w:rPr>
          <w:lang w:val="en-US"/>
        </w:rPr>
        <w:fldChar w:fldCharType="separate"/>
      </w:r>
      <w:r w:rsidR="00D73DD3" w:rsidRPr="00E34C8B">
        <w:rPr>
          <w:noProof/>
          <w:lang w:val="en-US"/>
        </w:rPr>
        <w:t>[26]</w:t>
      </w:r>
      <w:r w:rsidR="009A4A5C" w:rsidRPr="00E34C8B">
        <w:rPr>
          <w:lang w:val="en-US"/>
        </w:rPr>
        <w:fldChar w:fldCharType="end"/>
      </w:r>
      <w:r w:rsidR="00CE5C0F" w:rsidRPr="00E34C8B">
        <w:rPr>
          <w:lang w:val="en-US"/>
        </w:rPr>
        <w:t>. Taxonomic annotations were assigned to ORFs by alignment with Diamond (v0.9.24</w:t>
      </w:r>
      <w:r w:rsidR="00AC4458" w:rsidRPr="00E34C8B">
        <w:rPr>
          <w:lang w:val="en-US"/>
        </w:rPr>
        <w:t xml:space="preserve">) </w:t>
      </w:r>
      <w:r w:rsidR="00AC4458" w:rsidRPr="00E34C8B">
        <w:rPr>
          <w:lang w:val="en-US"/>
        </w:rPr>
        <w:fldChar w:fldCharType="begin" w:fldLock="1"/>
      </w:r>
      <w:r w:rsidR="00D13CF9">
        <w:rPr>
          <w:lang w:val="en-US"/>
        </w:rPr>
        <w:instrText>ADDIN CSL_CITATION {"citationItems":[{"id":"ITEM-1","itemData":{"DOI":"10.1038/nmeth.3176","ISSN":"15487105","PMID":"25402007","abstract":"The alignment of sequencing reads against a protein reference database is a major computational bottleneck in metagenomics and data-intensive evolutionary projects. Although recent tools offer improved performance over the gold standard BLASTX, they exhibit only a modest speedup or low sensitivity. We introduce DIAMOND, an open-source algorithm based on double indexing that is 20,000 times faster than BLASTX on short reads and has a similar degree of sensitivity.","author":[{"dropping-particle":"","family":"Buchfink","given":"Benjamin","non-dropping-particle":"","parse-names":false,"suffix":""},{"dropping-particle":"","family":"Xie","given":"Chao","non-dropping-particle":"","parse-names":false,"suffix":""},{"dropping-particle":"","family":"Huson","given":"Daniel H.","non-dropping-particle":"","parse-names":false,"suffix":""}],"container-title":"Nature Methods","id":"ITEM-1","issue":"1","issued":{"date-parts":[["2014"]]},"page":"59-60","publisher":"Nature Publishing Group","title":"Fast and sensitive protein alignment using DIAMOND","type":"article-journal","volume":"12"},"uris":["http://www.mendeley.com/documents/?uuid=5faf62b1-4a7b-43ff-82f1-0aa40b888543"]}],"mendeley":{"formattedCitation":"[27]","plainTextFormattedCitation":"[27]","previouslyFormattedCitation":"[27]"},"properties":{"noteIndex":0},"schema":"https://github.com/citation-style-language/schema/raw/master/csl-citation.json"}</w:instrText>
      </w:r>
      <w:r w:rsidR="00AC4458" w:rsidRPr="00E34C8B">
        <w:rPr>
          <w:lang w:val="en-US"/>
        </w:rPr>
        <w:fldChar w:fldCharType="separate"/>
      </w:r>
      <w:r w:rsidR="00D73DD3" w:rsidRPr="00E34C8B">
        <w:rPr>
          <w:noProof/>
          <w:lang w:val="en-US"/>
        </w:rPr>
        <w:t>[27]</w:t>
      </w:r>
      <w:r w:rsidR="00AC4458" w:rsidRPr="00E34C8B">
        <w:rPr>
          <w:lang w:val="en-US"/>
        </w:rPr>
        <w:fldChar w:fldCharType="end"/>
      </w:r>
      <w:r w:rsidR="00CE5C0F" w:rsidRPr="00E34C8B">
        <w:rPr>
          <w:lang w:val="en-US"/>
        </w:rPr>
        <w:t xml:space="preserve"> to NCBI’s RefSeq protein database (release date: December 20, 2018) </w:t>
      </w:r>
      <w:r w:rsidR="00CE5C0F" w:rsidRPr="00E34C8B">
        <w:rPr>
          <w:lang w:val="en-US"/>
        </w:rPr>
        <w:fldChar w:fldCharType="begin" w:fldLock="1"/>
      </w:r>
      <w:r w:rsidR="00D13CF9">
        <w:rPr>
          <w:lang w:val="en-US"/>
        </w:rPr>
        <w:instrText>ADDIN CSL_CITATION {"citationItems":[{"id":"ITEM-1","itemData":{"DOI":"10.1093/nar/gkv1189","ISSN":"13624962","PMID":"26553804","abstract":"The RefSeq project at the National Center for Biotechnology Information (NCBI) maintains and curates a publicly available database of annotated genomic, transcript, and protein sequence records (http://www.ncbi.nlm.nih.gov/refseq/). The RefSeq project leverages the data submitted to the International Nucleotide Sequence Database Collaboration (INSDC) against a combination of computation, manual curation, and collaboration to produce a standard set of stable, non-redundant reference sequences. The RefSeq project augments these reference sequences with current knowledge including publications, functional features and informative nomenclature. The database currently represents sequences from more than 55 000 organisms (&gt;4800 viruses, &gt;40 000 prokaryotes and &gt;10 000 eukaryotes; RefSeq release 71), ranging from a single record to complete genomes. This paper summarizes the current status of the viral, prokaryotic, and eukaryotic branches of the RefSeq project, reports on improvements to data access and details efforts to further expand the taxonomic representation of the collection. We also highlight diverse functional curation initiatives that support multiple uses of RefSeq data including taxonomic validation, genome annotation, comparative genomics, and clinical testing. We summarize our approach to utilizing available RNA-Seq and other data types in our manual curation process for vertebrate, plant, and other species, and describe a new direction for prokaryotic genomes and protein name management.","author":[{"dropping-particle":"","family":"O'Leary","given":"Nuala A.","non-dropping-particle":"","parse-names":false,"suffix":""},{"dropping-particle":"","family":"Wright","given":"Mathew W.","non-dropping-particle":"","parse-names":false,"suffix":""},{"dropping-particle":"","family":"Brister","given":"J. Rodney","non-dropping-particle":"","parse-names":false,"suffix":""},{"dropping-particle":"","family":"Ciufo","given":"Stacy","non-dropping-particle":"","parse-names":false,"suffix":""},{"dropping-particle":"","family":"Haddad","given":"Diana","non-dropping-particle":"","parse-names":false,"suffix":""},{"dropping-particle":"","family":"McVeigh","given":"Rich","non-dropping-particle":"","parse-names":false,"suffix":""},{"dropping-particle":"","family":"Rajput","given":"Bhanu","non-dropping-particle":"","parse-names":false,"suffix":""},{"dropping-particle":"","family":"Robbertse","given":"Barbara","non-dropping-particle":"","parse-names":false,"suffix":""},{"dropping-particle":"","family":"Smith-White","given":"Brian","non-dropping-particle":"","parse-names":false,"suffix":""},{"dropping-particle":"","family":"Ako-Adjei","given":"Danso","non-dropping-particle":"","parse-names":false,"suffix":""},{"dropping-particle":"","family":"Astashyn","given":"Alexander","non-dropping-particle":"","parse-names":false,"suffix":""},{"dropping-particle":"","family":"Badretdin","given":"Azat","non-dropping-particle":"","parse-names":false,"suffix":""},{"dropping-particle":"","family":"Bao","given":"Yiming","non-dropping-particle":"","parse-names":false,"suffix":""},{"dropping-particle":"","family":"Blinkova","given":"Olga","non-dropping-particle":"","parse-names":false,"suffix":""},{"dropping-particle":"","family":"Brover","given":"Vyacheslav","non-dropping-particle":"","parse-names":false,"suffix":""},{"dropping-particle":"","family":"Chetvernin","given":"Vyacheslav","non-dropping-particle":"","parse-names":false,"suffix":""},{"dropping-particle":"","family":"Choi","given":"Jinna","non-dropping-particle":"","parse-names":false,"suffix":""},{"dropping-particle":"","family":"Cox","given":"Eric","non-dropping-particle":"","parse-names":false,"suffix":""},{"dropping-particle":"","family":"Ermolaeva","given":"Olga","non-dropping-particle":"","parse-names":false,"suffix":""},{"dropping-particle":"","family":"Farrell","given":"Catherine M.","non-dropping-particle":"","parse-names":false,"suffix":""},{"dropping-particle":"","family":"Goldfarb","given":"Tamara","non-dropping-particle":"","parse-names":false,"suffix":""},{"dropping-particle":"","family":"Gupta","given":"Tripti","non-dropping-particle":"","parse-names":false,"suffix":""},{"dropping-particle":"","family":"Haft","given":"Daniel","non-dropping-particle":"","parse-names":false,"suffix":""},{"dropping-particle":"","family":"Hatcher","given":"Eneida","non-dropping-particle":"","parse-names":false,"suffix":""},{"dropping-particle":"","family":"Hlavina","given":"Wratko","non-dropping-particle":"","parse-names":false,"suffix":""},{"dropping-particle":"","family":"Joardar","given":"Vinita S.","non-dropping-particle":"","parse-names":false,"suffix":""},{"dropping-particle":"","family":"Kodali","given":"Vamsi K.","non-dropping-particle":"","parse-names":false,"suffix":""},{"dropping-particle":"","family":"Li","given":"Wenjun","non-dropping-particle":"","parse-names":false,"suffix":""},{"dropping-particle":"","family":"Maglott","given":"Donna","non-dropping-particle":"","parse-names":false,"suffix":""},{"dropping-particle":"","family":"Masterson","given":"Patrick","non-dropping-particle":"","parse-names":false,"suffix":""},{"dropping-particle":"","family":"McGarvey","given":"Kelly M.","non-dropping-particle":"","parse-names":false,"suffix":""},{"dropping-particle":"","family":"Murphy","given":"Michael R.","non-dropping-particle":"","parse-names":false,"suffix":""},{"dropping-particle":"","family":"O'Neill","given":"Kathleen","non-dropping-particle":"","parse-names":false,"suffix":""},{"dropping-particle":"","family":"Pujar","given":"Shashikant","non-dropping-particle":"","parse-names":false,"suffix":""},{"dropping-particle":"","family":"Rangwala","given":"Sanjida H.","non-dropping-particle":"","parse-names":false,"suffix":""},{"dropping-particle":"","family":"Rausch","given":"Daniel","non-dropping-particle":"","parse-names":false,"suffix":""},{"dropping-particle":"","family":"Riddick","given":"Lillian D.","non-dropping-particle":"","parse-names":false,"suffix":""},{"dropping-particle":"","family":"Schoch","given":"Conrad","non-dropping-particle":"","parse-names":false,"suffix":""},{"dropping-particle":"","family":"Shkeda","given":"Andrei","non-dropping-particle":"","parse-names":false,"suffix":""},{"dropping-particle":"","family":"Storz","given":"Susan S.","non-dropping-particle":"","parse-names":false,"suffix":""},{"dropping-particle":"","family":"Sun","given":"Hanzhen","non-dropping-particle":"","parse-names":false,"suffix":""},{"dropping-particle":"","family":"Thibaud-Nissen","given":"Francoise","non-dropping-particle":"","parse-names":false,"suffix":""},{"dropping-particle":"","family":"Tolstoy","given":"Igor","non-dropping-particle":"","parse-names":false,"suffix":""},{"dropping-particle":"","family":"Tully","given":"Raymond E.","non-dropping-particle":"","parse-names":false,"suffix":""},{"dropping-particle":"","family":"Vatsan","given":"Anjana R.","non-dropping-particle":"","parse-names":false,"suffix":""},{"dropping-particle":"","family":"Wallin","given":"Craig","non-dropping-particle":"","parse-names":false,"suffix":""},{"dropping-particle":"","family":"Webb","given":"David","non-dropping-particle":"","parse-names":false,"suffix":""},{"dropping-particle":"","family":"Wu","given":"Wendy","non-dropping-particle":"","parse-names":false,"suffix":""},{"dropping-particle":"","family":"Landrum","given":"Melissa J.","non-dropping-particle":"","parse-names":false,"suffix":""},{"dropping-particle":"","family":"Kimchi","given":"Avi","non-dropping-particle":"","parse-names":false,"suffix":""},{"dropping-particle":"","family":"Tatusova","given":"Tatiana","non-dropping-particle":"","parse-names":false,"suffix":""},{"dropping-particle":"","family":"DiCuccio","given":"Michael","non-dropping-particle":"","parse-names":false,"suffix":""},{"dropping-particle":"","family":"Kitts","given":"Paul","non-dropping-particle":"","parse-names":false,"suffix":""},{"dropping-particle":"","family":"Murphy","given":"Terence D.","non-dropping-particle":"","parse-names":false,"suffix":""},{"dropping-particle":"","family":"Pruitt","given":"Kim D.","non-dropping-particle":"","parse-names":false,"suffix":""}],"container-title":"Nucleic Acids Research","id":"ITEM-1","issue":"D1","issued":{"date-parts":[["2016"]]},"page":"D733-D745","title":"Reference sequence (RefSeq) database at NCBI: Current status, taxonomic expansion, and functional annotation","type":"article-journal","volume":"44"},"uris":["http://www.mendeley.com/documents/?uuid=99f01304-a83e-4055-9048-cbfb0253b433"]}],"mendeley":{"formattedCitation":"[28]","plainTextFormattedCitation":"[28]","previouslyFormattedCitation":"[28]"},"properties":{"noteIndex":0},"schema":"https://github.com/citation-style-language/schema/raw/master/csl-citation.json"}</w:instrText>
      </w:r>
      <w:r w:rsidR="00CE5C0F" w:rsidRPr="00E34C8B">
        <w:rPr>
          <w:lang w:val="en-US"/>
        </w:rPr>
        <w:fldChar w:fldCharType="separate"/>
      </w:r>
      <w:r w:rsidR="00D73DD3" w:rsidRPr="00E34C8B">
        <w:rPr>
          <w:noProof/>
          <w:lang w:val="en-US"/>
        </w:rPr>
        <w:t>[28]</w:t>
      </w:r>
      <w:r w:rsidR="00CE5C0F" w:rsidRPr="00E34C8B">
        <w:rPr>
          <w:lang w:val="en-US"/>
        </w:rPr>
        <w:fldChar w:fldCharType="end"/>
      </w:r>
      <w:r w:rsidR="00CE5C0F" w:rsidRPr="00E34C8B">
        <w:rPr>
          <w:lang w:val="en-US"/>
        </w:rPr>
        <w:t xml:space="preserve"> and subsequent post-processing with MEGAN (v6.7.3) </w:t>
      </w:r>
      <w:r w:rsidR="00CE5C0F" w:rsidRPr="00E34C8B">
        <w:rPr>
          <w:lang w:val="en-US"/>
        </w:rPr>
        <w:fldChar w:fldCharType="begin" w:fldLock="1"/>
      </w:r>
      <w:r w:rsidR="00D13CF9">
        <w:rPr>
          <w:lang w:val="en-US"/>
        </w:rPr>
        <w:instrText>ADDIN CSL_CITATION {"citationItems":[{"id":"ITEM-1","itemData":{"DOI":"10.1371/journal.pone.0085024","ISSN":"19326203","PMID":"24376861","abstract":"Next Generation Sequencing is having an extremely strong impact in biological and medical research and diagnostics, with applications ranging from gene expression quantification to genotyping and genome reconstruction. Sequencing data is often provided as raw reads which are processed prior to analysis 1 of the most used preprocessing procedures is read trimming, which aims at removing low quality portions while preserving the longest high quality part of a NGS read. In the current work, we evaluate nine different trimming algorithms in four datasets and three common NGS-based applications (RNA-Seq, SNP calling and genome assembly). Trimming is shown to increase the quality and reliability of the analysis, with concurrent gains in terms of execution time and computational resources needed. © 2013 Del Fabbro et al.","author":[{"dropping-particle":"","family":"Fabbro","given":"Cristian","non-dropping-particle":"Del","parse-names":false,"suffix":""},{"dropping-particle":"","family":"Scalabrin","given":"Simone","non-dropping-particle":"","parse-names":false,"suffix":""},{"dropping-particle":"","family":"Morgante","given":"Michele","non-dropping-particle":"","parse-names":false,"suffix":""},{"dropping-particle":"","family":"Giorgi","given":"Federico M.","non-dropping-particle":"","parse-names":false,"suffix":""}],"container-title":"PLoS ONE","id":"ITEM-1","issue":"12","issued":{"date-parts":[["2013"]]},"page":"1-13","title":"An extensive evaluation of read trimming effects on illumina NGS data analysis","type":"article-journal","volume":"8"},"uris":["http://www.mendeley.com/documents/?uuid=d4abea98-44eb-4f6a-a4ad-6b0503c24cbd"]}],"mendeley":{"formattedCitation":"[22]","plainTextFormattedCitation":"[22]","previouslyFormattedCitation":"[22]"},"properties":{"noteIndex":0},"schema":"https://github.com/citation-style-language/schema/raw/master/csl-citation.json"}</w:instrText>
      </w:r>
      <w:r w:rsidR="00CE5C0F" w:rsidRPr="00E34C8B">
        <w:rPr>
          <w:lang w:val="en-US"/>
        </w:rPr>
        <w:fldChar w:fldCharType="separate"/>
      </w:r>
      <w:r w:rsidR="00D73DD3" w:rsidRPr="00E34C8B">
        <w:rPr>
          <w:noProof/>
          <w:lang w:val="en-US"/>
        </w:rPr>
        <w:t>[22]</w:t>
      </w:r>
      <w:r w:rsidR="00CE5C0F" w:rsidRPr="00E34C8B">
        <w:rPr>
          <w:lang w:val="en-US"/>
        </w:rPr>
        <w:fldChar w:fldCharType="end"/>
      </w:r>
      <w:r w:rsidR="00CE5C0F" w:rsidRPr="00E34C8B">
        <w:rPr>
          <w:lang w:val="en-US"/>
        </w:rPr>
        <w:t xml:space="preserve">. Subsequently, </w:t>
      </w:r>
      <w:r w:rsidR="00E34C8B" w:rsidRPr="00E34C8B">
        <w:rPr>
          <w:lang w:val="en-US"/>
        </w:rPr>
        <w:t>200</w:t>
      </w:r>
      <w:r w:rsidR="00CE5C0F" w:rsidRPr="00E34C8B">
        <w:rPr>
          <w:lang w:val="en-US"/>
        </w:rPr>
        <w:t xml:space="preserve"> protein families were detected and classified among the ORFs with HMMER3 using HMM profiles </w:t>
      </w:r>
      <w:r>
        <w:rPr>
          <w:lang w:val="en-US"/>
        </w:rPr>
        <w:t>to select</w:t>
      </w:r>
      <w:r w:rsidR="00CE5C0F" w:rsidRPr="00E34C8B">
        <w:rPr>
          <w:lang w:val="en-US"/>
        </w:rPr>
        <w:t xml:space="preserve"> ecologically relevant genes (Pfams and Tigrfams, Supp. Table 1).</w:t>
      </w:r>
      <w:r w:rsidR="003E4642">
        <w:rPr>
          <w:lang w:val="en-US"/>
        </w:rPr>
        <w:t xml:space="preserve"> </w:t>
      </w:r>
      <w:r w:rsidR="003E4642">
        <w:rPr>
          <w:color w:val="000000"/>
          <w:lang w:val="en-US"/>
        </w:rPr>
        <w:t>To make comparisons between samples, considering that the transcripts have different lengths and the libraries differ in size, we used a Transcript Per Million (TPM) normalization.</w:t>
      </w:r>
      <w:r w:rsidR="00CE5C0F" w:rsidRPr="00E34C8B">
        <w:rPr>
          <w:lang w:val="en-US"/>
        </w:rPr>
        <w:t xml:space="preserve"> We observed </w:t>
      </w:r>
      <w:r w:rsidR="00CE5C0F" w:rsidRPr="00E34C8B">
        <w:rPr>
          <w:lang w:val="en-US"/>
        </w:rPr>
        <w:lastRenderedPageBreak/>
        <w:t xml:space="preserve">that the TIGR01151 profile of the photosystem II protein (psbA) was assigned to incorrect taxonomic groups. </w:t>
      </w:r>
      <w:r w:rsidR="009E43AD" w:rsidRPr="00E34C8B">
        <w:rPr>
          <w:lang w:val="en-US"/>
        </w:rPr>
        <w:t>Therefore,</w:t>
      </w:r>
      <w:r w:rsidR="00CE5C0F" w:rsidRPr="00E34C8B">
        <w:rPr>
          <w:lang w:val="en-US"/>
        </w:rPr>
        <w:t xml:space="preserve"> non-Cyanobacteria taxa were filtered out for this gen.</w:t>
      </w:r>
    </w:p>
    <w:p w14:paraId="542D59C6" w14:textId="77777777" w:rsidR="009B3C35" w:rsidRPr="0067516F" w:rsidRDefault="009B3C35" w:rsidP="00E32293">
      <w:pPr>
        <w:snapToGrid w:val="0"/>
        <w:spacing w:line="480" w:lineRule="auto"/>
        <w:contextualSpacing/>
        <w:jc w:val="both"/>
        <w:rPr>
          <w:rStyle w:val="tlid-translation"/>
          <w:color w:val="000000"/>
          <w:lang w:val="en-US"/>
        </w:rPr>
      </w:pPr>
    </w:p>
    <w:p w14:paraId="7D5185EB" w14:textId="7AF33E0C" w:rsidR="003F5802" w:rsidRPr="0067516F" w:rsidRDefault="003F5802" w:rsidP="00E32293">
      <w:pPr>
        <w:snapToGrid w:val="0"/>
        <w:spacing w:line="480" w:lineRule="auto"/>
        <w:jc w:val="both"/>
        <w:outlineLvl w:val="1"/>
        <w:rPr>
          <w:b/>
          <w:bCs/>
          <w:lang w:val="en-US"/>
        </w:rPr>
      </w:pPr>
      <w:r w:rsidRPr="0067516F">
        <w:rPr>
          <w:b/>
          <w:bCs/>
          <w:lang w:val="en-US"/>
        </w:rPr>
        <w:t xml:space="preserve">Statistics, </w:t>
      </w:r>
      <w:r w:rsidR="00E73409" w:rsidRPr="0067516F">
        <w:rPr>
          <w:b/>
          <w:bCs/>
          <w:lang w:val="en-US"/>
        </w:rPr>
        <w:t>normalizations,</w:t>
      </w:r>
      <w:r w:rsidRPr="0067516F">
        <w:rPr>
          <w:b/>
          <w:bCs/>
          <w:lang w:val="en-US"/>
        </w:rPr>
        <w:t xml:space="preserve"> and visualization</w:t>
      </w:r>
    </w:p>
    <w:p w14:paraId="70EBC31B" w14:textId="3EF30CA7" w:rsidR="0051148A" w:rsidRDefault="00881755" w:rsidP="002432C1">
      <w:pPr>
        <w:snapToGrid w:val="0"/>
        <w:spacing w:line="480" w:lineRule="auto"/>
        <w:contextualSpacing/>
        <w:jc w:val="both"/>
        <w:rPr>
          <w:rStyle w:val="tlid-translation"/>
          <w:lang w:val="en-US"/>
        </w:rPr>
      </w:pPr>
      <w:r w:rsidRPr="0067516F">
        <w:rPr>
          <w:lang w:val="en-US"/>
        </w:rPr>
        <w:t xml:space="preserve">Redundancy Analysis </w:t>
      </w:r>
      <w:r w:rsidR="003F5802" w:rsidRPr="0067516F">
        <w:rPr>
          <w:rStyle w:val="tlid-translation"/>
          <w:lang w:val="en-US"/>
        </w:rPr>
        <w:t>(</w:t>
      </w:r>
      <w:r w:rsidR="00307B4D" w:rsidRPr="0067516F">
        <w:rPr>
          <w:lang w:val="en-US"/>
        </w:rPr>
        <w:t>RDA</w:t>
      </w:r>
      <w:r w:rsidR="003F5802" w:rsidRPr="0067516F">
        <w:rPr>
          <w:rStyle w:val="tlid-translation"/>
          <w:lang w:val="en-US"/>
        </w:rPr>
        <w:t xml:space="preserve">) was performed </w:t>
      </w:r>
      <w:r w:rsidR="005D72A6" w:rsidRPr="0067516F">
        <w:rPr>
          <w:rStyle w:val="tlid-translation"/>
          <w:lang w:val="en-US"/>
        </w:rPr>
        <w:t>using all ORFs</w:t>
      </w:r>
      <w:r w:rsidR="000C6557">
        <w:rPr>
          <w:rStyle w:val="tlid-translation"/>
          <w:lang w:val="en-US"/>
        </w:rPr>
        <w:t xml:space="preserve"> (</w:t>
      </w:r>
      <w:r w:rsidR="000C6557" w:rsidRPr="000C6557">
        <w:rPr>
          <w:rStyle w:val="tlid-translation"/>
          <w:lang w:val="en-US"/>
        </w:rPr>
        <w:t>1</w:t>
      </w:r>
      <w:r w:rsidR="000C6557">
        <w:rPr>
          <w:rStyle w:val="tlid-translation"/>
          <w:lang w:val="en-US"/>
        </w:rPr>
        <w:t xml:space="preserve"> </w:t>
      </w:r>
      <w:r w:rsidR="000C6557" w:rsidRPr="000C6557">
        <w:rPr>
          <w:rStyle w:val="tlid-translation"/>
          <w:lang w:val="en-US"/>
        </w:rPr>
        <w:t>611</w:t>
      </w:r>
      <w:r w:rsidR="000C6557">
        <w:rPr>
          <w:rStyle w:val="tlid-translation"/>
          <w:lang w:val="en-US"/>
        </w:rPr>
        <w:t xml:space="preserve"> </w:t>
      </w:r>
      <w:r w:rsidR="000C6557" w:rsidRPr="000C6557">
        <w:rPr>
          <w:rStyle w:val="tlid-translation"/>
          <w:lang w:val="en-US"/>
        </w:rPr>
        <w:t>755</w:t>
      </w:r>
      <w:r w:rsidR="000C6557">
        <w:rPr>
          <w:rStyle w:val="tlid-translation"/>
          <w:lang w:val="en-US"/>
        </w:rPr>
        <w:t>)</w:t>
      </w:r>
      <w:r w:rsidR="005D72A6" w:rsidRPr="0067516F">
        <w:rPr>
          <w:rStyle w:val="tlid-translation"/>
          <w:lang w:val="en-US"/>
        </w:rPr>
        <w:t xml:space="preserve"> </w:t>
      </w:r>
      <w:r w:rsidR="0026736E" w:rsidRPr="0067516F">
        <w:rPr>
          <w:rStyle w:val="tlid-translation"/>
          <w:lang w:val="en-US"/>
        </w:rPr>
        <w:t xml:space="preserve">with </w:t>
      </w:r>
      <w:r w:rsidR="003F5802" w:rsidRPr="0067516F">
        <w:rPr>
          <w:rStyle w:val="tlid-translation"/>
          <w:lang w:val="en-US"/>
        </w:rPr>
        <w:t xml:space="preserve">the </w:t>
      </w:r>
      <w:r w:rsidR="009822E7" w:rsidRPr="0067516F">
        <w:rPr>
          <w:rStyle w:val="tlid-translation"/>
          <w:i/>
          <w:iCs/>
          <w:lang w:val="en-US"/>
        </w:rPr>
        <w:t>rda</w:t>
      </w:r>
      <w:r w:rsidR="009822E7" w:rsidRPr="0067516F">
        <w:rPr>
          <w:rStyle w:val="tlid-translation"/>
          <w:lang w:val="en-US"/>
        </w:rPr>
        <w:t xml:space="preserve"> </w:t>
      </w:r>
      <w:r w:rsidR="003F5802" w:rsidRPr="0067516F">
        <w:rPr>
          <w:rStyle w:val="tlid-translation"/>
          <w:lang w:val="en-US"/>
        </w:rPr>
        <w:t>function</w:t>
      </w:r>
      <w:r w:rsidR="00CE5665">
        <w:rPr>
          <w:rStyle w:val="tlid-translation"/>
          <w:lang w:val="en-US"/>
        </w:rPr>
        <w:t>.</w:t>
      </w:r>
      <w:r w:rsidR="00010926" w:rsidRPr="0067516F">
        <w:rPr>
          <w:rStyle w:val="tlid-translation"/>
          <w:lang w:val="en-US"/>
        </w:rPr>
        <w:t xml:space="preserve"> RDA</w:t>
      </w:r>
      <w:r w:rsidR="00654A2E">
        <w:rPr>
          <w:rStyle w:val="tlid-translation"/>
          <w:lang w:val="en-US"/>
        </w:rPr>
        <w:t xml:space="preserve"> </w:t>
      </w:r>
      <w:r w:rsidR="00010926" w:rsidRPr="0067516F">
        <w:rPr>
          <w:rStyle w:val="tlid-translation"/>
          <w:lang w:val="en-US"/>
        </w:rPr>
        <w:t xml:space="preserve">plots were constructed </w:t>
      </w:r>
      <w:r w:rsidR="009240C9">
        <w:rPr>
          <w:rStyle w:val="tlid-translation"/>
          <w:lang w:val="en-US"/>
        </w:rPr>
        <w:t>with</w:t>
      </w:r>
      <w:r w:rsidR="007827B5">
        <w:rPr>
          <w:rStyle w:val="tlid-translation"/>
          <w:lang w:val="en-US"/>
        </w:rPr>
        <w:t xml:space="preserve"> </w:t>
      </w:r>
      <w:r w:rsidR="007827B5" w:rsidRPr="00771A02">
        <w:rPr>
          <w:i/>
          <w:iCs/>
          <w:lang w:val="en-US"/>
        </w:rPr>
        <w:t>ggplot2</w:t>
      </w:r>
      <w:r w:rsidR="007827B5" w:rsidRPr="007827B5">
        <w:rPr>
          <w:lang w:val="en-US"/>
        </w:rPr>
        <w:t xml:space="preserve"> </w:t>
      </w:r>
      <w:r w:rsidR="007B271F" w:rsidRPr="0067516F">
        <w:rPr>
          <w:rStyle w:val="tlid-translation"/>
          <w:lang w:val="en-US"/>
        </w:rPr>
        <w:t>(v</w:t>
      </w:r>
      <w:r w:rsidR="00771A02">
        <w:rPr>
          <w:rStyle w:val="tlid-translation"/>
          <w:lang w:val="en-US"/>
        </w:rPr>
        <w:t xml:space="preserve"> </w:t>
      </w:r>
      <w:r w:rsidR="00771A02" w:rsidRPr="00771A02">
        <w:rPr>
          <w:rStyle w:val="tlid-translation"/>
          <w:lang w:val="en-US"/>
        </w:rPr>
        <w:t>3.4.1</w:t>
      </w:r>
      <w:r w:rsidR="007B271F" w:rsidRPr="0067516F">
        <w:rPr>
          <w:rStyle w:val="tlid-translation"/>
          <w:lang w:val="en-US"/>
        </w:rPr>
        <w:t>)</w:t>
      </w:r>
      <w:r w:rsidR="007B271F">
        <w:rPr>
          <w:rStyle w:val="tlid-translation"/>
          <w:lang w:val="en-US"/>
        </w:rPr>
        <w:t xml:space="preserve"> </w:t>
      </w:r>
      <w:r w:rsidR="00BB3441">
        <w:rPr>
          <w:rStyle w:val="tlid-translation"/>
          <w:lang w:val="en-US"/>
        </w:rPr>
        <w:fldChar w:fldCharType="begin" w:fldLock="1"/>
      </w:r>
      <w:r w:rsidR="00D13CF9">
        <w:rPr>
          <w:rStyle w:val="tlid-translation"/>
          <w:lang w:val="en-US"/>
        </w:rPr>
        <w:instrText>ADDIN CSL_CITATION {"citationItems":[{"id":"ITEM-1","itemData":{"abstract":"Description An implementation of the grammar of graphics in R. It combines the advantages of both base and lattice graphics: conditioning and shared axes are handled automatically, and you can still build up a plot step by step from multiple data sources. It also implements a sophisticated multidimensional conditioning system and a consistent interface to map data to aesthetic attributes. See the ggplot2 website for more information, documentation and examples. LazyData true Collate 'aaa-.r' 'aaa-constants.r' 'aes-calculated.r' 'aes-colour-fill-alpha.r' 'aes-group-order.r' 'aes-linetype-size-shape.r' 'aes-position.r' 'aes.r' 'geom-.r' 'annotation-custom.r' 'annotation-logticks.r' 'geom-polygon.r' 'geom-map.r' 'annotation-map.r' 'geom-raster.r' 'annotation-raster.r' 'annotation.r' 'autoplot.r' 'bench.r' 1","author":[{"dropping-particle":"","family":"Wickham","given":"Hadley","non-dropping-particle":"","parse-names":false,"suffix":""},{"dropping-particle":"","family":"Chang","given":"Winston","non-dropping-particle":"","parse-names":false,"suffix":""}],"container-title":"Springer-Verlag New York","id":"ITEM-1","issue":"1","issued":{"date-parts":[["2014"]]},"page":"1-189","title":"ggplot2: Elegant Graphics for Data Analysis.","type":"article-journal","volume":"2"},"uris":["http://www.mendeley.com/documents/?uuid=152b285f-71e2-4996-b99d-f6be09d1c9bf"]}],"mendeley":{"formattedCitation":"[29]","plainTextFormattedCitation":"[29]","previouslyFormattedCitation":"[29]"},"properties":{"noteIndex":0},"schema":"https://github.com/citation-style-language/schema/raw/master/csl-citation.json"}</w:instrText>
      </w:r>
      <w:r w:rsidR="00BB3441">
        <w:rPr>
          <w:rStyle w:val="tlid-translation"/>
          <w:lang w:val="en-US"/>
        </w:rPr>
        <w:fldChar w:fldCharType="separate"/>
      </w:r>
      <w:r w:rsidR="00D73DD3" w:rsidRPr="00D73DD3">
        <w:rPr>
          <w:rStyle w:val="tlid-translation"/>
          <w:noProof/>
          <w:lang w:val="en-US"/>
        </w:rPr>
        <w:t>[29]</w:t>
      </w:r>
      <w:r w:rsidR="00BB3441">
        <w:rPr>
          <w:rStyle w:val="tlid-translation"/>
          <w:lang w:val="en-US"/>
        </w:rPr>
        <w:fldChar w:fldCharType="end"/>
      </w:r>
      <w:r w:rsidR="00BB3441">
        <w:rPr>
          <w:rStyle w:val="tlid-translation"/>
          <w:lang w:val="en-US"/>
        </w:rPr>
        <w:t xml:space="preserve"> </w:t>
      </w:r>
      <w:r w:rsidR="005E2470">
        <w:rPr>
          <w:lang w:val="en-US"/>
        </w:rPr>
        <w:t xml:space="preserve">and </w:t>
      </w:r>
      <w:r w:rsidR="005E2470" w:rsidRPr="00771A02">
        <w:rPr>
          <w:rStyle w:val="tlid-translation"/>
          <w:i/>
          <w:iCs/>
          <w:lang w:val="en-US"/>
        </w:rPr>
        <w:t>ggord</w:t>
      </w:r>
      <w:r w:rsidR="007B271F">
        <w:rPr>
          <w:rStyle w:val="tlid-translation"/>
          <w:lang w:val="en-US"/>
        </w:rPr>
        <w:t xml:space="preserve"> </w:t>
      </w:r>
      <w:r w:rsidR="007827B5" w:rsidRPr="0067516F">
        <w:rPr>
          <w:rStyle w:val="tlid-translation"/>
          <w:lang w:val="en-US"/>
        </w:rPr>
        <w:t>(v</w:t>
      </w:r>
      <w:r w:rsidR="00771A02">
        <w:rPr>
          <w:rStyle w:val="tlid-translation"/>
          <w:lang w:val="en-US"/>
        </w:rPr>
        <w:t xml:space="preserve"> </w:t>
      </w:r>
      <w:r w:rsidR="00771A02" w:rsidRPr="00771A02">
        <w:rPr>
          <w:lang w:val="en-US"/>
        </w:rPr>
        <w:t>1.1.7</w:t>
      </w:r>
      <w:r w:rsidR="007827B5" w:rsidRPr="0067516F">
        <w:rPr>
          <w:rStyle w:val="tlid-translation"/>
          <w:lang w:val="en-US"/>
        </w:rPr>
        <w:t>)</w:t>
      </w:r>
      <w:r w:rsidR="007B271F">
        <w:rPr>
          <w:rStyle w:val="tlid-translation"/>
          <w:lang w:val="en-US"/>
        </w:rPr>
        <w:t xml:space="preserve"> </w:t>
      </w:r>
      <w:r w:rsidR="002F5C2D">
        <w:rPr>
          <w:rStyle w:val="tlid-translation"/>
          <w:lang w:val="en-US"/>
        </w:rPr>
        <w:fldChar w:fldCharType="begin" w:fldLock="1"/>
      </w:r>
      <w:r w:rsidR="00D13CF9">
        <w:rPr>
          <w:rStyle w:val="tlid-translation"/>
          <w:lang w:val="en-US"/>
        </w:rPr>
        <w:instrText>ADDIN CSL_CITATION {"citationItems":[{"id":"ITEM-1","itemData":{"ISSN":"0029-5582","abstract":"To cite package ‘ggord’ in publications use: Beck M (2022). _ggord: Ordination Plots with ggplot2_. R package version 1.1.7. A BibTeX entry for LaTeX users is @Manual{, title = {ggord: Ordination Plots with ggplot2}, author = {Marcus W. Beck}, year = {2022}, note = {R package version 1.1.7}, }","author":[{"dropping-particle":"","family":"Moshinsky","given":"Marcos","non-dropping-particle":"","parse-names":false,"suffix":""}],"id":"ITEM-1","issued":{"date-parts":[["2022"]]},"title":"ggord: Ordination Plots with ggplot2.","type":"article"},"uris":["http://www.mendeley.com/documents/?uuid=f2044ee4-b602-446b-bbda-14a956f0e5d1"]}],"mendeley":{"formattedCitation":"[30]","plainTextFormattedCitation":"[30]","previouslyFormattedCitation":"[30]"},"properties":{"noteIndex":0},"schema":"https://github.com/citation-style-language/schema/raw/master/csl-citation.json"}</w:instrText>
      </w:r>
      <w:r w:rsidR="002F5C2D">
        <w:rPr>
          <w:rStyle w:val="tlid-translation"/>
          <w:lang w:val="en-US"/>
        </w:rPr>
        <w:fldChar w:fldCharType="separate"/>
      </w:r>
      <w:r w:rsidR="00D73DD3" w:rsidRPr="00D73DD3">
        <w:rPr>
          <w:rStyle w:val="tlid-translation"/>
          <w:noProof/>
          <w:lang w:val="en-US"/>
        </w:rPr>
        <w:t>[30]</w:t>
      </w:r>
      <w:r w:rsidR="002F5C2D">
        <w:rPr>
          <w:rStyle w:val="tlid-translation"/>
          <w:lang w:val="en-US"/>
        </w:rPr>
        <w:fldChar w:fldCharType="end"/>
      </w:r>
      <w:r w:rsidR="002F5C2D">
        <w:rPr>
          <w:rStyle w:val="tlid-translation"/>
          <w:lang w:val="en-US"/>
        </w:rPr>
        <w:t xml:space="preserve"> </w:t>
      </w:r>
      <w:r w:rsidR="00010926" w:rsidRPr="0067516F">
        <w:rPr>
          <w:rStyle w:val="tlid-translation"/>
          <w:lang w:val="en-US"/>
        </w:rPr>
        <w:t>package</w:t>
      </w:r>
      <w:r w:rsidR="007827B5">
        <w:rPr>
          <w:rStyle w:val="tlid-translation"/>
          <w:lang w:val="en-US"/>
        </w:rPr>
        <w:t>s</w:t>
      </w:r>
      <w:r w:rsidR="003F5802" w:rsidRPr="0067516F">
        <w:rPr>
          <w:rStyle w:val="tlid-translation"/>
          <w:lang w:val="en-US"/>
        </w:rPr>
        <w:t>.</w:t>
      </w:r>
      <w:r w:rsidR="0047014A" w:rsidRPr="0067516F">
        <w:rPr>
          <w:rStyle w:val="tlid-translation"/>
          <w:lang w:val="en-US"/>
        </w:rPr>
        <w:t xml:space="preserve"> Z</w:t>
      </w:r>
      <w:r w:rsidR="003F5802" w:rsidRPr="0067516F">
        <w:rPr>
          <w:rStyle w:val="tlid-translation"/>
          <w:lang w:val="en-US"/>
        </w:rPr>
        <w:t xml:space="preserve">ero </w:t>
      </w:r>
      <w:r w:rsidR="0047014A" w:rsidRPr="0067516F">
        <w:rPr>
          <w:rStyle w:val="tlid-translation"/>
          <w:lang w:val="en-US"/>
        </w:rPr>
        <w:t xml:space="preserve">values of </w:t>
      </w:r>
      <w:r w:rsidR="003F5802" w:rsidRPr="0067516F">
        <w:rPr>
          <w:rStyle w:val="tlid-translation"/>
          <w:lang w:val="en-US"/>
        </w:rPr>
        <w:t xml:space="preserve">raw counts were replaced with </w:t>
      </w:r>
      <w:r w:rsidR="0026736E" w:rsidRPr="0067516F">
        <w:rPr>
          <w:rStyle w:val="tlid-translation"/>
          <w:lang w:val="en-US"/>
        </w:rPr>
        <w:t>0</w:t>
      </w:r>
      <w:r w:rsidR="0047014A" w:rsidRPr="0067516F">
        <w:rPr>
          <w:rStyle w:val="tlid-translation"/>
          <w:lang w:val="en-US"/>
        </w:rPr>
        <w:t>.5</w:t>
      </w:r>
      <w:r w:rsidR="003F5802" w:rsidRPr="0067516F">
        <w:rPr>
          <w:rStyle w:val="tlid-translation"/>
          <w:lang w:val="en-US"/>
        </w:rPr>
        <w:t xml:space="preserve">. </w:t>
      </w:r>
      <w:r w:rsidR="0047014A" w:rsidRPr="0067516F">
        <w:rPr>
          <w:rStyle w:val="tlid-translation"/>
          <w:lang w:val="en-US"/>
        </w:rPr>
        <w:t>Subsequently</w:t>
      </w:r>
      <w:r w:rsidR="003F5802" w:rsidRPr="0067516F">
        <w:rPr>
          <w:rStyle w:val="tlid-translation"/>
          <w:lang w:val="en-US"/>
        </w:rPr>
        <w:t xml:space="preserve">, centred log ratios (clr) were computed with the </w:t>
      </w:r>
      <w:r w:rsidR="003F5802" w:rsidRPr="00ED0E90">
        <w:rPr>
          <w:rStyle w:val="tlid-translation"/>
          <w:i/>
          <w:iCs/>
          <w:lang w:val="en-US"/>
        </w:rPr>
        <w:t>codaSeq.clr</w:t>
      </w:r>
      <w:r w:rsidR="003F5802" w:rsidRPr="0067516F">
        <w:rPr>
          <w:rStyle w:val="tlid-translation"/>
          <w:lang w:val="en-US"/>
        </w:rPr>
        <w:t xml:space="preserve"> function from the </w:t>
      </w:r>
      <w:r w:rsidR="003F5802" w:rsidRPr="00771A02">
        <w:rPr>
          <w:rStyle w:val="tlid-translation"/>
          <w:i/>
          <w:iCs/>
          <w:lang w:val="en-US"/>
        </w:rPr>
        <w:t>CoDaSeq</w:t>
      </w:r>
      <w:r w:rsidR="003F5802" w:rsidRPr="0067516F">
        <w:rPr>
          <w:rStyle w:val="tlid-translation"/>
          <w:lang w:val="en-US"/>
        </w:rPr>
        <w:t xml:space="preserve"> (v</w:t>
      </w:r>
      <w:r w:rsidR="00E11182" w:rsidRPr="007C177E">
        <w:rPr>
          <w:lang w:val="en-US"/>
        </w:rPr>
        <w:t xml:space="preserve"> </w:t>
      </w:r>
      <w:r w:rsidR="00E11182" w:rsidRPr="007C177E">
        <w:rPr>
          <w:rStyle w:val="tlid-translation"/>
          <w:lang w:val="en-US"/>
        </w:rPr>
        <w:t>0.99.6</w:t>
      </w:r>
      <w:r w:rsidR="003F5802" w:rsidRPr="0067516F">
        <w:rPr>
          <w:rStyle w:val="tlid-translation"/>
          <w:lang w:val="en-US"/>
        </w:rPr>
        <w:t xml:space="preserve">) </w:t>
      </w:r>
      <w:r w:rsidR="00771A02">
        <w:rPr>
          <w:rStyle w:val="tlid-translation"/>
          <w:lang w:val="en-US"/>
        </w:rPr>
        <w:t xml:space="preserve">package </w:t>
      </w:r>
      <w:r w:rsidR="00B76608" w:rsidRPr="00572679">
        <w:rPr>
          <w:rStyle w:val="tlid-translation"/>
          <w:lang w:val="en-US"/>
        </w:rPr>
        <w:fldChar w:fldCharType="begin" w:fldLock="1"/>
      </w:r>
      <w:r w:rsidR="00D13CF9">
        <w:rPr>
          <w:rStyle w:val="tlid-translation"/>
          <w:lang w:val="en-US"/>
        </w:rPr>
        <w:instrText>ADDIN CSL_CITATION {"citationItems":[{"id":"ITEM-1","itemData":{"DOI":"10.1016/j.annepidem.2016.03.003","ISSN":"18732585","PMID":"27143475","abstract":"Purpose The ability to properly analyze and interpret large microbiome data sets has lagged behind our ability to acquire such data sets from environmental or clinical samples. Sequencing instruments impose a structure on these data: the natural sample space of a 16S rRNA gene sequencing data set is a simplex, which is a part of real space that is restricted to nonnegative values with a constant sum. Such data are compositional and should be analyzed using compositionally appropriate tools and approaches. However, most of the tools for 16S rRNA gene sequencing analysis assume these data are unrestricted. Methods We show that existing tools for compositional data (CoDa) analysis can be readily adapted to analyze high-throughput sequencing data sets. Results The Human Microbiome Project tongue versus buccal mucosa data set shows how the CoDa approach can address the major elements of microbiome analysis. Reanalysis of a publicly available autism microbiome data set shows that the CoDa approach in concert with multiple hypothesis test corrections prevent false positive identifications. Conclusions The CoDa approach is readily scalable to microbiome-sized analyses. We provide example code and make recommendations to improve the analysis and reporting of microbiome data sets.","author":[{"dropping-particle":"","family":"Gloor","given":"Gregory B.","non-dropping-particle":"","parse-names":false,"suffix":""},{"dropping-particle":"","family":"Wu","given":"Jia Rong","non-dropping-particle":"","parse-names":false,"suffix":""},{"dropping-particle":"","family":"Pawlowsky-Glahn","given":"Vera","non-dropping-particle":"","parse-names":false,"suffix":""},{"dropping-particle":"","family":"Egozcue","given":"Juan José","non-dropping-particle":"","parse-names":false,"suffix":""}],"container-title":"Annals of Epidemiology","id":"ITEM-1","issue":"5","issued":{"date-parts":[["2016"]]},"page":"322-329","publisher":"Elsevier Inc","title":"It's all relative: analyzing microbiome data as compositions","type":"article-journal","volume":"26"},"uris":["http://www.mendeley.com/documents/?uuid=83ad7213-91f3-47f5-9b77-7dddd0198bab"]}],"mendeley":{"formattedCitation":"[31]","plainTextFormattedCitation":"[31]","previouslyFormattedCitation":"[31]"},"properties":{"noteIndex":0},"schema":"https://github.com/citation-style-language/schema/raw/master/csl-citation.json"}</w:instrText>
      </w:r>
      <w:r w:rsidR="00B76608" w:rsidRPr="00572679">
        <w:rPr>
          <w:rStyle w:val="tlid-translation"/>
          <w:lang w:val="en-US"/>
        </w:rPr>
        <w:fldChar w:fldCharType="separate"/>
      </w:r>
      <w:r w:rsidR="00D73DD3" w:rsidRPr="00D73DD3">
        <w:rPr>
          <w:rStyle w:val="tlid-translation"/>
          <w:noProof/>
          <w:lang w:val="en-US"/>
        </w:rPr>
        <w:t>[31]</w:t>
      </w:r>
      <w:r w:rsidR="00B76608" w:rsidRPr="00572679">
        <w:rPr>
          <w:rStyle w:val="tlid-translation"/>
          <w:lang w:val="en-US"/>
        </w:rPr>
        <w:fldChar w:fldCharType="end"/>
      </w:r>
      <w:r w:rsidR="003F5802" w:rsidRPr="0067516F">
        <w:rPr>
          <w:rStyle w:val="tlid-translation"/>
          <w:lang w:val="en-US"/>
        </w:rPr>
        <w:t xml:space="preserve"> and Euclidean distances </w:t>
      </w:r>
      <w:r w:rsidR="003F5802" w:rsidRPr="00090931">
        <w:rPr>
          <w:rStyle w:val="tlid-translation"/>
          <w:lang w:val="en-US"/>
        </w:rPr>
        <w:t xml:space="preserve">calculated with the </w:t>
      </w:r>
      <w:r w:rsidR="00D85E5F" w:rsidRPr="00090931">
        <w:rPr>
          <w:rStyle w:val="tlid-translation"/>
          <w:i/>
          <w:iCs/>
          <w:lang w:val="en-US"/>
        </w:rPr>
        <w:t xml:space="preserve">vegdist </w:t>
      </w:r>
      <w:r w:rsidR="003F5802" w:rsidRPr="00090931">
        <w:rPr>
          <w:rStyle w:val="tlid-translation"/>
          <w:lang w:val="en-US"/>
        </w:rPr>
        <w:t xml:space="preserve">function </w:t>
      </w:r>
      <w:r w:rsidR="00352ADB" w:rsidRPr="00090931">
        <w:rPr>
          <w:rStyle w:val="tlid-translation"/>
          <w:lang w:val="en-US"/>
        </w:rPr>
        <w:t>of</w:t>
      </w:r>
      <w:r w:rsidR="003F5802" w:rsidRPr="00090931">
        <w:rPr>
          <w:rStyle w:val="tlid-translation"/>
          <w:lang w:val="en-US"/>
        </w:rPr>
        <w:t xml:space="preserve"> </w:t>
      </w:r>
      <w:r w:rsidR="003F5802" w:rsidRPr="00090931">
        <w:rPr>
          <w:rStyle w:val="tlid-translation"/>
          <w:i/>
          <w:iCs/>
          <w:lang w:val="en-US"/>
        </w:rPr>
        <w:t>vegan</w:t>
      </w:r>
      <w:r w:rsidR="003F5802" w:rsidRPr="00090931">
        <w:rPr>
          <w:rStyle w:val="tlid-translation"/>
          <w:lang w:val="en-US"/>
        </w:rPr>
        <w:t xml:space="preserve"> (</w:t>
      </w:r>
      <w:r w:rsidR="00352ADB" w:rsidRPr="00090931">
        <w:rPr>
          <w:rStyle w:val="tlid-translation"/>
          <w:lang w:val="en-US"/>
        </w:rPr>
        <w:t>v</w:t>
      </w:r>
      <w:r w:rsidR="00090931" w:rsidRPr="00090931">
        <w:rPr>
          <w:rStyle w:val="tlid-translation"/>
          <w:lang w:val="en-US"/>
        </w:rPr>
        <w:t xml:space="preserve"> 2.6.4</w:t>
      </w:r>
      <w:r w:rsidR="003F5802" w:rsidRPr="00090931">
        <w:rPr>
          <w:rStyle w:val="tlid-translation"/>
          <w:lang w:val="en-US"/>
        </w:rPr>
        <w:t>)</w:t>
      </w:r>
      <w:r w:rsidR="000635F8">
        <w:rPr>
          <w:rStyle w:val="tlid-translation"/>
          <w:lang w:val="en-US"/>
        </w:rPr>
        <w:t xml:space="preserve"> </w:t>
      </w:r>
      <w:r w:rsidR="00D91D47">
        <w:rPr>
          <w:rStyle w:val="tlid-translation"/>
          <w:lang w:val="en-US"/>
        </w:rPr>
        <w:t xml:space="preserve">package </w:t>
      </w:r>
      <w:r w:rsidR="000635F8">
        <w:rPr>
          <w:rStyle w:val="tlid-translation"/>
          <w:lang w:val="en-US"/>
        </w:rPr>
        <w:fldChar w:fldCharType="begin" w:fldLock="1"/>
      </w:r>
      <w:r w:rsidR="00D13CF9">
        <w:rPr>
          <w:rStyle w:val="tlid-translation"/>
          <w:lang w:val="en-US"/>
        </w:rPr>
        <w:instrText>ADDIN CSL_CITATION {"citationItems":[{"id":"ITEM-1","itemData":{"abstract":"Suggests parallel, tcltk, knitr, markdown Imports MASS, cluster, mgcv VignetteBuilder utils, knitr Description Ordination methods, diversity analysis and other functions for community and vegetation ecologists. License GPL-2","author":[{"dropping-particle":"","family":"Oksanen","given":"r Jari","non-dropping-particle":"","parse-names":false,"suffix":""},{"dropping-particle":"","family":"Simpson","given":"Gavin L","non-dropping-particle":"","parse-names":false,"suffix":""},{"dropping-particle":"","family":"Blanchet","given":"F Guillaume","non-dropping-particle":"","parse-names":false,"suffix":""},{"dropping-particle":"","family":"Solymos","given":"Peter","non-dropping-particle":"","parse-names":false,"suffix":""},{"dropping-particle":"","family":"Stevens","given":"M Henry H","non-dropping-particle":"","parse-names":false,"suffix":""},{"dropping-particle":"","family":"Szoecs","given":"Eduard","non-dropping-particle":"","parse-names":false,"suffix":""},{"dropping-particle":"","family":"Wagner","given":"Helene","non-dropping-particle":"","parse-names":false,"suffix":""},{"dropping-particle":"","family":"Barbour","given":"Matt","non-dropping-particle":"","parse-names":false,"suffix":""},{"dropping-particle":"","family":"Bedward","given":"Michael","non-dropping-particle":"","parse-names":false,"suffix":""},{"dropping-particle":"","family":"Bolker","given":"Ben","non-dropping-particle":"","parse-names":false,"suffix":""},{"dropping-particle":"","family":"Borcard","given":"Daniel","non-dropping-particle":"","parse-names":false,"suffix":""},{"dropping-particle":"","family":"Carvalho","given":"Gustavo","non-dropping-particle":"","parse-names":false,"suffix":""},{"dropping-particle":"","family":"Chirico","given":"Michael","non-dropping-particle":"","parse-names":false,"suffix":""},{"dropping-particle":"","family":"Durand","given":"Sebastien","non-dropping-particle":"","parse-names":false,"suffix":""},{"dropping-particle":"","family":"Beatriz","given":"Heloisa","non-dropping-particle":"","parse-names":false,"suffix":""},{"dropping-particle":"","family":"Evangelista","given":"Antoniazi","non-dropping-particle":"","parse-names":false,"suffix":""},{"dropping-particle":"","family":"Friendly","given":"Michael","non-dropping-particle":"","parse-names":false,"suffix":""},{"dropping-particle":"","family":"Hannigan","given":"Geoffrey","non-dropping-particle":"","parse-names":false,"suffix":""},{"dropping-particle":"","family":"Hill","given":"Mark O","non-dropping-particle":"","parse-names":false,"suffix":""},{"dropping-particle":"","family":"Lahti","given":"Leo","non-dropping-particle":"","parse-names":false,"suffix":""},{"dropping-particle":"","family":"Mcglinn","given":"Dan","non-dropping-particle":"","parse-names":false,"suffix":""},{"dropping-particle":"","family":"Ribeiro","given":"Eduardo","non-dropping-particle":"","parse-names":false,"suffix":""},{"dropping-particle":"","family":"Smith","given":"Tyler","non-dropping-particle":"","parse-names":false,"suffix":""},{"dropping-particle":"","family":"Stier","given":"Adrian","non-dropping-particle":"","parse-names":false,"suffix":""},{"dropping-particle":"","family":"Ter","given":"Cajo J F","non-dropping-particle":"","parse-names":false,"suffix":""},{"dropping-particle":"","family":"Weedon","given":"James","non-dropping-particle":"","parse-names":false,"suffix":""}],"container-title":"Vegan: Community Ecol Package","id":"ITEM-1","issued":{"date-parts":[["2022"]]},"title":"vegan: Community Ecology Package","type":"article-journal"},"uris":["http://www.mendeley.com/documents/?uuid=75d1b68c-f8f8-481e-97b6-7c8044b8420b"]}],"mendeley":{"formattedCitation":"[32]","plainTextFormattedCitation":"[32]","previouslyFormattedCitation":"[32]"},"properties":{"noteIndex":0},"schema":"https://github.com/citation-style-language/schema/raw/master/csl-citation.json"}</w:instrText>
      </w:r>
      <w:r w:rsidR="000635F8">
        <w:rPr>
          <w:rStyle w:val="tlid-translation"/>
          <w:lang w:val="en-US"/>
        </w:rPr>
        <w:fldChar w:fldCharType="separate"/>
      </w:r>
      <w:r w:rsidR="00D73DD3" w:rsidRPr="00D73DD3">
        <w:rPr>
          <w:rStyle w:val="tlid-translation"/>
          <w:noProof/>
          <w:lang w:val="en-US"/>
        </w:rPr>
        <w:t>[32]</w:t>
      </w:r>
      <w:r w:rsidR="000635F8">
        <w:rPr>
          <w:rStyle w:val="tlid-translation"/>
          <w:lang w:val="en-US"/>
        </w:rPr>
        <w:fldChar w:fldCharType="end"/>
      </w:r>
      <w:r w:rsidR="007455F6" w:rsidRPr="00090931">
        <w:rPr>
          <w:rStyle w:val="tlid-translation"/>
          <w:lang w:val="en-US"/>
        </w:rPr>
        <w:t>.</w:t>
      </w:r>
      <w:r w:rsidR="007455F6">
        <w:rPr>
          <w:rStyle w:val="tlid-translation"/>
          <w:lang w:val="en-US"/>
        </w:rPr>
        <w:t xml:space="preserve"> </w:t>
      </w:r>
      <w:r w:rsidR="00506A38" w:rsidRPr="0067516F">
        <w:rPr>
          <w:rStyle w:val="tlid-translation"/>
          <w:lang w:val="en-US"/>
        </w:rPr>
        <w:t xml:space="preserve">Environmental variables were selected based on </w:t>
      </w:r>
      <w:r w:rsidR="00B3699A" w:rsidRPr="0067516F">
        <w:rPr>
          <w:rStyle w:val="tlid-translation"/>
          <w:lang w:val="en-US"/>
        </w:rPr>
        <w:t>PERMANOVA</w:t>
      </w:r>
      <w:r w:rsidR="00506A38" w:rsidRPr="0067516F">
        <w:rPr>
          <w:rStyle w:val="tlid-translation"/>
          <w:lang w:val="en-US"/>
        </w:rPr>
        <w:t xml:space="preserve"> analysis </w:t>
      </w:r>
      <w:r w:rsidR="00B3699A" w:rsidRPr="0067516F">
        <w:rPr>
          <w:rStyle w:val="tlid-translation"/>
          <w:lang w:val="en-US"/>
        </w:rPr>
        <w:t>to evaluate significant differences between seasons</w:t>
      </w:r>
      <w:r w:rsidR="00506A38" w:rsidRPr="0067516F">
        <w:rPr>
          <w:rStyle w:val="tlid-translation"/>
          <w:lang w:val="en-US"/>
        </w:rPr>
        <w:t xml:space="preserve"> and sampling stations</w:t>
      </w:r>
      <w:r w:rsidR="00B3699A" w:rsidRPr="0067516F">
        <w:rPr>
          <w:rStyle w:val="tlid-translation"/>
          <w:lang w:val="en-US"/>
        </w:rPr>
        <w:t>. The significance of the explanatory variables was examined by</w:t>
      </w:r>
      <w:r w:rsidR="000C3BE6" w:rsidRPr="0067516F">
        <w:rPr>
          <w:rStyle w:val="tlid-translation"/>
          <w:lang w:val="en-US"/>
        </w:rPr>
        <w:t xml:space="preserve"> permutation analysis (permutations = 999) </w:t>
      </w:r>
      <w:r w:rsidR="00993394" w:rsidRPr="0067516F">
        <w:rPr>
          <w:rStyle w:val="tlid-translation"/>
          <w:lang w:val="en-US"/>
        </w:rPr>
        <w:fldChar w:fldCharType="begin" w:fldLock="1"/>
      </w:r>
      <w:r w:rsidR="00D13CF9">
        <w:rPr>
          <w:rStyle w:val="tlid-translation"/>
          <w:lang w:val="en-US"/>
        </w:rPr>
        <w:instrText>ADDIN CSL_CITATION {"citationItems":[{"id":"ITEM-1","itemData":{"author":[{"dropping-particle":"","family":"Borcard","given":"D","non-dropping-particle":"","parse-names":false,"suffix":""},{"dropping-particle":"","family":"Gillet","given":"F","non-dropping-particle":"","parse-names":false,"suffix":""},{"dropping-particle":"","family":"Legendre","given":"P","non-dropping-particle":"","parse-names":false,"suffix":""}],"id":"ITEM-1","issued":{"date-parts":[["2011"]]},"title":"Numerical ecology with R","type":"article"},"uris":["http://www.mendeley.com/documents/?uuid=ffe646d2-b3f5-4aa1-ac86-25e6c18abae8"]}],"mendeley":{"formattedCitation":"[33]","plainTextFormattedCitation":"[33]","previouslyFormattedCitation":"[33]"},"properties":{"noteIndex":0},"schema":"https://github.com/citation-style-language/schema/raw/master/csl-citation.json"}</w:instrText>
      </w:r>
      <w:r w:rsidR="00993394" w:rsidRPr="0067516F">
        <w:rPr>
          <w:rStyle w:val="tlid-translation"/>
          <w:lang w:val="en-US"/>
        </w:rPr>
        <w:fldChar w:fldCharType="separate"/>
      </w:r>
      <w:r w:rsidR="00D73DD3" w:rsidRPr="00D73DD3">
        <w:rPr>
          <w:rStyle w:val="tlid-translation"/>
          <w:noProof/>
          <w:lang w:val="en-US"/>
        </w:rPr>
        <w:t>[33]</w:t>
      </w:r>
      <w:r w:rsidR="00993394" w:rsidRPr="0067516F">
        <w:rPr>
          <w:rStyle w:val="tlid-translation"/>
          <w:lang w:val="en-US"/>
        </w:rPr>
        <w:fldChar w:fldCharType="end"/>
      </w:r>
      <w:r w:rsidR="000C3BE6" w:rsidRPr="0067516F">
        <w:rPr>
          <w:rStyle w:val="tlid-translation"/>
          <w:lang w:val="en-US"/>
        </w:rPr>
        <w:t>.</w:t>
      </w:r>
      <w:r w:rsidR="00D3032A">
        <w:rPr>
          <w:rStyle w:val="tlid-translation"/>
          <w:lang w:val="en-US"/>
        </w:rPr>
        <w:t xml:space="preserve"> </w:t>
      </w:r>
      <w:r w:rsidR="002D077A" w:rsidRPr="002D077A">
        <w:rPr>
          <w:lang w:val="en-US"/>
        </w:rPr>
        <w:t xml:space="preserve">We performed heatmap clustering analysis based on Euclidean distances to visualize </w:t>
      </w:r>
      <w:r w:rsidR="00EA3F47">
        <w:rPr>
          <w:lang w:val="en-US"/>
        </w:rPr>
        <w:t>strong correlations</w:t>
      </w:r>
      <w:r w:rsidR="002D077A" w:rsidRPr="002D077A">
        <w:rPr>
          <w:lang w:val="en-US"/>
        </w:rPr>
        <w:t xml:space="preserve"> </w:t>
      </w:r>
      <w:r w:rsidR="00280682">
        <w:rPr>
          <w:lang w:val="en-US"/>
        </w:rPr>
        <w:t xml:space="preserve">(p=0.01) </w:t>
      </w:r>
      <w:r w:rsidR="002D077A" w:rsidRPr="002D077A">
        <w:rPr>
          <w:lang w:val="en-US"/>
        </w:rPr>
        <w:t>between environmental variables, the taxonomic composition of the microbial community, and procaryotic activity. Heatmaps were constructed using</w:t>
      </w:r>
      <w:r w:rsidR="002D077A">
        <w:rPr>
          <w:lang w:val="en-US"/>
        </w:rPr>
        <w:t xml:space="preserve"> </w:t>
      </w:r>
      <w:r w:rsidR="002D077A" w:rsidRPr="00280682">
        <w:rPr>
          <w:rStyle w:val="nfasis"/>
          <w:i w:val="0"/>
          <w:iCs w:val="0"/>
          <w:color w:val="0E101A"/>
          <w:lang w:val="en-US"/>
        </w:rPr>
        <w:t>the</w:t>
      </w:r>
      <w:r w:rsidR="002D077A" w:rsidRPr="002D077A">
        <w:rPr>
          <w:rStyle w:val="nfasis"/>
          <w:color w:val="0E101A"/>
          <w:lang w:val="en-US"/>
        </w:rPr>
        <w:t xml:space="preserve"> ComplexHeatmap</w:t>
      </w:r>
      <w:r w:rsidR="002D077A">
        <w:rPr>
          <w:rStyle w:val="nfasis"/>
          <w:color w:val="0E101A"/>
          <w:lang w:val="en-US"/>
        </w:rPr>
        <w:t xml:space="preserve"> </w:t>
      </w:r>
      <w:r w:rsidR="002D077A" w:rsidRPr="002D077A">
        <w:rPr>
          <w:lang w:val="en-US"/>
        </w:rPr>
        <w:t xml:space="preserve">package </w:t>
      </w:r>
      <w:r w:rsidR="005C261C">
        <w:rPr>
          <w:lang w:val="en-US"/>
        </w:rPr>
        <w:t xml:space="preserve">(v </w:t>
      </w:r>
      <w:r w:rsidR="005C261C" w:rsidRPr="005C261C">
        <w:rPr>
          <w:lang w:val="en-US"/>
        </w:rPr>
        <w:t>2.14.0</w:t>
      </w:r>
      <w:r w:rsidR="005C261C">
        <w:rPr>
          <w:lang w:val="en-US"/>
        </w:rPr>
        <w:t xml:space="preserve">) </w:t>
      </w:r>
      <w:r w:rsidR="002D077A">
        <w:rPr>
          <w:rStyle w:val="tlid-translation"/>
          <w:lang w:val="en-US"/>
        </w:rPr>
        <w:fldChar w:fldCharType="begin" w:fldLock="1"/>
      </w:r>
      <w:r w:rsidR="00D13CF9">
        <w:rPr>
          <w:rStyle w:val="tlid-translation"/>
          <w:lang w:val="en-US"/>
        </w:rPr>
        <w:instrText>ADDIN CSL_CITATION {"citationItems":[{"id":"ITEM-1","itemData":{"DOI":"10.1093/bioinformatics/btw313","ISSN":"14602059","PMID":"27207943","abstract":"Parallel heatmaps with carefully designed annotation graphics are powerful for efficient visualization of patterns and relationships among high dimensional genomic data. Here we present the ComplexHeatmap package that provides rich functionalities for customizing heatmaps, arranging multiple parallel heatmaps and including user-defined annotation graphics. We demonstrate the power of ComplexHeatmap to easily reveal patterns and correlations among multiple sources of information with four real-world datasets.","author":[{"dropping-particle":"","family":"Gu","given":"Zuguang","non-dropping-particle":"","parse-names":false,"suffix":""},{"dropping-particle":"","family":"Eils","given":"Roland","non-dropping-particle":"","parse-names":false,"suffix":""},{"dropping-particle":"","family":"Schlesner","given":"Matthias","non-dropping-particle":"","parse-names":false,"suffix":""}],"container-title":"Bioinformatics","id":"ITEM-1","issue":"18","issued":{"date-parts":[["2016"]]},"page":"2847-2849","title":"Complex heatmaps reveal patterns and correlations in multidimensional genomic data","type":"article-journal","volume":"32"},"uris":["http://www.mendeley.com/documents/?uuid=90b90b4e-2966-4043-ad37-a634fa26da32"]}],"mendeley":{"formattedCitation":"[34]","plainTextFormattedCitation":"[34]","previouslyFormattedCitation":"[34]"},"properties":{"noteIndex":0},"schema":"https://github.com/citation-style-language/schema/raw/master/csl-citation.json"}</w:instrText>
      </w:r>
      <w:r w:rsidR="002D077A">
        <w:rPr>
          <w:rStyle w:val="tlid-translation"/>
          <w:lang w:val="en-US"/>
        </w:rPr>
        <w:fldChar w:fldCharType="separate"/>
      </w:r>
      <w:r w:rsidR="00D73DD3" w:rsidRPr="00D73DD3">
        <w:rPr>
          <w:rStyle w:val="tlid-translation"/>
          <w:noProof/>
          <w:lang w:val="en-US"/>
        </w:rPr>
        <w:t>[34]</w:t>
      </w:r>
      <w:r w:rsidR="002D077A">
        <w:rPr>
          <w:rStyle w:val="tlid-translation"/>
          <w:lang w:val="en-US"/>
        </w:rPr>
        <w:fldChar w:fldCharType="end"/>
      </w:r>
      <w:r w:rsidR="00D3032A">
        <w:rPr>
          <w:lang w:val="en-US"/>
        </w:rPr>
        <w:t xml:space="preserve">. </w:t>
      </w:r>
      <w:r w:rsidR="002D077A" w:rsidRPr="002D077A">
        <w:rPr>
          <w:lang w:val="en-US"/>
        </w:rPr>
        <w:t>Spearman correlations were calculated using the</w:t>
      </w:r>
      <w:r w:rsidR="002D077A">
        <w:rPr>
          <w:lang w:val="en-US"/>
        </w:rPr>
        <w:t xml:space="preserve"> </w:t>
      </w:r>
      <w:r w:rsidR="00C45AAD" w:rsidRPr="00C45AAD">
        <w:rPr>
          <w:rStyle w:val="nfasis"/>
          <w:color w:val="0E101A"/>
          <w:lang w:val="en-US"/>
        </w:rPr>
        <w:t xml:space="preserve">cor </w:t>
      </w:r>
      <w:r w:rsidR="002D077A" w:rsidRPr="002D077A">
        <w:rPr>
          <w:lang w:val="en-US"/>
        </w:rPr>
        <w:t xml:space="preserve">function of the </w:t>
      </w:r>
      <w:r w:rsidR="002D077A" w:rsidRPr="002D077A">
        <w:rPr>
          <w:i/>
          <w:iCs/>
          <w:lang w:val="en-US"/>
        </w:rPr>
        <w:t>Hmisc</w:t>
      </w:r>
      <w:r w:rsidR="002D077A" w:rsidRPr="002D077A">
        <w:rPr>
          <w:lang w:val="en-US"/>
        </w:rPr>
        <w:t xml:space="preserve"> </w:t>
      </w:r>
      <w:r w:rsidR="00F3687B">
        <w:rPr>
          <w:lang w:val="en-US"/>
        </w:rPr>
        <w:t xml:space="preserve">(v </w:t>
      </w:r>
      <w:r w:rsidR="00F3687B" w:rsidRPr="00F3687B">
        <w:rPr>
          <w:lang w:val="en-US"/>
        </w:rPr>
        <w:t>4.7.2</w:t>
      </w:r>
      <w:r w:rsidR="00F3687B">
        <w:rPr>
          <w:lang w:val="en-US"/>
        </w:rPr>
        <w:t xml:space="preserve">) </w:t>
      </w:r>
      <w:r w:rsidR="002D077A" w:rsidRPr="002D077A">
        <w:rPr>
          <w:lang w:val="en-US"/>
        </w:rPr>
        <w:t>package</w:t>
      </w:r>
      <w:r w:rsidR="00C973CE">
        <w:rPr>
          <w:lang w:val="en-US"/>
        </w:rPr>
        <w:t xml:space="preserve"> </w:t>
      </w:r>
      <w:r w:rsidR="00C973CE">
        <w:rPr>
          <w:lang w:val="en-US"/>
        </w:rPr>
        <w:fldChar w:fldCharType="begin" w:fldLock="1"/>
      </w:r>
      <w:r w:rsidR="00D13CF9">
        <w:rPr>
          <w:lang w:val="en-US"/>
        </w:rPr>
        <w:instrText>ADDIN CSL_CITATION {"citationItems":[{"id":"ITEM-1","itemData":{"author":[{"dropping-particle":"","family":"Miscellaneous","given":"Title Harrell","non-dropping-particle":"","parse-names":false,"suffix":""},{"dropping-particle":"","family":"Yes","given":"Lazyload","non-dropping-particle":"","parse-names":false,"suffix":""}],"id":"ITEM-1","issued":{"date-parts":[["2023"]]},"title":"Hmisc: Harrell Miscellaneous","type":"article-journal"},"uris":["http://www.mendeley.com/documents/?uuid=64ee1045-7179-4c2e-8ef1-04503d3d3ee0"]}],"mendeley":{"formattedCitation":"[35]","plainTextFormattedCitation":"[35]","previouslyFormattedCitation":"[35]"},"properties":{"noteIndex":0},"schema":"https://github.com/citation-style-language/schema/raw/master/csl-citation.json"}</w:instrText>
      </w:r>
      <w:r w:rsidR="00C973CE">
        <w:rPr>
          <w:lang w:val="en-US"/>
        </w:rPr>
        <w:fldChar w:fldCharType="separate"/>
      </w:r>
      <w:r w:rsidR="00D73DD3" w:rsidRPr="00D73DD3">
        <w:rPr>
          <w:noProof/>
          <w:lang w:val="en-US"/>
        </w:rPr>
        <w:t>[35]</w:t>
      </w:r>
      <w:r w:rsidR="00C973CE">
        <w:rPr>
          <w:lang w:val="en-US"/>
        </w:rPr>
        <w:fldChar w:fldCharType="end"/>
      </w:r>
      <w:r w:rsidR="002D077A" w:rsidRPr="002D077A">
        <w:rPr>
          <w:lang w:val="en-US"/>
        </w:rPr>
        <w:t>.</w:t>
      </w:r>
      <w:r w:rsidR="00890D3D">
        <w:rPr>
          <w:rStyle w:val="tlid-translation"/>
          <w:lang w:val="en-US"/>
        </w:rPr>
        <w:t xml:space="preserve"> </w:t>
      </w:r>
      <w:r w:rsidR="007B7B34" w:rsidRPr="007B7B34">
        <w:rPr>
          <w:rStyle w:val="tlid-translation"/>
          <w:lang w:val="en-US"/>
        </w:rPr>
        <w:t>To visualize the short-term (daily) changes in the most important or abundant genes, we represented in bubble plots the TPM values as a ratio of each gene over the sampling days (1, 3, 5, and 7) divided by the mean of all days. Allowing us to simultaneously visualize the relative abundance of specific prokaryotic genes and the daily changes patterns.</w:t>
      </w:r>
    </w:p>
    <w:p w14:paraId="2D3EB006" w14:textId="08E7B84D" w:rsidR="00C80FA0" w:rsidRDefault="00C80FA0">
      <w:pPr>
        <w:spacing w:after="160" w:line="259" w:lineRule="auto"/>
        <w:rPr>
          <w:color w:val="000000"/>
          <w:lang w:val="en-US"/>
        </w:rPr>
      </w:pPr>
    </w:p>
    <w:p w14:paraId="41BB9A65" w14:textId="58F38FF3" w:rsidR="0065779F" w:rsidRPr="0067516F" w:rsidRDefault="0065779F" w:rsidP="00E32293">
      <w:pPr>
        <w:tabs>
          <w:tab w:val="left" w:pos="142"/>
        </w:tabs>
        <w:snapToGrid w:val="0"/>
        <w:spacing w:line="480" w:lineRule="auto"/>
        <w:jc w:val="both"/>
        <w:outlineLvl w:val="0"/>
        <w:rPr>
          <w:b/>
          <w:bCs/>
          <w:color w:val="000000"/>
          <w:lang w:val="en-US"/>
        </w:rPr>
      </w:pPr>
      <w:r w:rsidRPr="0067516F">
        <w:rPr>
          <w:b/>
          <w:bCs/>
          <w:color w:val="000000"/>
          <w:lang w:val="en-US"/>
        </w:rPr>
        <w:t>Supplementary references</w:t>
      </w:r>
    </w:p>
    <w:p w14:paraId="2775DC10" w14:textId="353288BE" w:rsidR="00CB2BCF" w:rsidRPr="0067516F" w:rsidRDefault="00CB2BCF" w:rsidP="00E32293">
      <w:pPr>
        <w:spacing w:line="480" w:lineRule="auto"/>
        <w:jc w:val="both"/>
        <w:rPr>
          <w:lang w:val="en-US"/>
        </w:rPr>
      </w:pPr>
    </w:p>
    <w:p w14:paraId="6DB9A7E1" w14:textId="54077222" w:rsidR="00D13CF9" w:rsidRPr="00D13CF9" w:rsidRDefault="0065779F" w:rsidP="00D13CF9">
      <w:pPr>
        <w:widowControl w:val="0"/>
        <w:autoSpaceDE w:val="0"/>
        <w:autoSpaceDN w:val="0"/>
        <w:adjustRightInd w:val="0"/>
        <w:spacing w:line="480" w:lineRule="auto"/>
        <w:ind w:left="640" w:hanging="640"/>
        <w:rPr>
          <w:noProof/>
        </w:rPr>
      </w:pPr>
      <w:r w:rsidRPr="0067516F">
        <w:rPr>
          <w:lang w:val="en-US"/>
        </w:rPr>
        <w:lastRenderedPageBreak/>
        <w:fldChar w:fldCharType="begin" w:fldLock="1"/>
      </w:r>
      <w:r w:rsidRPr="0067516F">
        <w:rPr>
          <w:lang w:val="en-US"/>
        </w:rPr>
        <w:instrText xml:space="preserve">ADDIN Mendeley Bibliography CSL_BIBLIOGRAPHY </w:instrText>
      </w:r>
      <w:r w:rsidRPr="0067516F">
        <w:rPr>
          <w:lang w:val="en-US"/>
        </w:rPr>
        <w:fldChar w:fldCharType="separate"/>
      </w:r>
      <w:r w:rsidR="00D13CF9" w:rsidRPr="00D13CF9">
        <w:rPr>
          <w:noProof/>
        </w:rPr>
        <w:t xml:space="preserve">1. </w:t>
      </w:r>
      <w:r w:rsidR="00D13CF9" w:rsidRPr="00D13CF9">
        <w:rPr>
          <w:noProof/>
        </w:rPr>
        <w:tab/>
        <w:t xml:space="preserve">Álvarez-Salgado XA, Figueiras FG, Fernández-Reiriz MJ, Labarta U, Peteiro L, Piedracoba S. Control of lipophilic shellfish poisoning outbreaks by seasonal upwelling and continental runoff. </w:t>
      </w:r>
      <w:r w:rsidR="00D13CF9" w:rsidRPr="00D13CF9">
        <w:rPr>
          <w:i/>
          <w:iCs/>
          <w:noProof/>
        </w:rPr>
        <w:t>Harmful Algae</w:t>
      </w:r>
      <w:r w:rsidR="00D13CF9" w:rsidRPr="00D13CF9">
        <w:rPr>
          <w:noProof/>
        </w:rPr>
        <w:t xml:space="preserve"> 2011; </w:t>
      </w:r>
      <w:r w:rsidR="00D13CF9" w:rsidRPr="00D13CF9">
        <w:rPr>
          <w:b/>
          <w:bCs/>
          <w:noProof/>
        </w:rPr>
        <w:t>10</w:t>
      </w:r>
      <w:r w:rsidR="00D13CF9" w:rsidRPr="00D13CF9">
        <w:rPr>
          <w:noProof/>
        </w:rPr>
        <w:t xml:space="preserve">: 121–129. </w:t>
      </w:r>
    </w:p>
    <w:p w14:paraId="066A4FD6"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2. </w:t>
      </w:r>
      <w:r w:rsidRPr="00D13CF9">
        <w:rPr>
          <w:noProof/>
        </w:rPr>
        <w:tab/>
        <w:t xml:space="preserve">Figueiras FG, Labarta U, Fernández Reiriz MJ. Coastal upwelling, primary production and mussel growth in the Rías Baixas of Galicia. </w:t>
      </w:r>
      <w:r w:rsidRPr="00D13CF9">
        <w:rPr>
          <w:i/>
          <w:iCs/>
          <w:noProof/>
        </w:rPr>
        <w:t>Hydrobiologia</w:t>
      </w:r>
      <w:r w:rsidRPr="00D13CF9">
        <w:rPr>
          <w:noProof/>
        </w:rPr>
        <w:t xml:space="preserve"> 2002; </w:t>
      </w:r>
      <w:r w:rsidRPr="00D13CF9">
        <w:rPr>
          <w:b/>
          <w:bCs/>
          <w:noProof/>
        </w:rPr>
        <w:t>484</w:t>
      </w:r>
      <w:r w:rsidRPr="00D13CF9">
        <w:rPr>
          <w:noProof/>
        </w:rPr>
        <w:t xml:space="preserve">: 121–131. </w:t>
      </w:r>
    </w:p>
    <w:p w14:paraId="37858A34"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3. </w:t>
      </w:r>
      <w:r w:rsidRPr="00D13CF9">
        <w:rPr>
          <w:noProof/>
        </w:rPr>
        <w:tab/>
        <w:t xml:space="preserve">Joglar V, Prieto A, Barber-Lluch E, Hernández-Ruiz M, Fernández E, Teira E. Spatial and temporal variability in the response of phytoplankton and bacterioplankton to B-vitamin amendments in an upwelling system. </w:t>
      </w:r>
      <w:r w:rsidRPr="00D13CF9">
        <w:rPr>
          <w:i/>
          <w:iCs/>
          <w:noProof/>
        </w:rPr>
        <w:t>Biogeosciences Discuss</w:t>
      </w:r>
      <w:r w:rsidRPr="00D13CF9">
        <w:rPr>
          <w:noProof/>
        </w:rPr>
        <w:t xml:space="preserve"> 2020; 1–43. </w:t>
      </w:r>
    </w:p>
    <w:p w14:paraId="1913AEFB"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4. </w:t>
      </w:r>
      <w:r w:rsidRPr="00D13CF9">
        <w:rPr>
          <w:noProof/>
        </w:rPr>
        <w:tab/>
        <w:t xml:space="preserve">Lorenzen CJ, Newton Downs J. The specific absorption coefficients of chlorophyllide a and pheophorbide a in 90% acetone, and comments on the fluorometric determination of chlorophyll and pheopigments. </w:t>
      </w:r>
      <w:r w:rsidRPr="00D13CF9">
        <w:rPr>
          <w:i/>
          <w:iCs/>
          <w:noProof/>
        </w:rPr>
        <w:t>Limnol Oceanogr</w:t>
      </w:r>
      <w:r w:rsidRPr="00D13CF9">
        <w:rPr>
          <w:noProof/>
        </w:rPr>
        <w:t xml:space="preserve"> 1986; </w:t>
      </w:r>
      <w:r w:rsidRPr="00D13CF9">
        <w:rPr>
          <w:b/>
          <w:bCs/>
          <w:noProof/>
        </w:rPr>
        <w:t>31</w:t>
      </w:r>
      <w:r w:rsidRPr="00D13CF9">
        <w:rPr>
          <w:noProof/>
        </w:rPr>
        <w:t xml:space="preserve">: 449–452. </w:t>
      </w:r>
    </w:p>
    <w:p w14:paraId="232C8E9B"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5. </w:t>
      </w:r>
      <w:r w:rsidRPr="00D13CF9">
        <w:rPr>
          <w:noProof/>
        </w:rPr>
        <w:tab/>
        <w:t xml:space="preserve">Gasol JM, Del Giorgio PA. Using flow cytometry for counting natural planktonic bacteria and understanding the structure of planktonic bacterial communities. </w:t>
      </w:r>
      <w:r w:rsidRPr="00D13CF9">
        <w:rPr>
          <w:i/>
          <w:iCs/>
          <w:noProof/>
        </w:rPr>
        <w:t>Sci Mar</w:t>
      </w:r>
      <w:r w:rsidRPr="00D13CF9">
        <w:rPr>
          <w:noProof/>
        </w:rPr>
        <w:t xml:space="preserve"> 2000; </w:t>
      </w:r>
      <w:r w:rsidRPr="00D13CF9">
        <w:rPr>
          <w:b/>
          <w:bCs/>
          <w:noProof/>
        </w:rPr>
        <w:t>64</w:t>
      </w:r>
      <w:r w:rsidRPr="00D13CF9">
        <w:rPr>
          <w:noProof/>
        </w:rPr>
        <w:t xml:space="preserve">: 197–224. </w:t>
      </w:r>
    </w:p>
    <w:p w14:paraId="7F67855B"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6. </w:t>
      </w:r>
      <w:r w:rsidRPr="00D13CF9">
        <w:rPr>
          <w:noProof/>
        </w:rPr>
        <w:tab/>
        <w:t xml:space="preserve">Calvo-Díaz A, Morán XAG. Seasonal dynamics of picoplankton in shelf waters of the southern Bay of Biscay. </w:t>
      </w:r>
      <w:r w:rsidRPr="00D13CF9">
        <w:rPr>
          <w:i/>
          <w:iCs/>
          <w:noProof/>
        </w:rPr>
        <w:t>Aquat Microb Ecol</w:t>
      </w:r>
      <w:r w:rsidRPr="00D13CF9">
        <w:rPr>
          <w:noProof/>
        </w:rPr>
        <w:t xml:space="preserve"> 2006; </w:t>
      </w:r>
      <w:r w:rsidRPr="00D13CF9">
        <w:rPr>
          <w:b/>
          <w:bCs/>
          <w:noProof/>
        </w:rPr>
        <w:t>42</w:t>
      </w:r>
      <w:r w:rsidRPr="00D13CF9">
        <w:rPr>
          <w:noProof/>
        </w:rPr>
        <w:t xml:space="preserve">: 159–174. </w:t>
      </w:r>
    </w:p>
    <w:p w14:paraId="4173E4FA"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7. </w:t>
      </w:r>
      <w:r w:rsidRPr="00D13CF9">
        <w:rPr>
          <w:noProof/>
        </w:rPr>
        <w:tab/>
        <w:t xml:space="preserve">Parada AE, Needham DM, Fuhrman JA. Every base matters: Assessing small subunit rRNA primers for marine microbiomes with mock communities, time series and global field samples. </w:t>
      </w:r>
      <w:r w:rsidRPr="00D13CF9">
        <w:rPr>
          <w:i/>
          <w:iCs/>
          <w:noProof/>
        </w:rPr>
        <w:t>Environ Microbiol</w:t>
      </w:r>
      <w:r w:rsidRPr="00D13CF9">
        <w:rPr>
          <w:noProof/>
        </w:rPr>
        <w:t xml:space="preserve"> 2016; </w:t>
      </w:r>
      <w:r w:rsidRPr="00D13CF9">
        <w:rPr>
          <w:b/>
          <w:bCs/>
          <w:noProof/>
        </w:rPr>
        <w:t>18</w:t>
      </w:r>
      <w:r w:rsidRPr="00D13CF9">
        <w:rPr>
          <w:noProof/>
        </w:rPr>
        <w:t xml:space="preserve">: 1403–1414. </w:t>
      </w:r>
    </w:p>
    <w:p w14:paraId="16241A79"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8. </w:t>
      </w:r>
      <w:r w:rsidRPr="00D13CF9">
        <w:rPr>
          <w:noProof/>
        </w:rPr>
        <w:tab/>
        <w:t xml:space="preserve">Logares R, Audic S, Bass D, Bittner L, Boutte C, Christen R, et al. Patterns of rare and abundant marine microbial eukaryotes. </w:t>
      </w:r>
      <w:r w:rsidRPr="00D13CF9">
        <w:rPr>
          <w:i/>
          <w:iCs/>
          <w:noProof/>
        </w:rPr>
        <w:t>Curr Biol</w:t>
      </w:r>
      <w:r w:rsidRPr="00D13CF9">
        <w:rPr>
          <w:noProof/>
        </w:rPr>
        <w:t xml:space="preserve"> 2014; </w:t>
      </w:r>
      <w:r w:rsidRPr="00D13CF9">
        <w:rPr>
          <w:b/>
          <w:bCs/>
          <w:noProof/>
        </w:rPr>
        <w:t>24</w:t>
      </w:r>
      <w:r w:rsidRPr="00D13CF9">
        <w:rPr>
          <w:noProof/>
        </w:rPr>
        <w:t xml:space="preserve">: 813–821. </w:t>
      </w:r>
    </w:p>
    <w:p w14:paraId="02184AA9"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lastRenderedPageBreak/>
        <w:t xml:space="preserve">9. </w:t>
      </w:r>
      <w:r w:rsidRPr="00D13CF9">
        <w:rPr>
          <w:noProof/>
        </w:rPr>
        <w:tab/>
        <w:t xml:space="preserve">Callahan BJ, McMurdie PJ, Rosen MJ, Han AW, Johnson AJA, Holmes SP. DADA2: High-resolution sample inference from Illumina amplicon data. </w:t>
      </w:r>
      <w:r w:rsidRPr="00D13CF9">
        <w:rPr>
          <w:i/>
          <w:iCs/>
          <w:noProof/>
        </w:rPr>
        <w:t>Nat Methods</w:t>
      </w:r>
      <w:r w:rsidRPr="00D13CF9">
        <w:rPr>
          <w:noProof/>
        </w:rPr>
        <w:t xml:space="preserve"> 2016; </w:t>
      </w:r>
      <w:r w:rsidRPr="00D13CF9">
        <w:rPr>
          <w:b/>
          <w:bCs/>
          <w:noProof/>
        </w:rPr>
        <w:t>13</w:t>
      </w:r>
      <w:r w:rsidRPr="00D13CF9">
        <w:rPr>
          <w:noProof/>
        </w:rPr>
        <w:t xml:space="preserve">: 581–583. </w:t>
      </w:r>
    </w:p>
    <w:p w14:paraId="78F4D96F"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10. </w:t>
      </w:r>
      <w:r w:rsidRPr="00D13CF9">
        <w:rPr>
          <w:noProof/>
        </w:rPr>
        <w:tab/>
        <w:t xml:space="preserve">Quast C, Pruesse E, Yilmaz P, Gerken J, Schweer T, Yarza P, et al. The SILVA ribosomal RNA gene database project: Improved data processing and web-based tools. </w:t>
      </w:r>
      <w:r w:rsidRPr="00D13CF9">
        <w:rPr>
          <w:i/>
          <w:iCs/>
          <w:noProof/>
        </w:rPr>
        <w:t>Nucleic Acids Res</w:t>
      </w:r>
      <w:r w:rsidRPr="00D13CF9">
        <w:rPr>
          <w:noProof/>
        </w:rPr>
        <w:t xml:space="preserve"> 2013; </w:t>
      </w:r>
      <w:r w:rsidRPr="00D13CF9">
        <w:rPr>
          <w:b/>
          <w:bCs/>
          <w:noProof/>
        </w:rPr>
        <w:t>41</w:t>
      </w:r>
      <w:r w:rsidRPr="00D13CF9">
        <w:rPr>
          <w:noProof/>
        </w:rPr>
        <w:t xml:space="preserve">: 590–596. </w:t>
      </w:r>
    </w:p>
    <w:p w14:paraId="64465F53"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11. </w:t>
      </w:r>
      <w:r w:rsidRPr="00D13CF9">
        <w:rPr>
          <w:noProof/>
        </w:rPr>
        <w:tab/>
        <w:t xml:space="preserve">Guillou L, Bachar D, Audic S, Bass D, Berney C, Bittner L, et al. The Protist Ribosomal Reference database (PR2): A catalog of unicellular eukaryote Small Sub-Unit rRNA sequences with curated taxonomy. </w:t>
      </w:r>
      <w:r w:rsidRPr="00D13CF9">
        <w:rPr>
          <w:i/>
          <w:iCs/>
          <w:noProof/>
        </w:rPr>
        <w:t>Nucleic Acids Res</w:t>
      </w:r>
      <w:r w:rsidRPr="00D13CF9">
        <w:rPr>
          <w:noProof/>
        </w:rPr>
        <w:t xml:space="preserve"> 2013; </w:t>
      </w:r>
      <w:r w:rsidRPr="00D13CF9">
        <w:rPr>
          <w:b/>
          <w:bCs/>
          <w:noProof/>
        </w:rPr>
        <w:t>41</w:t>
      </w:r>
      <w:r w:rsidRPr="00D13CF9">
        <w:rPr>
          <w:noProof/>
        </w:rPr>
        <w:t xml:space="preserve">. </w:t>
      </w:r>
    </w:p>
    <w:p w14:paraId="7AC3E890"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12. </w:t>
      </w:r>
      <w:r w:rsidRPr="00D13CF9">
        <w:rPr>
          <w:noProof/>
        </w:rPr>
        <w:tab/>
        <w:t xml:space="preserve">Massana R, Gobet A, Audic S, Bass D, Bittner L, Boutte C, et al. Marine protist diversity in European coastal waters and sediments as revealed by high-throughput sequencing. </w:t>
      </w:r>
      <w:r w:rsidRPr="00D13CF9">
        <w:rPr>
          <w:i/>
          <w:iCs/>
          <w:noProof/>
        </w:rPr>
        <w:t>Environ Microbiol</w:t>
      </w:r>
      <w:r w:rsidRPr="00D13CF9">
        <w:rPr>
          <w:noProof/>
        </w:rPr>
        <w:t xml:space="preserve"> 2015; </w:t>
      </w:r>
      <w:r w:rsidRPr="00D13CF9">
        <w:rPr>
          <w:b/>
          <w:bCs/>
          <w:noProof/>
        </w:rPr>
        <w:t>17</w:t>
      </w:r>
      <w:r w:rsidRPr="00D13CF9">
        <w:rPr>
          <w:noProof/>
        </w:rPr>
        <w:t xml:space="preserve">: 4035–4049. </w:t>
      </w:r>
    </w:p>
    <w:p w14:paraId="48BDCE5A"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13. </w:t>
      </w:r>
      <w:r w:rsidRPr="00D13CF9">
        <w:rPr>
          <w:noProof/>
        </w:rPr>
        <w:tab/>
        <w:t xml:space="preserve">Fernandes, D. A, Reid, J., Macklaim, M. J, et al. Unifying the analysis of high-throughput sequencing datasets: characterizing RNA-seq, 16S rRNA gene sequencing and selective growth experiments by compositional data analysis. </w:t>
      </w:r>
      <w:r w:rsidRPr="00D13CF9">
        <w:rPr>
          <w:i/>
          <w:iCs/>
          <w:noProof/>
        </w:rPr>
        <w:t>Microbiome</w:t>
      </w:r>
      <w:r w:rsidRPr="00D13CF9">
        <w:rPr>
          <w:noProof/>
        </w:rPr>
        <w:t xml:space="preserve"> 2014; </w:t>
      </w:r>
      <w:r w:rsidRPr="00D13CF9">
        <w:rPr>
          <w:b/>
          <w:bCs/>
          <w:noProof/>
        </w:rPr>
        <w:t>2</w:t>
      </w:r>
      <w:r w:rsidRPr="00D13CF9">
        <w:rPr>
          <w:noProof/>
        </w:rPr>
        <w:t xml:space="preserve">: 1–13. </w:t>
      </w:r>
    </w:p>
    <w:p w14:paraId="34A23E38"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14. </w:t>
      </w:r>
      <w:r w:rsidRPr="00D13CF9">
        <w:rPr>
          <w:noProof/>
        </w:rPr>
        <w:tab/>
        <w:t xml:space="preserve">Gloor GB, Macklaim JM, Pawlowsky-Glahn V, Egozcue JJ. Microbiome datasets are compositional: And this is not optional. </w:t>
      </w:r>
      <w:r w:rsidRPr="00D13CF9">
        <w:rPr>
          <w:i/>
          <w:iCs/>
          <w:noProof/>
        </w:rPr>
        <w:t>Front Microbiol</w:t>
      </w:r>
      <w:r w:rsidRPr="00D13CF9">
        <w:rPr>
          <w:noProof/>
        </w:rPr>
        <w:t xml:space="preserve"> 2017; </w:t>
      </w:r>
      <w:r w:rsidRPr="00D13CF9">
        <w:rPr>
          <w:b/>
          <w:bCs/>
          <w:noProof/>
        </w:rPr>
        <w:t>8</w:t>
      </w:r>
      <w:r w:rsidRPr="00D13CF9">
        <w:rPr>
          <w:noProof/>
        </w:rPr>
        <w:t xml:space="preserve">: 1–6. </w:t>
      </w:r>
    </w:p>
    <w:p w14:paraId="4F39B6EB"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15. </w:t>
      </w:r>
      <w:r w:rsidRPr="00D13CF9">
        <w:rPr>
          <w:noProof/>
        </w:rPr>
        <w:tab/>
        <w:t xml:space="preserve">Aitchison J. The Statistical Analysis of Compositional Data. </w:t>
      </w:r>
      <w:r w:rsidRPr="00D13CF9">
        <w:rPr>
          <w:i/>
          <w:iCs/>
          <w:noProof/>
        </w:rPr>
        <w:t>J R Stat Soc Ser B</w:t>
      </w:r>
      <w:r w:rsidRPr="00D13CF9">
        <w:rPr>
          <w:noProof/>
        </w:rPr>
        <w:t xml:space="preserve"> 1982; </w:t>
      </w:r>
      <w:r w:rsidRPr="00D13CF9">
        <w:rPr>
          <w:b/>
          <w:bCs/>
          <w:noProof/>
        </w:rPr>
        <w:t>44</w:t>
      </w:r>
      <w:r w:rsidRPr="00D13CF9">
        <w:rPr>
          <w:noProof/>
        </w:rPr>
        <w:t xml:space="preserve">: 139–160. </w:t>
      </w:r>
    </w:p>
    <w:p w14:paraId="742B47A2"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16. </w:t>
      </w:r>
      <w:r w:rsidRPr="00D13CF9">
        <w:rPr>
          <w:noProof/>
        </w:rPr>
        <w:tab/>
        <w:t xml:space="preserve">Martín-Fernández JA, Barceló-Vidal C, Pawlowsky-Glahn V. Dealing with Zeros and Missing Values in Compositional Data Sets Using Nonparametric Imputation. </w:t>
      </w:r>
      <w:r w:rsidRPr="00D13CF9">
        <w:rPr>
          <w:i/>
          <w:iCs/>
          <w:noProof/>
        </w:rPr>
        <w:t>Math Geol</w:t>
      </w:r>
      <w:r w:rsidRPr="00D13CF9">
        <w:rPr>
          <w:noProof/>
        </w:rPr>
        <w:t xml:space="preserve"> 2003; </w:t>
      </w:r>
      <w:r w:rsidRPr="00D13CF9">
        <w:rPr>
          <w:b/>
          <w:bCs/>
          <w:noProof/>
        </w:rPr>
        <w:t>35</w:t>
      </w:r>
      <w:r w:rsidRPr="00D13CF9">
        <w:rPr>
          <w:noProof/>
        </w:rPr>
        <w:t xml:space="preserve">: 253–278. </w:t>
      </w:r>
    </w:p>
    <w:p w14:paraId="3B681221"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17. </w:t>
      </w:r>
      <w:r w:rsidRPr="00D13CF9">
        <w:rPr>
          <w:noProof/>
        </w:rPr>
        <w:tab/>
        <w:t xml:space="preserve">Joglar V, Prieto A, Barber-Lluch E, Hernández-ruiz M, Fernández E, Teira E. Spatial </w:t>
      </w:r>
      <w:r w:rsidRPr="00D13CF9">
        <w:rPr>
          <w:noProof/>
        </w:rPr>
        <w:lastRenderedPageBreak/>
        <w:t xml:space="preserve">and temporal variability in the response of phytoplankton and bacterioplankton to B-vitamin amendments in an upwelling system. </w:t>
      </w:r>
      <w:r w:rsidRPr="00D13CF9">
        <w:rPr>
          <w:i/>
          <w:iCs/>
          <w:noProof/>
        </w:rPr>
        <w:t>Biogeosciences Discuss</w:t>
      </w:r>
      <w:r w:rsidRPr="00D13CF9">
        <w:rPr>
          <w:noProof/>
        </w:rPr>
        <w:t xml:space="preserve"> 2020; 1–43. </w:t>
      </w:r>
    </w:p>
    <w:p w14:paraId="228C54A1"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18. </w:t>
      </w:r>
      <w:r w:rsidRPr="00D13CF9">
        <w:rPr>
          <w:noProof/>
        </w:rPr>
        <w:tab/>
        <w:t xml:space="preserve">Andrews S. FastQC: A Quality Control Tool for High Throughput Sequence Data. 2010. </w:t>
      </w:r>
    </w:p>
    <w:p w14:paraId="7C9779C1"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19. </w:t>
      </w:r>
      <w:r w:rsidRPr="00D13CF9">
        <w:rPr>
          <w:noProof/>
        </w:rPr>
        <w:tab/>
        <w:t xml:space="preserve">Ewels P, Magnusson M, Lundin S, Käller M. MultiQC: Summarize analysis results for multiple tools and samples in a single report. </w:t>
      </w:r>
      <w:r w:rsidRPr="00D13CF9">
        <w:rPr>
          <w:i/>
          <w:iCs/>
          <w:noProof/>
        </w:rPr>
        <w:t>Bioinformatics</w:t>
      </w:r>
      <w:r w:rsidRPr="00D13CF9">
        <w:rPr>
          <w:noProof/>
        </w:rPr>
        <w:t xml:space="preserve"> 2016; </w:t>
      </w:r>
      <w:r w:rsidRPr="00D13CF9">
        <w:rPr>
          <w:b/>
          <w:bCs/>
          <w:noProof/>
        </w:rPr>
        <w:t>32</w:t>
      </w:r>
      <w:r w:rsidRPr="00D13CF9">
        <w:rPr>
          <w:noProof/>
        </w:rPr>
        <w:t xml:space="preserve">: 3047–3048. </w:t>
      </w:r>
    </w:p>
    <w:p w14:paraId="5A26D613"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20. </w:t>
      </w:r>
      <w:r w:rsidRPr="00D13CF9">
        <w:rPr>
          <w:noProof/>
        </w:rPr>
        <w:tab/>
        <w:t xml:space="preserve">Marcel M. Cutadapt removes adapter sequences from high-throughput sequencing reads. </w:t>
      </w:r>
      <w:r w:rsidRPr="00D13CF9">
        <w:rPr>
          <w:i/>
          <w:iCs/>
          <w:noProof/>
        </w:rPr>
        <w:t>EMBnet.journal</w:t>
      </w:r>
      <w:r w:rsidRPr="00D13CF9">
        <w:rPr>
          <w:noProof/>
        </w:rPr>
        <w:t xml:space="preserve"> 2011; </w:t>
      </w:r>
      <w:r w:rsidRPr="00D13CF9">
        <w:rPr>
          <w:b/>
          <w:bCs/>
          <w:noProof/>
        </w:rPr>
        <w:t>17</w:t>
      </w:r>
      <w:r w:rsidRPr="00D13CF9">
        <w:rPr>
          <w:noProof/>
        </w:rPr>
        <w:t xml:space="preserve">: 10–12. </w:t>
      </w:r>
    </w:p>
    <w:p w14:paraId="1EEF8593"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21. </w:t>
      </w:r>
      <w:r w:rsidRPr="00D13CF9">
        <w:rPr>
          <w:noProof/>
        </w:rPr>
        <w:tab/>
        <w:t>Joshi N, Fass J. Sickle: A sliding-window, adaptive, quality-based trimming tool for FastQ files. 2011. , [Software]</w:t>
      </w:r>
    </w:p>
    <w:p w14:paraId="65E416BE"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22. </w:t>
      </w:r>
      <w:r w:rsidRPr="00D13CF9">
        <w:rPr>
          <w:noProof/>
        </w:rPr>
        <w:tab/>
        <w:t xml:space="preserve">Del Fabbro C, Scalabrin S, Morgante M, Giorgi FM. An extensive evaluation of read trimming effects on illumina NGS data analysis. </w:t>
      </w:r>
      <w:r w:rsidRPr="00D13CF9">
        <w:rPr>
          <w:i/>
          <w:iCs/>
          <w:noProof/>
        </w:rPr>
        <w:t>PLoS One</w:t>
      </w:r>
      <w:r w:rsidRPr="00D13CF9">
        <w:rPr>
          <w:noProof/>
        </w:rPr>
        <w:t xml:space="preserve"> 2013; </w:t>
      </w:r>
      <w:r w:rsidRPr="00D13CF9">
        <w:rPr>
          <w:b/>
          <w:bCs/>
          <w:noProof/>
        </w:rPr>
        <w:t>8</w:t>
      </w:r>
      <w:r w:rsidRPr="00D13CF9">
        <w:rPr>
          <w:noProof/>
        </w:rPr>
        <w:t xml:space="preserve">: 1–13. </w:t>
      </w:r>
    </w:p>
    <w:p w14:paraId="7A4955A8"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23. </w:t>
      </w:r>
      <w:r w:rsidRPr="00D13CF9">
        <w:rPr>
          <w:noProof/>
        </w:rPr>
        <w:tab/>
        <w:t xml:space="preserve">Li D, Liu CM, Luo R, Sadakane K, Lam TW. MEGAHIT: An ultra-fast single-node solution for large and complex metagenomics assembly via succinct de Bruijn graph. </w:t>
      </w:r>
      <w:r w:rsidRPr="00D13CF9">
        <w:rPr>
          <w:i/>
          <w:iCs/>
          <w:noProof/>
        </w:rPr>
        <w:t>Bioinformatics</w:t>
      </w:r>
      <w:r w:rsidRPr="00D13CF9">
        <w:rPr>
          <w:noProof/>
        </w:rPr>
        <w:t xml:space="preserve"> 2015; </w:t>
      </w:r>
      <w:r w:rsidRPr="00D13CF9">
        <w:rPr>
          <w:b/>
          <w:bCs/>
          <w:noProof/>
        </w:rPr>
        <w:t>31</w:t>
      </w:r>
      <w:r w:rsidRPr="00D13CF9">
        <w:rPr>
          <w:noProof/>
        </w:rPr>
        <w:t xml:space="preserve">: 1674–1676. </w:t>
      </w:r>
    </w:p>
    <w:p w14:paraId="6A67F7AE"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24. </w:t>
      </w:r>
      <w:r w:rsidRPr="00D13CF9">
        <w:rPr>
          <w:noProof/>
        </w:rPr>
        <w:tab/>
        <w:t xml:space="preserve">Hyatt D, Chen G-L, LoCascio PF, Land ML, Larimer FW, Hauser LJ. Integrated nr Database in Protein Annotation System and Its Localization. </w:t>
      </w:r>
      <w:r w:rsidRPr="00D13CF9">
        <w:rPr>
          <w:i/>
          <w:iCs/>
          <w:noProof/>
        </w:rPr>
        <w:t>Nat Commun</w:t>
      </w:r>
      <w:r w:rsidRPr="00D13CF9">
        <w:rPr>
          <w:noProof/>
        </w:rPr>
        <w:t xml:space="preserve"> 2010; </w:t>
      </w:r>
      <w:r w:rsidRPr="00D13CF9">
        <w:rPr>
          <w:b/>
          <w:bCs/>
          <w:noProof/>
        </w:rPr>
        <w:t>6</w:t>
      </w:r>
      <w:r w:rsidRPr="00D13CF9">
        <w:rPr>
          <w:noProof/>
        </w:rPr>
        <w:t xml:space="preserve">: 1–8. </w:t>
      </w:r>
    </w:p>
    <w:p w14:paraId="3195AC8C"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25. </w:t>
      </w:r>
      <w:r w:rsidRPr="00D13CF9">
        <w:rPr>
          <w:noProof/>
        </w:rPr>
        <w:tab/>
        <w:t xml:space="preserve">Rognes T, Flouri T, Nichols B, Quince C, Mahé F. VSEARCH: A versatile open source tool for metagenomics. </w:t>
      </w:r>
      <w:r w:rsidRPr="00D13CF9">
        <w:rPr>
          <w:i/>
          <w:iCs/>
          <w:noProof/>
        </w:rPr>
        <w:t>PeerJ</w:t>
      </w:r>
      <w:r w:rsidRPr="00D13CF9">
        <w:rPr>
          <w:noProof/>
        </w:rPr>
        <w:t xml:space="preserve"> 2016; </w:t>
      </w:r>
      <w:r w:rsidRPr="00D13CF9">
        <w:rPr>
          <w:b/>
          <w:bCs/>
          <w:noProof/>
        </w:rPr>
        <w:t>2016</w:t>
      </w:r>
      <w:r w:rsidRPr="00D13CF9">
        <w:rPr>
          <w:noProof/>
        </w:rPr>
        <w:t xml:space="preserve">: 1–22. </w:t>
      </w:r>
    </w:p>
    <w:p w14:paraId="560944A2"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26. </w:t>
      </w:r>
      <w:r w:rsidRPr="00D13CF9">
        <w:rPr>
          <w:noProof/>
        </w:rPr>
        <w:tab/>
        <w:t xml:space="preserve">Langmead B, Salzberg SL. Fast gapped-read alignment with Bowtie 2. </w:t>
      </w:r>
      <w:r w:rsidRPr="00D13CF9">
        <w:rPr>
          <w:i/>
          <w:iCs/>
          <w:noProof/>
        </w:rPr>
        <w:t>Nat Methods</w:t>
      </w:r>
      <w:r w:rsidRPr="00D13CF9">
        <w:rPr>
          <w:noProof/>
        </w:rPr>
        <w:t xml:space="preserve"> 2012; </w:t>
      </w:r>
      <w:r w:rsidRPr="00D13CF9">
        <w:rPr>
          <w:b/>
          <w:bCs/>
          <w:noProof/>
        </w:rPr>
        <w:t>9</w:t>
      </w:r>
      <w:r w:rsidRPr="00D13CF9">
        <w:rPr>
          <w:noProof/>
        </w:rPr>
        <w:t xml:space="preserve">: 357–359. </w:t>
      </w:r>
    </w:p>
    <w:p w14:paraId="3C9AE985"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27. </w:t>
      </w:r>
      <w:r w:rsidRPr="00D13CF9">
        <w:rPr>
          <w:noProof/>
        </w:rPr>
        <w:tab/>
        <w:t xml:space="preserve">Buchfink B, Xie C, Huson DH. Fast and sensitive protein alignment using </w:t>
      </w:r>
      <w:r w:rsidRPr="00D13CF9">
        <w:rPr>
          <w:noProof/>
        </w:rPr>
        <w:lastRenderedPageBreak/>
        <w:t xml:space="preserve">DIAMOND. </w:t>
      </w:r>
      <w:r w:rsidRPr="00D13CF9">
        <w:rPr>
          <w:i/>
          <w:iCs/>
          <w:noProof/>
        </w:rPr>
        <w:t>Nat Methods</w:t>
      </w:r>
      <w:r w:rsidRPr="00D13CF9">
        <w:rPr>
          <w:noProof/>
        </w:rPr>
        <w:t xml:space="preserve"> 2014; </w:t>
      </w:r>
      <w:r w:rsidRPr="00D13CF9">
        <w:rPr>
          <w:b/>
          <w:bCs/>
          <w:noProof/>
        </w:rPr>
        <w:t>12</w:t>
      </w:r>
      <w:r w:rsidRPr="00D13CF9">
        <w:rPr>
          <w:noProof/>
        </w:rPr>
        <w:t xml:space="preserve">: 59–60. </w:t>
      </w:r>
    </w:p>
    <w:p w14:paraId="1DFD7806"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28. </w:t>
      </w:r>
      <w:r w:rsidRPr="00D13CF9">
        <w:rPr>
          <w:noProof/>
        </w:rPr>
        <w:tab/>
        <w:t xml:space="preserve">O’Leary NA, Wright MW, Brister JR, Ciufo S, Haddad D, McVeigh R, et al. Reference sequence (RefSeq) database at NCBI: Current status, taxonomic expansion, and functional annotation. </w:t>
      </w:r>
      <w:r w:rsidRPr="00D13CF9">
        <w:rPr>
          <w:i/>
          <w:iCs/>
          <w:noProof/>
        </w:rPr>
        <w:t>Nucleic Acids Res</w:t>
      </w:r>
      <w:r w:rsidRPr="00D13CF9">
        <w:rPr>
          <w:noProof/>
        </w:rPr>
        <w:t xml:space="preserve"> 2016; </w:t>
      </w:r>
      <w:r w:rsidRPr="00D13CF9">
        <w:rPr>
          <w:b/>
          <w:bCs/>
          <w:noProof/>
        </w:rPr>
        <w:t>44</w:t>
      </w:r>
      <w:r w:rsidRPr="00D13CF9">
        <w:rPr>
          <w:noProof/>
        </w:rPr>
        <w:t xml:space="preserve">: D733–D745. </w:t>
      </w:r>
    </w:p>
    <w:p w14:paraId="1FF23674"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29. </w:t>
      </w:r>
      <w:r w:rsidRPr="00D13CF9">
        <w:rPr>
          <w:noProof/>
        </w:rPr>
        <w:tab/>
        <w:t xml:space="preserve">Wickham H, Chang W. ggplot2: Elegant Graphics for Data Analysis. </w:t>
      </w:r>
      <w:r w:rsidRPr="00D13CF9">
        <w:rPr>
          <w:i/>
          <w:iCs/>
          <w:noProof/>
        </w:rPr>
        <w:t>Springer-Verlag New York</w:t>
      </w:r>
      <w:r w:rsidRPr="00D13CF9">
        <w:rPr>
          <w:noProof/>
        </w:rPr>
        <w:t xml:space="preserve"> 2014; </w:t>
      </w:r>
      <w:r w:rsidRPr="00D13CF9">
        <w:rPr>
          <w:b/>
          <w:bCs/>
          <w:noProof/>
        </w:rPr>
        <w:t>2</w:t>
      </w:r>
      <w:r w:rsidRPr="00D13CF9">
        <w:rPr>
          <w:noProof/>
        </w:rPr>
        <w:t xml:space="preserve">: 1–189. </w:t>
      </w:r>
    </w:p>
    <w:p w14:paraId="2A1FC36E"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30. </w:t>
      </w:r>
      <w:r w:rsidRPr="00D13CF9">
        <w:rPr>
          <w:noProof/>
        </w:rPr>
        <w:tab/>
        <w:t xml:space="preserve">Moshinsky M. ggord: Ordination Plots with ggplot2. 2022. </w:t>
      </w:r>
    </w:p>
    <w:p w14:paraId="1F990AC9"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31. </w:t>
      </w:r>
      <w:r w:rsidRPr="00D13CF9">
        <w:rPr>
          <w:noProof/>
        </w:rPr>
        <w:tab/>
        <w:t xml:space="preserve">Gloor GB, Wu JR, Pawlowsky-Glahn V, Egozcue JJ. It’s all relative: analyzing microbiome data as compositions. </w:t>
      </w:r>
      <w:r w:rsidRPr="00D13CF9">
        <w:rPr>
          <w:i/>
          <w:iCs/>
          <w:noProof/>
        </w:rPr>
        <w:t>Ann Epidemiol</w:t>
      </w:r>
      <w:r w:rsidRPr="00D13CF9">
        <w:rPr>
          <w:noProof/>
        </w:rPr>
        <w:t xml:space="preserve"> 2016; </w:t>
      </w:r>
      <w:r w:rsidRPr="00D13CF9">
        <w:rPr>
          <w:b/>
          <w:bCs/>
          <w:noProof/>
        </w:rPr>
        <w:t>26</w:t>
      </w:r>
      <w:r w:rsidRPr="00D13CF9">
        <w:rPr>
          <w:noProof/>
        </w:rPr>
        <w:t xml:space="preserve">: 322–329. </w:t>
      </w:r>
    </w:p>
    <w:p w14:paraId="4D3F80DC"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32. </w:t>
      </w:r>
      <w:r w:rsidRPr="00D13CF9">
        <w:rPr>
          <w:noProof/>
        </w:rPr>
        <w:tab/>
        <w:t xml:space="preserve">Oksanen  r J, Simpson GL, Blanchet FG, Solymos P, Stevens MHH, Szoecs E, et al. vegan: Community Ecology Package. </w:t>
      </w:r>
      <w:r w:rsidRPr="00D13CF9">
        <w:rPr>
          <w:i/>
          <w:iCs/>
          <w:noProof/>
        </w:rPr>
        <w:t>Vegan Community Ecol Packag</w:t>
      </w:r>
      <w:r w:rsidRPr="00D13CF9">
        <w:rPr>
          <w:noProof/>
        </w:rPr>
        <w:t xml:space="preserve"> 2022. </w:t>
      </w:r>
    </w:p>
    <w:p w14:paraId="183F4879"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33. </w:t>
      </w:r>
      <w:r w:rsidRPr="00D13CF9">
        <w:rPr>
          <w:noProof/>
        </w:rPr>
        <w:tab/>
        <w:t xml:space="preserve">Borcard D, Gillet F, Legendre P. Numerical ecology with R. 2011. </w:t>
      </w:r>
    </w:p>
    <w:p w14:paraId="4ECC078C"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34. </w:t>
      </w:r>
      <w:r w:rsidRPr="00D13CF9">
        <w:rPr>
          <w:noProof/>
        </w:rPr>
        <w:tab/>
        <w:t xml:space="preserve">Gu Z, Eils R, Schlesner M. Complex heatmaps reveal patterns and correlations in multidimensional genomic data. </w:t>
      </w:r>
      <w:r w:rsidRPr="00D13CF9">
        <w:rPr>
          <w:i/>
          <w:iCs/>
          <w:noProof/>
        </w:rPr>
        <w:t>Bioinformatics</w:t>
      </w:r>
      <w:r w:rsidRPr="00D13CF9">
        <w:rPr>
          <w:noProof/>
        </w:rPr>
        <w:t xml:space="preserve"> 2016; </w:t>
      </w:r>
      <w:r w:rsidRPr="00D13CF9">
        <w:rPr>
          <w:b/>
          <w:bCs/>
          <w:noProof/>
        </w:rPr>
        <w:t>32</w:t>
      </w:r>
      <w:r w:rsidRPr="00D13CF9">
        <w:rPr>
          <w:noProof/>
        </w:rPr>
        <w:t xml:space="preserve">: 2847–2849. </w:t>
      </w:r>
    </w:p>
    <w:p w14:paraId="044A6B8B" w14:textId="77777777" w:rsidR="00D13CF9" w:rsidRPr="00D13CF9" w:rsidRDefault="00D13CF9" w:rsidP="00D13CF9">
      <w:pPr>
        <w:widowControl w:val="0"/>
        <w:autoSpaceDE w:val="0"/>
        <w:autoSpaceDN w:val="0"/>
        <w:adjustRightInd w:val="0"/>
        <w:spacing w:line="480" w:lineRule="auto"/>
        <w:ind w:left="640" w:hanging="640"/>
        <w:rPr>
          <w:noProof/>
        </w:rPr>
      </w:pPr>
      <w:r w:rsidRPr="00D13CF9">
        <w:rPr>
          <w:noProof/>
        </w:rPr>
        <w:t xml:space="preserve">35. </w:t>
      </w:r>
      <w:r w:rsidRPr="00D13CF9">
        <w:rPr>
          <w:noProof/>
        </w:rPr>
        <w:tab/>
        <w:t xml:space="preserve">Miscellaneous TH, Yes L. Hmisc: Harrell Miscellaneous. 2023. </w:t>
      </w:r>
    </w:p>
    <w:p w14:paraId="6EB4C307" w14:textId="71345140" w:rsidR="0065779F" w:rsidRPr="0067516F" w:rsidRDefault="0065779F" w:rsidP="00E3620E">
      <w:pPr>
        <w:spacing w:line="480" w:lineRule="auto"/>
        <w:jc w:val="both"/>
        <w:rPr>
          <w:lang w:val="en-US"/>
        </w:rPr>
      </w:pPr>
      <w:r w:rsidRPr="0067516F">
        <w:rPr>
          <w:lang w:val="en-US"/>
        </w:rPr>
        <w:fldChar w:fldCharType="end"/>
      </w:r>
    </w:p>
    <w:sectPr w:rsidR="0065779F" w:rsidRPr="006751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xMrGwsDA2sTA3MrJQ0lEKTi0uzszPAymwqAUAKKlfpCwAAAA="/>
  </w:docVars>
  <w:rsids>
    <w:rsidRoot w:val="0065779F"/>
    <w:rsid w:val="0000556C"/>
    <w:rsid w:val="00010926"/>
    <w:rsid w:val="000635F8"/>
    <w:rsid w:val="00073652"/>
    <w:rsid w:val="00090931"/>
    <w:rsid w:val="00097A57"/>
    <w:rsid w:val="000C3BE6"/>
    <w:rsid w:val="000C6089"/>
    <w:rsid w:val="000C6557"/>
    <w:rsid w:val="001C4830"/>
    <w:rsid w:val="002432C1"/>
    <w:rsid w:val="002669E8"/>
    <w:rsid w:val="0026736E"/>
    <w:rsid w:val="00280682"/>
    <w:rsid w:val="002D077A"/>
    <w:rsid w:val="002F5C2D"/>
    <w:rsid w:val="00307B4D"/>
    <w:rsid w:val="00326DF9"/>
    <w:rsid w:val="0033609B"/>
    <w:rsid w:val="00352ADB"/>
    <w:rsid w:val="00354F55"/>
    <w:rsid w:val="003603AC"/>
    <w:rsid w:val="003A182F"/>
    <w:rsid w:val="003C2D41"/>
    <w:rsid w:val="003E4642"/>
    <w:rsid w:val="003F42C3"/>
    <w:rsid w:val="003F5802"/>
    <w:rsid w:val="0047014A"/>
    <w:rsid w:val="00470A0C"/>
    <w:rsid w:val="004E57EC"/>
    <w:rsid w:val="00506A38"/>
    <w:rsid w:val="0051148A"/>
    <w:rsid w:val="005516A9"/>
    <w:rsid w:val="0055381C"/>
    <w:rsid w:val="0056332C"/>
    <w:rsid w:val="00566E94"/>
    <w:rsid w:val="00567D3F"/>
    <w:rsid w:val="00572679"/>
    <w:rsid w:val="005A103F"/>
    <w:rsid w:val="005B3C25"/>
    <w:rsid w:val="005C261C"/>
    <w:rsid w:val="005C76FB"/>
    <w:rsid w:val="005D72A6"/>
    <w:rsid w:val="005E2470"/>
    <w:rsid w:val="00604DAA"/>
    <w:rsid w:val="00654A2E"/>
    <w:rsid w:val="0065779F"/>
    <w:rsid w:val="00666026"/>
    <w:rsid w:val="0067516F"/>
    <w:rsid w:val="006B48F0"/>
    <w:rsid w:val="006E33F0"/>
    <w:rsid w:val="007279B5"/>
    <w:rsid w:val="00743CE4"/>
    <w:rsid w:val="007455F6"/>
    <w:rsid w:val="00771A02"/>
    <w:rsid w:val="007827B5"/>
    <w:rsid w:val="00790F83"/>
    <w:rsid w:val="007A777D"/>
    <w:rsid w:val="007B271F"/>
    <w:rsid w:val="007B7B34"/>
    <w:rsid w:val="007C057D"/>
    <w:rsid w:val="007C177E"/>
    <w:rsid w:val="007C18A8"/>
    <w:rsid w:val="007D61ED"/>
    <w:rsid w:val="007E76F7"/>
    <w:rsid w:val="00823121"/>
    <w:rsid w:val="00830C10"/>
    <w:rsid w:val="0085788E"/>
    <w:rsid w:val="008636E5"/>
    <w:rsid w:val="00881755"/>
    <w:rsid w:val="00890D3D"/>
    <w:rsid w:val="008B0B1A"/>
    <w:rsid w:val="0091373F"/>
    <w:rsid w:val="009240C9"/>
    <w:rsid w:val="009432B8"/>
    <w:rsid w:val="009550F0"/>
    <w:rsid w:val="009822E7"/>
    <w:rsid w:val="00985851"/>
    <w:rsid w:val="00993394"/>
    <w:rsid w:val="00997CFE"/>
    <w:rsid w:val="009A4A5C"/>
    <w:rsid w:val="009B3C35"/>
    <w:rsid w:val="009C6D75"/>
    <w:rsid w:val="009D2A73"/>
    <w:rsid w:val="009E43AD"/>
    <w:rsid w:val="00A82E1E"/>
    <w:rsid w:val="00AC4458"/>
    <w:rsid w:val="00AF0933"/>
    <w:rsid w:val="00AF1F93"/>
    <w:rsid w:val="00B148F5"/>
    <w:rsid w:val="00B216DD"/>
    <w:rsid w:val="00B2513F"/>
    <w:rsid w:val="00B3699A"/>
    <w:rsid w:val="00B54FAF"/>
    <w:rsid w:val="00B76608"/>
    <w:rsid w:val="00B82745"/>
    <w:rsid w:val="00BB3441"/>
    <w:rsid w:val="00BC4C24"/>
    <w:rsid w:val="00C21EB0"/>
    <w:rsid w:val="00C36784"/>
    <w:rsid w:val="00C45AAD"/>
    <w:rsid w:val="00C5426C"/>
    <w:rsid w:val="00C5585B"/>
    <w:rsid w:val="00C67BE1"/>
    <w:rsid w:val="00C80FA0"/>
    <w:rsid w:val="00C8522B"/>
    <w:rsid w:val="00C95411"/>
    <w:rsid w:val="00C973CE"/>
    <w:rsid w:val="00CB09DD"/>
    <w:rsid w:val="00CB2BCF"/>
    <w:rsid w:val="00CC2B7C"/>
    <w:rsid w:val="00CD19CD"/>
    <w:rsid w:val="00CD7912"/>
    <w:rsid w:val="00CE5665"/>
    <w:rsid w:val="00CE5C0F"/>
    <w:rsid w:val="00CF0484"/>
    <w:rsid w:val="00CF5160"/>
    <w:rsid w:val="00CF7964"/>
    <w:rsid w:val="00D0156D"/>
    <w:rsid w:val="00D127BA"/>
    <w:rsid w:val="00D13CF9"/>
    <w:rsid w:val="00D20BDF"/>
    <w:rsid w:val="00D3032A"/>
    <w:rsid w:val="00D73DD3"/>
    <w:rsid w:val="00D85E5F"/>
    <w:rsid w:val="00D91D47"/>
    <w:rsid w:val="00DB06D0"/>
    <w:rsid w:val="00DC5E05"/>
    <w:rsid w:val="00DD493B"/>
    <w:rsid w:val="00DF0F27"/>
    <w:rsid w:val="00DF4476"/>
    <w:rsid w:val="00DF57CE"/>
    <w:rsid w:val="00DF63D9"/>
    <w:rsid w:val="00DF684A"/>
    <w:rsid w:val="00E11182"/>
    <w:rsid w:val="00E16C25"/>
    <w:rsid w:val="00E32293"/>
    <w:rsid w:val="00E34C8B"/>
    <w:rsid w:val="00E3620E"/>
    <w:rsid w:val="00E67A42"/>
    <w:rsid w:val="00E73409"/>
    <w:rsid w:val="00EA3F47"/>
    <w:rsid w:val="00EA5F3C"/>
    <w:rsid w:val="00ED0E90"/>
    <w:rsid w:val="00F1084D"/>
    <w:rsid w:val="00F137C2"/>
    <w:rsid w:val="00F3687B"/>
    <w:rsid w:val="00F862A1"/>
    <w:rsid w:val="00FA38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9614"/>
  <w15:chartTrackingRefBased/>
  <w15:docId w15:val="{466BCA1C-6341-4D1A-8211-398C8A79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79F"/>
    <w:pPr>
      <w:spacing w:after="0" w:line="240" w:lineRule="auto"/>
    </w:pPr>
    <w:rPr>
      <w:rFonts w:ascii="Times New Roman" w:eastAsia="Times New Roman" w:hAnsi="Times New Roman" w:cs="Times New Roman"/>
      <w:sz w:val="24"/>
      <w:szCs w:val="24"/>
      <w:lang w:val="es-ES" w:eastAsia="es-ES_tradnl"/>
    </w:rPr>
  </w:style>
  <w:style w:type="paragraph" w:styleId="Ttulo1">
    <w:name w:val="heading 1"/>
    <w:basedOn w:val="Normal"/>
    <w:next w:val="Normal"/>
    <w:link w:val="Ttulo1Car"/>
    <w:uiPriority w:val="9"/>
    <w:qFormat/>
    <w:rsid w:val="00B251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FA38A1"/>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Normal"/>
    <w:link w:val="Ttulo3Car"/>
    <w:uiPriority w:val="9"/>
    <w:semiHidden/>
    <w:unhideWhenUsed/>
    <w:qFormat/>
    <w:rsid w:val="00B2513F"/>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65779F"/>
    <w:rPr>
      <w:sz w:val="16"/>
      <w:szCs w:val="16"/>
    </w:rPr>
  </w:style>
  <w:style w:type="paragraph" w:styleId="Textocomentario">
    <w:name w:val="annotation text"/>
    <w:basedOn w:val="Normal"/>
    <w:link w:val="TextocomentarioCar"/>
    <w:uiPriority w:val="99"/>
    <w:unhideWhenUsed/>
    <w:rsid w:val="0065779F"/>
    <w:pPr>
      <w:spacing w:after="160"/>
    </w:pPr>
    <w:rPr>
      <w:rFonts w:ascii="Calibri" w:eastAsia="Calibri" w:hAnsi="Calibri" w:cs="Arial"/>
      <w:sz w:val="20"/>
      <w:szCs w:val="20"/>
      <w:lang w:val="es-MX" w:eastAsia="en-US"/>
    </w:rPr>
  </w:style>
  <w:style w:type="character" w:customStyle="1" w:styleId="TextocomentarioCar">
    <w:name w:val="Texto comentario Car"/>
    <w:basedOn w:val="Fuentedeprrafopredeter"/>
    <w:link w:val="Textocomentario"/>
    <w:uiPriority w:val="99"/>
    <w:rsid w:val="0065779F"/>
    <w:rPr>
      <w:rFonts w:ascii="Calibri" w:eastAsia="Calibri" w:hAnsi="Calibri" w:cs="Arial"/>
      <w:sz w:val="20"/>
      <w:szCs w:val="20"/>
    </w:rPr>
  </w:style>
  <w:style w:type="character" w:customStyle="1" w:styleId="tlid-translation">
    <w:name w:val="tlid-translation"/>
    <w:basedOn w:val="Fuentedeprrafopredeter"/>
    <w:rsid w:val="0065779F"/>
  </w:style>
  <w:style w:type="character" w:customStyle="1" w:styleId="eq0j8">
    <w:name w:val="eq0j8"/>
    <w:basedOn w:val="Fuentedeprrafopredeter"/>
    <w:rsid w:val="0065779F"/>
  </w:style>
  <w:style w:type="character" w:customStyle="1" w:styleId="rynqvb">
    <w:name w:val="rynqvb"/>
    <w:basedOn w:val="Fuentedeprrafopredeter"/>
    <w:rsid w:val="0065779F"/>
  </w:style>
  <w:style w:type="character" w:customStyle="1" w:styleId="Ttulo3Car">
    <w:name w:val="Título 3 Car"/>
    <w:basedOn w:val="Fuentedeprrafopredeter"/>
    <w:link w:val="Ttulo3"/>
    <w:uiPriority w:val="9"/>
    <w:semiHidden/>
    <w:rsid w:val="00B2513F"/>
    <w:rPr>
      <w:rFonts w:asciiTheme="majorHAnsi" w:eastAsiaTheme="majorEastAsia" w:hAnsiTheme="majorHAnsi" w:cstheme="majorBidi"/>
      <w:color w:val="1F3763" w:themeColor="accent1" w:themeShade="7F"/>
      <w:sz w:val="24"/>
      <w:szCs w:val="24"/>
      <w:lang w:val="es-ES" w:eastAsia="es-ES_tradnl"/>
    </w:rPr>
  </w:style>
  <w:style w:type="character" w:customStyle="1" w:styleId="Ttulo1Car">
    <w:name w:val="Título 1 Car"/>
    <w:basedOn w:val="Fuentedeprrafopredeter"/>
    <w:link w:val="Ttulo1"/>
    <w:uiPriority w:val="9"/>
    <w:rsid w:val="00B2513F"/>
    <w:rPr>
      <w:rFonts w:asciiTheme="majorHAnsi" w:eastAsiaTheme="majorEastAsia" w:hAnsiTheme="majorHAnsi" w:cstheme="majorBidi"/>
      <w:color w:val="2F5496" w:themeColor="accent1" w:themeShade="BF"/>
      <w:sz w:val="32"/>
      <w:szCs w:val="32"/>
      <w:lang w:val="es-ES" w:eastAsia="es-ES_tradnl"/>
    </w:rPr>
  </w:style>
  <w:style w:type="character" w:customStyle="1" w:styleId="Ttulo2Car">
    <w:name w:val="Título 2 Car"/>
    <w:basedOn w:val="Fuentedeprrafopredeter"/>
    <w:link w:val="Ttulo2"/>
    <w:uiPriority w:val="9"/>
    <w:semiHidden/>
    <w:rsid w:val="00FA38A1"/>
    <w:rPr>
      <w:rFonts w:asciiTheme="majorHAnsi" w:eastAsiaTheme="majorEastAsia" w:hAnsiTheme="majorHAnsi" w:cstheme="majorBidi"/>
      <w:color w:val="2F5496" w:themeColor="accent1" w:themeShade="BF"/>
      <w:sz w:val="26"/>
      <w:szCs w:val="26"/>
      <w:lang w:val="es-ES"/>
    </w:rPr>
  </w:style>
  <w:style w:type="character" w:styleId="nfasis">
    <w:name w:val="Emphasis"/>
    <w:basedOn w:val="Fuentedeprrafopredeter"/>
    <w:uiPriority w:val="20"/>
    <w:qFormat/>
    <w:rsid w:val="002D07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7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cilifelab.s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655D0-97DA-435C-A927-CBE75CAB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17274</Words>
  <Characters>98468</Characters>
  <Application>Microsoft Office Word</Application>
  <DocSecurity>0</DocSecurity>
  <Lines>820</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Delgadillo Nuño</dc:creator>
  <cp:keywords/>
  <dc:description/>
  <cp:lastModifiedBy>Erick Delgadillo Nuño</cp:lastModifiedBy>
  <cp:revision>3</cp:revision>
  <dcterms:created xsi:type="dcterms:W3CDTF">2023-10-20T11:55:00Z</dcterms:created>
  <dcterms:modified xsi:type="dcterms:W3CDTF">2023-10-20T11:57:00Z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http://www.zotero.org/styles/the-isme-journal</vt:lpwstr>
  </property>
  <property fmtid="{D5CDD505-2E9C-101B-9397-08002B2CF9AE}" pid="21" name="Mendeley Recent Style Name 9_1">
    <vt:lpwstr>The ISME Journal</vt:lpwstr>
  </property>
  <property fmtid="{D5CDD505-2E9C-101B-9397-08002B2CF9AE}" pid="22" name="Mendeley Document_1">
    <vt:lpwstr>True</vt:lpwstr>
  </property>
  <property fmtid="{D5CDD505-2E9C-101B-9397-08002B2CF9AE}" pid="23" name="Mendeley Unique User Id_1">
    <vt:lpwstr>7bebb064-fb9a-30a3-b98a-91eef8263236</vt:lpwstr>
  </property>
  <property fmtid="{D5CDD505-2E9C-101B-9397-08002B2CF9AE}" pid="24" name="Mendeley Citation Style_1">
    <vt:lpwstr>http://www.zotero.org/styles/the-isme-journal</vt:lpwstr>
  </property>
</Properties>
</file>