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F07CC9" w14:textId="25F0259B" w:rsidR="00F77A1D" w:rsidRDefault="00F77A1D" w:rsidP="00815429">
      <w:pPr>
        <w:jc w:val="center"/>
        <w:rPr>
          <w:rStyle w:val="fontstyle01"/>
          <w:rFonts w:ascii="Arial" w:hAnsi="Arial" w:cs="Arial"/>
          <w:lang w:val="sv-SE"/>
        </w:rPr>
      </w:pPr>
    </w:p>
    <w:p w14:paraId="3E51B0E6" w14:textId="77777777" w:rsidR="00736126" w:rsidRPr="007B2CE1" w:rsidRDefault="00736126" w:rsidP="00736126">
      <w:pPr>
        <w:jc w:val="center"/>
        <w:rPr>
          <w:rStyle w:val="fontstyle01"/>
          <w:rFonts w:ascii="Arial" w:hAnsi="Arial" w:cs="Arial"/>
          <w:lang w:val="sv-SE"/>
        </w:rPr>
      </w:pPr>
      <w:r w:rsidRPr="007B2CE1">
        <w:rPr>
          <w:rStyle w:val="fontstyle01"/>
          <w:rFonts w:ascii="Arial" w:hAnsi="Arial" w:cs="Arial"/>
          <w:noProof/>
          <w:lang w:val="sv-SE"/>
        </w:rPr>
        <w:drawing>
          <wp:inline distT="0" distB="0" distL="0" distR="0" wp14:anchorId="5DBFAF41" wp14:editId="17F7BDA2">
            <wp:extent cx="6326373" cy="8415215"/>
            <wp:effectExtent l="0" t="0" r="0" b="5080"/>
            <wp:docPr id="44814385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30594" cy="8420830"/>
                    </a:xfrm>
                    <a:prstGeom prst="rect">
                      <a:avLst/>
                    </a:prstGeom>
                    <a:noFill/>
                    <a:ln>
                      <a:noFill/>
                    </a:ln>
                  </pic:spPr>
                </pic:pic>
              </a:graphicData>
            </a:graphic>
          </wp:inline>
        </w:drawing>
      </w:r>
    </w:p>
    <w:p w14:paraId="5D3CD5D4" w14:textId="79369727" w:rsidR="00F77A1D" w:rsidRPr="007B2CE1" w:rsidRDefault="00815429" w:rsidP="00736126">
      <w:pPr>
        <w:jc w:val="center"/>
        <w:rPr>
          <w:rFonts w:ascii="Arial" w:hAnsi="Arial" w:cs="Arial"/>
          <w:color w:val="000000"/>
          <w:sz w:val="20"/>
          <w:szCs w:val="20"/>
          <w:lang w:val="sv-SE"/>
        </w:rPr>
      </w:pPr>
      <w:r w:rsidRPr="007B2CE1">
        <w:rPr>
          <w:rFonts w:ascii="Arial" w:hAnsi="Arial" w:cs="Arial"/>
          <w:b/>
        </w:rPr>
        <w:lastRenderedPageBreak/>
        <w:t xml:space="preserve">This Supporting Information </w:t>
      </w:r>
      <w:r w:rsidR="00772E25" w:rsidRPr="007B2CE1">
        <w:rPr>
          <w:rFonts w:ascii="Arial" w:hAnsi="Arial" w:cs="Arial"/>
          <w:b/>
        </w:rPr>
        <w:t>A</w:t>
      </w:r>
      <w:r w:rsidRPr="007B2CE1">
        <w:rPr>
          <w:rFonts w:ascii="Arial" w:hAnsi="Arial" w:cs="Arial"/>
          <w:b/>
        </w:rPr>
        <w:t xml:space="preserve"> (SI</w:t>
      </w:r>
      <w:r w:rsidR="00772E25" w:rsidRPr="007B2CE1">
        <w:rPr>
          <w:rFonts w:ascii="Arial" w:hAnsi="Arial" w:cs="Arial"/>
          <w:b/>
        </w:rPr>
        <w:t>_A</w:t>
      </w:r>
      <w:r w:rsidRPr="007B2CE1">
        <w:rPr>
          <w:rFonts w:ascii="Arial" w:hAnsi="Arial" w:cs="Arial"/>
          <w:b/>
        </w:rPr>
        <w:t>) contains</w:t>
      </w:r>
      <w:r w:rsidR="00A550EF" w:rsidRPr="007B2CE1">
        <w:rPr>
          <w:rFonts w:ascii="Arial" w:hAnsi="Arial" w:cs="Arial"/>
          <w:b/>
        </w:rPr>
        <w:t xml:space="preserve"> </w:t>
      </w:r>
      <w:r w:rsidR="00CD7391" w:rsidRPr="007B2CE1">
        <w:rPr>
          <w:rFonts w:ascii="Arial" w:hAnsi="Arial" w:cs="Arial"/>
          <w:b/>
        </w:rPr>
        <w:t>11</w:t>
      </w:r>
      <w:r w:rsidR="00D03CCE" w:rsidRPr="007B2CE1">
        <w:rPr>
          <w:rFonts w:ascii="Arial" w:hAnsi="Arial" w:cs="Arial"/>
          <w:b/>
        </w:rPr>
        <w:t xml:space="preserve"> texts, </w:t>
      </w:r>
      <w:r w:rsidR="00CD7391" w:rsidRPr="007B2CE1">
        <w:rPr>
          <w:rFonts w:ascii="Arial" w:hAnsi="Arial" w:cs="Arial"/>
          <w:b/>
        </w:rPr>
        <w:t>33</w:t>
      </w:r>
      <w:r w:rsidR="00A550EF" w:rsidRPr="007B2CE1">
        <w:rPr>
          <w:rFonts w:ascii="Arial" w:hAnsi="Arial" w:cs="Arial"/>
          <w:b/>
        </w:rPr>
        <w:t xml:space="preserve"> </w:t>
      </w:r>
      <w:r w:rsidR="004623C5" w:rsidRPr="007B2CE1">
        <w:rPr>
          <w:rFonts w:ascii="Arial" w:hAnsi="Arial" w:cs="Arial"/>
          <w:b/>
        </w:rPr>
        <w:t>figures</w:t>
      </w:r>
      <w:r w:rsidR="00D03CCE" w:rsidRPr="007B2CE1">
        <w:rPr>
          <w:rFonts w:ascii="Arial" w:hAnsi="Arial" w:cs="Arial"/>
          <w:b/>
        </w:rPr>
        <w:t xml:space="preserve"> and</w:t>
      </w:r>
      <w:r w:rsidR="00FC78DD" w:rsidRPr="007B2CE1">
        <w:rPr>
          <w:rFonts w:ascii="Arial" w:hAnsi="Arial" w:cs="Arial"/>
          <w:b/>
        </w:rPr>
        <w:t xml:space="preserve"> </w:t>
      </w:r>
      <w:r w:rsidR="00CD7391" w:rsidRPr="007B2CE1">
        <w:rPr>
          <w:rFonts w:ascii="Arial" w:hAnsi="Arial" w:cs="Arial"/>
          <w:b/>
        </w:rPr>
        <w:t>4</w:t>
      </w:r>
      <w:r w:rsidR="004623C5" w:rsidRPr="007B2CE1">
        <w:rPr>
          <w:rFonts w:ascii="Arial" w:hAnsi="Arial" w:cs="Arial"/>
          <w:b/>
        </w:rPr>
        <w:t xml:space="preserve"> </w:t>
      </w:r>
      <w:r w:rsidRPr="007B2CE1">
        <w:rPr>
          <w:rFonts w:ascii="Arial" w:hAnsi="Arial" w:cs="Arial"/>
          <w:b/>
        </w:rPr>
        <w:t>tables.</w:t>
      </w:r>
    </w:p>
    <w:p w14:paraId="21B802A9" w14:textId="129CF836" w:rsidR="00815429" w:rsidRPr="007B2CE1" w:rsidRDefault="00F77A1D" w:rsidP="00BB644F">
      <w:pPr>
        <w:rPr>
          <w:rFonts w:ascii="Arial" w:hAnsi="Arial" w:cs="Arial"/>
          <w:b/>
        </w:rPr>
      </w:pPr>
      <w:r w:rsidRPr="007B2CE1">
        <w:rPr>
          <w:rFonts w:ascii="Arial" w:hAnsi="Arial" w:cs="Arial"/>
          <w:b/>
        </w:rPr>
        <w:br w:type="page"/>
      </w:r>
    </w:p>
    <w:sdt>
      <w:sdtPr>
        <w:rPr>
          <w:rFonts w:ascii="Arial" w:eastAsiaTheme="minorEastAsia" w:hAnsi="Arial" w:cs="Arial"/>
          <w:color w:val="auto"/>
          <w:sz w:val="22"/>
          <w:szCs w:val="22"/>
          <w:lang w:val="en-GB"/>
        </w:rPr>
        <w:id w:val="912594869"/>
        <w:docPartObj>
          <w:docPartGallery w:val="Table of Contents"/>
          <w:docPartUnique/>
        </w:docPartObj>
      </w:sdtPr>
      <w:sdtEndPr>
        <w:rPr>
          <w:b/>
          <w:bCs/>
          <w:noProof/>
        </w:rPr>
      </w:sdtEndPr>
      <w:sdtContent>
        <w:p w14:paraId="404AA225" w14:textId="1DDF50FE" w:rsidR="004E3A2F" w:rsidRPr="007B2CE1" w:rsidRDefault="004E3A2F">
          <w:pPr>
            <w:pStyle w:val="TOCHeading"/>
            <w:rPr>
              <w:rFonts w:ascii="Arial" w:hAnsi="Arial" w:cs="Arial"/>
            </w:rPr>
          </w:pPr>
          <w:r w:rsidRPr="007B2CE1">
            <w:rPr>
              <w:rFonts w:ascii="Arial" w:hAnsi="Arial" w:cs="Arial"/>
            </w:rPr>
            <w:t>Contents</w:t>
          </w:r>
        </w:p>
        <w:p w14:paraId="64435CB8" w14:textId="67103370" w:rsidR="00BB644F" w:rsidRPr="007B2CE1" w:rsidRDefault="004E3A2F">
          <w:pPr>
            <w:pStyle w:val="TOC1"/>
            <w:tabs>
              <w:tab w:val="right" w:leader="dot" w:pos="9016"/>
            </w:tabs>
            <w:rPr>
              <w:rStyle w:val="Hyperlink"/>
            </w:rPr>
          </w:pPr>
          <w:r w:rsidRPr="007B2CE1">
            <w:rPr>
              <w:rFonts w:ascii="Arial" w:hAnsi="Arial" w:cs="Arial"/>
            </w:rPr>
            <w:fldChar w:fldCharType="begin"/>
          </w:r>
          <w:r w:rsidRPr="007B2CE1">
            <w:rPr>
              <w:rFonts w:ascii="Arial" w:hAnsi="Arial" w:cs="Arial"/>
            </w:rPr>
            <w:instrText xml:space="preserve"> TOC \o "1-3" \h \z \u </w:instrText>
          </w:r>
          <w:r w:rsidRPr="007B2CE1">
            <w:rPr>
              <w:rFonts w:ascii="Arial" w:hAnsi="Arial" w:cs="Arial"/>
            </w:rPr>
            <w:fldChar w:fldCharType="separate"/>
          </w:r>
          <w:hyperlink w:anchor="_Toc161066324" w:history="1">
            <w:r w:rsidR="00BB644F" w:rsidRPr="007B2CE1">
              <w:rPr>
                <w:rStyle w:val="Hyperlink"/>
                <w:noProof/>
              </w:rPr>
              <w:t>Text S1 – Details on consumer products</w:t>
            </w:r>
            <w:r w:rsidR="00BB644F" w:rsidRPr="007B2CE1">
              <w:rPr>
                <w:rStyle w:val="Hyperlink"/>
                <w:webHidden/>
              </w:rPr>
              <w:tab/>
            </w:r>
            <w:r w:rsidR="00BB644F" w:rsidRPr="007B2CE1">
              <w:rPr>
                <w:rStyle w:val="Hyperlink"/>
                <w:webHidden/>
              </w:rPr>
              <w:fldChar w:fldCharType="begin"/>
            </w:r>
            <w:r w:rsidR="00BB644F" w:rsidRPr="007B2CE1">
              <w:rPr>
                <w:rStyle w:val="Hyperlink"/>
                <w:webHidden/>
              </w:rPr>
              <w:instrText xml:space="preserve"> PAGEREF _Toc161066324 \h </w:instrText>
            </w:r>
            <w:r w:rsidR="00BB644F" w:rsidRPr="007B2CE1">
              <w:rPr>
                <w:rStyle w:val="Hyperlink"/>
                <w:webHidden/>
              </w:rPr>
            </w:r>
            <w:r w:rsidR="00BB644F" w:rsidRPr="007B2CE1">
              <w:rPr>
                <w:rStyle w:val="Hyperlink"/>
                <w:webHidden/>
              </w:rPr>
              <w:fldChar w:fldCharType="separate"/>
            </w:r>
            <w:r w:rsidR="00BB644F" w:rsidRPr="007B2CE1">
              <w:rPr>
                <w:rStyle w:val="Hyperlink"/>
                <w:webHidden/>
              </w:rPr>
              <w:t>4</w:t>
            </w:r>
            <w:r w:rsidR="00BB644F" w:rsidRPr="007B2CE1">
              <w:rPr>
                <w:rStyle w:val="Hyperlink"/>
                <w:webHidden/>
              </w:rPr>
              <w:fldChar w:fldCharType="end"/>
            </w:r>
          </w:hyperlink>
        </w:p>
        <w:p w14:paraId="0748F250" w14:textId="4033C61F" w:rsidR="00BB644F" w:rsidRPr="007B2CE1" w:rsidRDefault="00000000">
          <w:pPr>
            <w:pStyle w:val="TOC1"/>
            <w:tabs>
              <w:tab w:val="right" w:leader="dot" w:pos="9016"/>
            </w:tabs>
            <w:rPr>
              <w:rStyle w:val="Hyperlink"/>
            </w:rPr>
          </w:pPr>
          <w:hyperlink w:anchor="_Toc161066325" w:history="1">
            <w:r w:rsidR="00BB644F" w:rsidRPr="007B2CE1">
              <w:rPr>
                <w:rStyle w:val="Hyperlink"/>
                <w:noProof/>
              </w:rPr>
              <w:t>Text S2 - Determination of UV-irradiation</w:t>
            </w:r>
            <w:r w:rsidR="00BB644F" w:rsidRPr="007B2CE1">
              <w:rPr>
                <w:rStyle w:val="Hyperlink"/>
                <w:webHidden/>
              </w:rPr>
              <w:tab/>
            </w:r>
            <w:r w:rsidR="00BB644F" w:rsidRPr="007B2CE1">
              <w:rPr>
                <w:rStyle w:val="Hyperlink"/>
                <w:webHidden/>
              </w:rPr>
              <w:fldChar w:fldCharType="begin"/>
            </w:r>
            <w:r w:rsidR="00BB644F" w:rsidRPr="007B2CE1">
              <w:rPr>
                <w:rStyle w:val="Hyperlink"/>
                <w:webHidden/>
              </w:rPr>
              <w:instrText xml:space="preserve"> PAGEREF _Toc161066325 \h </w:instrText>
            </w:r>
            <w:r w:rsidR="00BB644F" w:rsidRPr="007B2CE1">
              <w:rPr>
                <w:rStyle w:val="Hyperlink"/>
                <w:webHidden/>
              </w:rPr>
            </w:r>
            <w:r w:rsidR="00BB644F" w:rsidRPr="007B2CE1">
              <w:rPr>
                <w:rStyle w:val="Hyperlink"/>
                <w:webHidden/>
              </w:rPr>
              <w:fldChar w:fldCharType="separate"/>
            </w:r>
            <w:r w:rsidR="00BB644F" w:rsidRPr="007B2CE1">
              <w:rPr>
                <w:rStyle w:val="Hyperlink"/>
                <w:webHidden/>
              </w:rPr>
              <w:t>4</w:t>
            </w:r>
            <w:r w:rsidR="00BB644F" w:rsidRPr="007B2CE1">
              <w:rPr>
                <w:rStyle w:val="Hyperlink"/>
                <w:webHidden/>
              </w:rPr>
              <w:fldChar w:fldCharType="end"/>
            </w:r>
          </w:hyperlink>
        </w:p>
        <w:p w14:paraId="14849705" w14:textId="35C5BAED" w:rsidR="00BB644F" w:rsidRPr="007B2CE1" w:rsidRDefault="00000000">
          <w:pPr>
            <w:pStyle w:val="TOC1"/>
            <w:tabs>
              <w:tab w:val="right" w:leader="dot" w:pos="9016"/>
            </w:tabs>
            <w:rPr>
              <w:rFonts w:eastAsiaTheme="minorEastAsia"/>
              <w:noProof/>
              <w:kern w:val="2"/>
              <w:lang w:val="en-US"/>
              <w14:ligatures w14:val="standardContextual"/>
            </w:rPr>
          </w:pPr>
          <w:hyperlink w:anchor="_Toc161066326" w:history="1">
            <w:r w:rsidR="00BB644F" w:rsidRPr="007B2CE1">
              <w:rPr>
                <w:rStyle w:val="Hyperlink"/>
                <w:noProof/>
              </w:rPr>
              <w:t>Text S3 – More details on LDIR imaging</w:t>
            </w:r>
            <w:r w:rsidR="00BB644F" w:rsidRPr="007B2CE1">
              <w:rPr>
                <w:noProof/>
                <w:webHidden/>
              </w:rPr>
              <w:tab/>
            </w:r>
            <w:r w:rsidR="00BB644F" w:rsidRPr="007B2CE1">
              <w:rPr>
                <w:noProof/>
                <w:webHidden/>
              </w:rPr>
              <w:fldChar w:fldCharType="begin"/>
            </w:r>
            <w:r w:rsidR="00BB644F" w:rsidRPr="007B2CE1">
              <w:rPr>
                <w:noProof/>
                <w:webHidden/>
              </w:rPr>
              <w:instrText xml:space="preserve"> PAGEREF _Toc161066326 \h </w:instrText>
            </w:r>
            <w:r w:rsidR="00BB644F" w:rsidRPr="007B2CE1">
              <w:rPr>
                <w:noProof/>
                <w:webHidden/>
              </w:rPr>
            </w:r>
            <w:r w:rsidR="00BB644F" w:rsidRPr="007B2CE1">
              <w:rPr>
                <w:noProof/>
                <w:webHidden/>
              </w:rPr>
              <w:fldChar w:fldCharType="separate"/>
            </w:r>
            <w:r w:rsidR="00BB644F" w:rsidRPr="007B2CE1">
              <w:rPr>
                <w:noProof/>
                <w:webHidden/>
              </w:rPr>
              <w:t>5</w:t>
            </w:r>
            <w:r w:rsidR="00BB644F" w:rsidRPr="007B2CE1">
              <w:rPr>
                <w:noProof/>
                <w:webHidden/>
              </w:rPr>
              <w:fldChar w:fldCharType="end"/>
            </w:r>
          </w:hyperlink>
        </w:p>
        <w:p w14:paraId="3DA257E2" w14:textId="1FF16878" w:rsidR="00BB644F" w:rsidRPr="007B2CE1" w:rsidRDefault="00000000">
          <w:pPr>
            <w:pStyle w:val="TOC1"/>
            <w:tabs>
              <w:tab w:val="right" w:leader="dot" w:pos="9016"/>
            </w:tabs>
            <w:rPr>
              <w:rFonts w:eastAsiaTheme="minorEastAsia"/>
              <w:noProof/>
              <w:kern w:val="2"/>
              <w:lang w:val="en-US"/>
              <w14:ligatures w14:val="standardContextual"/>
            </w:rPr>
          </w:pPr>
          <w:hyperlink w:anchor="_Toc161066327" w:history="1">
            <w:r w:rsidR="00BB644F" w:rsidRPr="007B2CE1">
              <w:rPr>
                <w:rStyle w:val="Hyperlink"/>
                <w:noProof/>
              </w:rPr>
              <w:t>Text S4 – Details on NTS analytical method</w:t>
            </w:r>
            <w:r w:rsidR="00BB644F" w:rsidRPr="007B2CE1">
              <w:rPr>
                <w:noProof/>
                <w:webHidden/>
              </w:rPr>
              <w:tab/>
            </w:r>
            <w:r w:rsidR="00BB644F" w:rsidRPr="007B2CE1">
              <w:rPr>
                <w:noProof/>
                <w:webHidden/>
              </w:rPr>
              <w:fldChar w:fldCharType="begin"/>
            </w:r>
            <w:r w:rsidR="00BB644F" w:rsidRPr="007B2CE1">
              <w:rPr>
                <w:noProof/>
                <w:webHidden/>
              </w:rPr>
              <w:instrText xml:space="preserve"> PAGEREF _Toc161066327 \h </w:instrText>
            </w:r>
            <w:r w:rsidR="00BB644F" w:rsidRPr="007B2CE1">
              <w:rPr>
                <w:noProof/>
                <w:webHidden/>
              </w:rPr>
            </w:r>
            <w:r w:rsidR="00BB644F" w:rsidRPr="007B2CE1">
              <w:rPr>
                <w:noProof/>
                <w:webHidden/>
              </w:rPr>
              <w:fldChar w:fldCharType="separate"/>
            </w:r>
            <w:r w:rsidR="00BB644F" w:rsidRPr="007B2CE1">
              <w:rPr>
                <w:noProof/>
                <w:webHidden/>
              </w:rPr>
              <w:t>5</w:t>
            </w:r>
            <w:r w:rsidR="00BB644F" w:rsidRPr="007B2CE1">
              <w:rPr>
                <w:noProof/>
                <w:webHidden/>
              </w:rPr>
              <w:fldChar w:fldCharType="end"/>
            </w:r>
          </w:hyperlink>
        </w:p>
        <w:p w14:paraId="1812545E" w14:textId="218067C0" w:rsidR="00BB644F" w:rsidRPr="007B2CE1" w:rsidRDefault="00000000">
          <w:pPr>
            <w:pStyle w:val="TOC1"/>
            <w:tabs>
              <w:tab w:val="right" w:leader="dot" w:pos="9016"/>
            </w:tabs>
            <w:rPr>
              <w:rFonts w:eastAsiaTheme="minorEastAsia"/>
              <w:noProof/>
              <w:kern w:val="2"/>
              <w:lang w:val="en-US"/>
              <w14:ligatures w14:val="standardContextual"/>
            </w:rPr>
          </w:pPr>
          <w:hyperlink w:anchor="_Toc161066328" w:history="1">
            <w:r w:rsidR="00BB644F" w:rsidRPr="007B2CE1">
              <w:rPr>
                <w:rStyle w:val="Hyperlink"/>
                <w:noProof/>
              </w:rPr>
              <w:t>Text S5 – Details on the sample preparation Plastics for ICP-MSMS analysis</w:t>
            </w:r>
            <w:r w:rsidR="00BB644F" w:rsidRPr="007B2CE1">
              <w:rPr>
                <w:noProof/>
                <w:webHidden/>
              </w:rPr>
              <w:tab/>
            </w:r>
            <w:r w:rsidR="00BB644F" w:rsidRPr="007B2CE1">
              <w:rPr>
                <w:noProof/>
                <w:webHidden/>
              </w:rPr>
              <w:fldChar w:fldCharType="begin"/>
            </w:r>
            <w:r w:rsidR="00BB644F" w:rsidRPr="007B2CE1">
              <w:rPr>
                <w:noProof/>
                <w:webHidden/>
              </w:rPr>
              <w:instrText xml:space="preserve"> PAGEREF _Toc161066328 \h </w:instrText>
            </w:r>
            <w:r w:rsidR="00BB644F" w:rsidRPr="007B2CE1">
              <w:rPr>
                <w:noProof/>
                <w:webHidden/>
              </w:rPr>
            </w:r>
            <w:r w:rsidR="00BB644F" w:rsidRPr="007B2CE1">
              <w:rPr>
                <w:noProof/>
                <w:webHidden/>
              </w:rPr>
              <w:fldChar w:fldCharType="separate"/>
            </w:r>
            <w:r w:rsidR="00BB644F" w:rsidRPr="007B2CE1">
              <w:rPr>
                <w:noProof/>
                <w:webHidden/>
              </w:rPr>
              <w:t>6</w:t>
            </w:r>
            <w:r w:rsidR="00BB644F" w:rsidRPr="007B2CE1">
              <w:rPr>
                <w:noProof/>
                <w:webHidden/>
              </w:rPr>
              <w:fldChar w:fldCharType="end"/>
            </w:r>
          </w:hyperlink>
        </w:p>
        <w:p w14:paraId="123B56C5" w14:textId="175A0E0C" w:rsidR="00BB644F" w:rsidRPr="007B2CE1" w:rsidRDefault="00000000">
          <w:pPr>
            <w:pStyle w:val="TOC1"/>
            <w:tabs>
              <w:tab w:val="right" w:leader="dot" w:pos="9016"/>
            </w:tabs>
            <w:rPr>
              <w:rFonts w:eastAsiaTheme="minorEastAsia"/>
              <w:noProof/>
              <w:kern w:val="2"/>
              <w:lang w:val="en-US"/>
              <w14:ligatures w14:val="standardContextual"/>
            </w:rPr>
          </w:pPr>
          <w:hyperlink w:anchor="_Toc161066329" w:history="1">
            <w:r w:rsidR="00BB644F" w:rsidRPr="007B2CE1">
              <w:rPr>
                <w:rStyle w:val="Hyperlink"/>
                <w:noProof/>
              </w:rPr>
              <w:t>Text S6 – Details on the ICP-MS/MS data evaluation</w:t>
            </w:r>
            <w:r w:rsidR="00BB644F" w:rsidRPr="007B2CE1">
              <w:rPr>
                <w:noProof/>
                <w:webHidden/>
              </w:rPr>
              <w:tab/>
            </w:r>
            <w:r w:rsidR="00BB644F" w:rsidRPr="007B2CE1">
              <w:rPr>
                <w:noProof/>
                <w:webHidden/>
              </w:rPr>
              <w:fldChar w:fldCharType="begin"/>
            </w:r>
            <w:r w:rsidR="00BB644F" w:rsidRPr="007B2CE1">
              <w:rPr>
                <w:noProof/>
                <w:webHidden/>
              </w:rPr>
              <w:instrText xml:space="preserve"> PAGEREF _Toc161066329 \h </w:instrText>
            </w:r>
            <w:r w:rsidR="00BB644F" w:rsidRPr="007B2CE1">
              <w:rPr>
                <w:noProof/>
                <w:webHidden/>
              </w:rPr>
            </w:r>
            <w:r w:rsidR="00BB644F" w:rsidRPr="007B2CE1">
              <w:rPr>
                <w:noProof/>
                <w:webHidden/>
              </w:rPr>
              <w:fldChar w:fldCharType="separate"/>
            </w:r>
            <w:r w:rsidR="00BB644F" w:rsidRPr="007B2CE1">
              <w:rPr>
                <w:noProof/>
                <w:webHidden/>
              </w:rPr>
              <w:t>6</w:t>
            </w:r>
            <w:r w:rsidR="00BB644F" w:rsidRPr="007B2CE1">
              <w:rPr>
                <w:noProof/>
                <w:webHidden/>
              </w:rPr>
              <w:fldChar w:fldCharType="end"/>
            </w:r>
          </w:hyperlink>
        </w:p>
        <w:p w14:paraId="097C7506" w14:textId="3689BF0F" w:rsidR="00BB644F" w:rsidRPr="007B2CE1" w:rsidRDefault="00000000">
          <w:pPr>
            <w:pStyle w:val="TOC1"/>
            <w:tabs>
              <w:tab w:val="right" w:leader="dot" w:pos="9016"/>
            </w:tabs>
            <w:rPr>
              <w:rFonts w:eastAsiaTheme="minorEastAsia"/>
              <w:noProof/>
              <w:kern w:val="2"/>
              <w:lang w:val="en-US"/>
              <w14:ligatures w14:val="standardContextual"/>
            </w:rPr>
          </w:pPr>
          <w:hyperlink w:anchor="_Toc161066330" w:history="1">
            <w:r w:rsidR="00BB644F" w:rsidRPr="007B2CE1">
              <w:rPr>
                <w:rStyle w:val="Hyperlink"/>
                <w:noProof/>
              </w:rPr>
              <w:t>Text S7 – Details on the sample preparation for targeted analysis</w:t>
            </w:r>
            <w:r w:rsidR="00BB644F" w:rsidRPr="007B2CE1">
              <w:rPr>
                <w:noProof/>
                <w:webHidden/>
              </w:rPr>
              <w:tab/>
            </w:r>
            <w:r w:rsidR="00BB644F" w:rsidRPr="007B2CE1">
              <w:rPr>
                <w:noProof/>
                <w:webHidden/>
              </w:rPr>
              <w:fldChar w:fldCharType="begin"/>
            </w:r>
            <w:r w:rsidR="00BB644F" w:rsidRPr="007B2CE1">
              <w:rPr>
                <w:noProof/>
                <w:webHidden/>
              </w:rPr>
              <w:instrText xml:space="preserve"> PAGEREF _Toc161066330 \h </w:instrText>
            </w:r>
            <w:r w:rsidR="00BB644F" w:rsidRPr="007B2CE1">
              <w:rPr>
                <w:noProof/>
                <w:webHidden/>
              </w:rPr>
            </w:r>
            <w:r w:rsidR="00BB644F" w:rsidRPr="007B2CE1">
              <w:rPr>
                <w:noProof/>
                <w:webHidden/>
              </w:rPr>
              <w:fldChar w:fldCharType="separate"/>
            </w:r>
            <w:r w:rsidR="00BB644F" w:rsidRPr="007B2CE1">
              <w:rPr>
                <w:noProof/>
                <w:webHidden/>
              </w:rPr>
              <w:t>7</w:t>
            </w:r>
            <w:r w:rsidR="00BB644F" w:rsidRPr="007B2CE1">
              <w:rPr>
                <w:noProof/>
                <w:webHidden/>
              </w:rPr>
              <w:fldChar w:fldCharType="end"/>
            </w:r>
          </w:hyperlink>
        </w:p>
        <w:p w14:paraId="06A2162A" w14:textId="72B05B23" w:rsidR="00BB644F" w:rsidRPr="007B2CE1" w:rsidRDefault="00000000">
          <w:pPr>
            <w:pStyle w:val="TOC1"/>
            <w:tabs>
              <w:tab w:val="right" w:leader="dot" w:pos="9016"/>
            </w:tabs>
            <w:rPr>
              <w:rFonts w:eastAsiaTheme="minorEastAsia"/>
              <w:noProof/>
              <w:kern w:val="2"/>
              <w:lang w:val="en-US"/>
              <w14:ligatures w14:val="standardContextual"/>
            </w:rPr>
          </w:pPr>
          <w:hyperlink w:anchor="_Toc161066331" w:history="1">
            <w:r w:rsidR="00BB644F" w:rsidRPr="007B2CE1">
              <w:rPr>
                <w:rStyle w:val="Hyperlink"/>
                <w:noProof/>
              </w:rPr>
              <w:t>Text S8 – Details on the instrumental analysis for targeted analysis</w:t>
            </w:r>
            <w:r w:rsidR="00BB644F" w:rsidRPr="007B2CE1">
              <w:rPr>
                <w:noProof/>
                <w:webHidden/>
              </w:rPr>
              <w:tab/>
            </w:r>
            <w:r w:rsidR="00BB644F" w:rsidRPr="007B2CE1">
              <w:rPr>
                <w:noProof/>
                <w:webHidden/>
              </w:rPr>
              <w:fldChar w:fldCharType="begin"/>
            </w:r>
            <w:r w:rsidR="00BB644F" w:rsidRPr="007B2CE1">
              <w:rPr>
                <w:noProof/>
                <w:webHidden/>
              </w:rPr>
              <w:instrText xml:space="preserve"> PAGEREF _Toc161066331 \h </w:instrText>
            </w:r>
            <w:r w:rsidR="00BB644F" w:rsidRPr="007B2CE1">
              <w:rPr>
                <w:noProof/>
                <w:webHidden/>
              </w:rPr>
            </w:r>
            <w:r w:rsidR="00BB644F" w:rsidRPr="007B2CE1">
              <w:rPr>
                <w:noProof/>
                <w:webHidden/>
              </w:rPr>
              <w:fldChar w:fldCharType="separate"/>
            </w:r>
            <w:r w:rsidR="00BB644F" w:rsidRPr="007B2CE1">
              <w:rPr>
                <w:noProof/>
                <w:webHidden/>
              </w:rPr>
              <w:t>8</w:t>
            </w:r>
            <w:r w:rsidR="00BB644F" w:rsidRPr="007B2CE1">
              <w:rPr>
                <w:noProof/>
                <w:webHidden/>
              </w:rPr>
              <w:fldChar w:fldCharType="end"/>
            </w:r>
          </w:hyperlink>
        </w:p>
        <w:p w14:paraId="1338F877" w14:textId="74937B22" w:rsidR="00BB644F" w:rsidRPr="007B2CE1" w:rsidRDefault="00000000">
          <w:pPr>
            <w:pStyle w:val="TOC1"/>
            <w:tabs>
              <w:tab w:val="right" w:leader="dot" w:pos="9016"/>
            </w:tabs>
            <w:rPr>
              <w:rFonts w:eastAsiaTheme="minorEastAsia"/>
              <w:noProof/>
              <w:kern w:val="2"/>
              <w:lang w:val="en-US"/>
              <w14:ligatures w14:val="standardContextual"/>
            </w:rPr>
          </w:pPr>
          <w:hyperlink w:anchor="_Toc161066332" w:history="1">
            <w:r w:rsidR="00BB644F" w:rsidRPr="007B2CE1">
              <w:rPr>
                <w:rStyle w:val="Hyperlink"/>
                <w:noProof/>
              </w:rPr>
              <w:t>Text S9 – Results of the chemical characterization using HRMS for the individual consumer products</w:t>
            </w:r>
            <w:r w:rsidR="00BB644F" w:rsidRPr="007B2CE1">
              <w:rPr>
                <w:noProof/>
                <w:webHidden/>
              </w:rPr>
              <w:tab/>
            </w:r>
            <w:r w:rsidR="00BB644F" w:rsidRPr="007B2CE1">
              <w:rPr>
                <w:noProof/>
                <w:webHidden/>
              </w:rPr>
              <w:fldChar w:fldCharType="begin"/>
            </w:r>
            <w:r w:rsidR="00BB644F" w:rsidRPr="007B2CE1">
              <w:rPr>
                <w:noProof/>
                <w:webHidden/>
              </w:rPr>
              <w:instrText xml:space="preserve"> PAGEREF _Toc161066332 \h </w:instrText>
            </w:r>
            <w:r w:rsidR="00BB644F" w:rsidRPr="007B2CE1">
              <w:rPr>
                <w:noProof/>
                <w:webHidden/>
              </w:rPr>
            </w:r>
            <w:r w:rsidR="00BB644F" w:rsidRPr="007B2CE1">
              <w:rPr>
                <w:noProof/>
                <w:webHidden/>
              </w:rPr>
              <w:fldChar w:fldCharType="separate"/>
            </w:r>
            <w:r w:rsidR="00BB644F" w:rsidRPr="007B2CE1">
              <w:rPr>
                <w:noProof/>
                <w:webHidden/>
              </w:rPr>
              <w:t>8</w:t>
            </w:r>
            <w:r w:rsidR="00BB644F" w:rsidRPr="007B2CE1">
              <w:rPr>
                <w:noProof/>
                <w:webHidden/>
              </w:rPr>
              <w:fldChar w:fldCharType="end"/>
            </w:r>
          </w:hyperlink>
        </w:p>
        <w:p w14:paraId="0BA0B158" w14:textId="5204E4F5" w:rsidR="00BB644F" w:rsidRPr="007B2CE1" w:rsidRDefault="00000000">
          <w:pPr>
            <w:pStyle w:val="TOC1"/>
            <w:tabs>
              <w:tab w:val="right" w:leader="dot" w:pos="9016"/>
            </w:tabs>
            <w:rPr>
              <w:rFonts w:eastAsiaTheme="minorEastAsia"/>
              <w:noProof/>
              <w:kern w:val="2"/>
              <w:lang w:val="en-US"/>
              <w14:ligatures w14:val="standardContextual"/>
            </w:rPr>
          </w:pPr>
          <w:hyperlink w:anchor="_Toc161066333" w:history="1">
            <w:r w:rsidR="00BB644F" w:rsidRPr="007B2CE1">
              <w:rPr>
                <w:rStyle w:val="Hyperlink"/>
                <w:noProof/>
              </w:rPr>
              <w:t>Text S10 – Discussion on the results of the spiked mass-labelled standards</w:t>
            </w:r>
            <w:r w:rsidR="00BB644F" w:rsidRPr="007B2CE1">
              <w:rPr>
                <w:noProof/>
                <w:webHidden/>
              </w:rPr>
              <w:tab/>
            </w:r>
            <w:r w:rsidR="00BB644F" w:rsidRPr="007B2CE1">
              <w:rPr>
                <w:noProof/>
                <w:webHidden/>
              </w:rPr>
              <w:fldChar w:fldCharType="begin"/>
            </w:r>
            <w:r w:rsidR="00BB644F" w:rsidRPr="007B2CE1">
              <w:rPr>
                <w:noProof/>
                <w:webHidden/>
              </w:rPr>
              <w:instrText xml:space="preserve"> PAGEREF _Toc161066333 \h </w:instrText>
            </w:r>
            <w:r w:rsidR="00BB644F" w:rsidRPr="007B2CE1">
              <w:rPr>
                <w:noProof/>
                <w:webHidden/>
              </w:rPr>
            </w:r>
            <w:r w:rsidR="00BB644F" w:rsidRPr="007B2CE1">
              <w:rPr>
                <w:noProof/>
                <w:webHidden/>
              </w:rPr>
              <w:fldChar w:fldCharType="separate"/>
            </w:r>
            <w:r w:rsidR="00BB644F" w:rsidRPr="007B2CE1">
              <w:rPr>
                <w:noProof/>
                <w:webHidden/>
              </w:rPr>
              <w:t>9</w:t>
            </w:r>
            <w:r w:rsidR="00BB644F" w:rsidRPr="007B2CE1">
              <w:rPr>
                <w:noProof/>
                <w:webHidden/>
              </w:rPr>
              <w:fldChar w:fldCharType="end"/>
            </w:r>
          </w:hyperlink>
        </w:p>
        <w:p w14:paraId="2EC034B7" w14:textId="6B3450BE" w:rsidR="00BB644F" w:rsidRPr="007B2CE1" w:rsidRDefault="00000000">
          <w:pPr>
            <w:pStyle w:val="TOC1"/>
            <w:tabs>
              <w:tab w:val="right" w:leader="dot" w:pos="9016"/>
            </w:tabs>
            <w:rPr>
              <w:rFonts w:eastAsiaTheme="minorEastAsia"/>
              <w:noProof/>
              <w:kern w:val="2"/>
              <w:lang w:val="en-US"/>
              <w14:ligatures w14:val="standardContextual"/>
            </w:rPr>
          </w:pPr>
          <w:hyperlink w:anchor="_Toc161066334" w:history="1">
            <w:r w:rsidR="00BB644F" w:rsidRPr="007B2CE1">
              <w:rPr>
                <w:rStyle w:val="Hyperlink"/>
                <w:noProof/>
              </w:rPr>
              <w:t>Text S11 – Results of the targeted analysis for the individual consumer products</w:t>
            </w:r>
            <w:r w:rsidR="00BB644F" w:rsidRPr="007B2CE1">
              <w:rPr>
                <w:noProof/>
                <w:webHidden/>
              </w:rPr>
              <w:tab/>
            </w:r>
            <w:r w:rsidR="00BB644F" w:rsidRPr="007B2CE1">
              <w:rPr>
                <w:noProof/>
                <w:webHidden/>
              </w:rPr>
              <w:fldChar w:fldCharType="begin"/>
            </w:r>
            <w:r w:rsidR="00BB644F" w:rsidRPr="007B2CE1">
              <w:rPr>
                <w:noProof/>
                <w:webHidden/>
              </w:rPr>
              <w:instrText xml:space="preserve"> PAGEREF _Toc161066334 \h </w:instrText>
            </w:r>
            <w:r w:rsidR="00BB644F" w:rsidRPr="007B2CE1">
              <w:rPr>
                <w:noProof/>
                <w:webHidden/>
              </w:rPr>
            </w:r>
            <w:r w:rsidR="00BB644F" w:rsidRPr="007B2CE1">
              <w:rPr>
                <w:noProof/>
                <w:webHidden/>
              </w:rPr>
              <w:fldChar w:fldCharType="separate"/>
            </w:r>
            <w:r w:rsidR="00BB644F" w:rsidRPr="007B2CE1">
              <w:rPr>
                <w:noProof/>
                <w:webHidden/>
              </w:rPr>
              <w:t>10</w:t>
            </w:r>
            <w:r w:rsidR="00BB644F" w:rsidRPr="007B2CE1">
              <w:rPr>
                <w:noProof/>
                <w:webHidden/>
              </w:rPr>
              <w:fldChar w:fldCharType="end"/>
            </w:r>
          </w:hyperlink>
        </w:p>
        <w:p w14:paraId="1EB32FB7" w14:textId="03E4A989" w:rsidR="00BB644F" w:rsidRPr="007B2CE1" w:rsidRDefault="00000000">
          <w:pPr>
            <w:pStyle w:val="TOC1"/>
            <w:tabs>
              <w:tab w:val="right" w:leader="dot" w:pos="9016"/>
            </w:tabs>
            <w:rPr>
              <w:rStyle w:val="Hyperlink"/>
            </w:rPr>
          </w:pPr>
          <w:hyperlink w:anchor="_Toc161066335" w:history="1">
            <w:r w:rsidR="00BB644F" w:rsidRPr="007B2CE1">
              <w:rPr>
                <w:rStyle w:val="Hyperlink"/>
                <w:noProof/>
              </w:rPr>
              <w:t>Figures</w:t>
            </w:r>
            <w:r w:rsidR="00BB644F" w:rsidRPr="007B2CE1">
              <w:rPr>
                <w:rStyle w:val="Hyperlink"/>
                <w:webHidden/>
              </w:rPr>
              <w:tab/>
            </w:r>
            <w:r w:rsidR="00BB644F" w:rsidRPr="007B2CE1">
              <w:rPr>
                <w:rStyle w:val="Hyperlink"/>
                <w:webHidden/>
              </w:rPr>
              <w:fldChar w:fldCharType="begin"/>
            </w:r>
            <w:r w:rsidR="00BB644F" w:rsidRPr="007B2CE1">
              <w:rPr>
                <w:rStyle w:val="Hyperlink"/>
                <w:webHidden/>
              </w:rPr>
              <w:instrText xml:space="preserve"> PAGEREF _Toc161066335 \h </w:instrText>
            </w:r>
            <w:r w:rsidR="00BB644F" w:rsidRPr="007B2CE1">
              <w:rPr>
                <w:rStyle w:val="Hyperlink"/>
                <w:webHidden/>
              </w:rPr>
            </w:r>
            <w:r w:rsidR="00BB644F" w:rsidRPr="007B2CE1">
              <w:rPr>
                <w:rStyle w:val="Hyperlink"/>
                <w:webHidden/>
              </w:rPr>
              <w:fldChar w:fldCharType="separate"/>
            </w:r>
            <w:r w:rsidR="00BB644F" w:rsidRPr="007B2CE1">
              <w:rPr>
                <w:rStyle w:val="Hyperlink"/>
                <w:webHidden/>
              </w:rPr>
              <w:t>11</w:t>
            </w:r>
            <w:r w:rsidR="00BB644F" w:rsidRPr="007B2CE1">
              <w:rPr>
                <w:rStyle w:val="Hyperlink"/>
                <w:webHidden/>
              </w:rPr>
              <w:fldChar w:fldCharType="end"/>
            </w:r>
          </w:hyperlink>
        </w:p>
        <w:p w14:paraId="5B3A5426" w14:textId="7A33298B" w:rsidR="00BB644F" w:rsidRPr="007B2CE1" w:rsidRDefault="00000000">
          <w:pPr>
            <w:pStyle w:val="TOC1"/>
            <w:tabs>
              <w:tab w:val="right" w:leader="dot" w:pos="9016"/>
            </w:tabs>
            <w:rPr>
              <w:rStyle w:val="Hyperlink"/>
            </w:rPr>
          </w:pPr>
          <w:hyperlink w:anchor="_Toc161066336" w:history="1">
            <w:r w:rsidR="00BB644F" w:rsidRPr="007B2CE1">
              <w:rPr>
                <w:rStyle w:val="Hyperlink"/>
                <w:noProof/>
              </w:rPr>
              <w:t>Tables</w:t>
            </w:r>
            <w:r w:rsidR="00BB644F" w:rsidRPr="007B2CE1">
              <w:rPr>
                <w:rStyle w:val="Hyperlink"/>
                <w:webHidden/>
              </w:rPr>
              <w:tab/>
            </w:r>
            <w:r w:rsidR="00BB644F" w:rsidRPr="007B2CE1">
              <w:rPr>
                <w:rStyle w:val="Hyperlink"/>
                <w:webHidden/>
              </w:rPr>
              <w:fldChar w:fldCharType="begin"/>
            </w:r>
            <w:r w:rsidR="00BB644F" w:rsidRPr="007B2CE1">
              <w:rPr>
                <w:rStyle w:val="Hyperlink"/>
                <w:webHidden/>
              </w:rPr>
              <w:instrText xml:space="preserve"> PAGEREF _Toc161066336 \h </w:instrText>
            </w:r>
            <w:r w:rsidR="00BB644F" w:rsidRPr="007B2CE1">
              <w:rPr>
                <w:rStyle w:val="Hyperlink"/>
                <w:webHidden/>
              </w:rPr>
            </w:r>
            <w:r w:rsidR="00BB644F" w:rsidRPr="007B2CE1">
              <w:rPr>
                <w:rStyle w:val="Hyperlink"/>
                <w:webHidden/>
              </w:rPr>
              <w:fldChar w:fldCharType="separate"/>
            </w:r>
            <w:r w:rsidR="00BB644F" w:rsidRPr="007B2CE1">
              <w:rPr>
                <w:rStyle w:val="Hyperlink"/>
                <w:webHidden/>
              </w:rPr>
              <w:t>35</w:t>
            </w:r>
            <w:r w:rsidR="00BB644F" w:rsidRPr="007B2CE1">
              <w:rPr>
                <w:rStyle w:val="Hyperlink"/>
                <w:webHidden/>
              </w:rPr>
              <w:fldChar w:fldCharType="end"/>
            </w:r>
          </w:hyperlink>
        </w:p>
        <w:p w14:paraId="67BB1962" w14:textId="270EE536" w:rsidR="00BB644F" w:rsidRPr="007B2CE1" w:rsidRDefault="00000000">
          <w:pPr>
            <w:pStyle w:val="TOC1"/>
            <w:tabs>
              <w:tab w:val="right" w:leader="dot" w:pos="9016"/>
            </w:tabs>
            <w:rPr>
              <w:rStyle w:val="Hyperlink"/>
            </w:rPr>
          </w:pPr>
          <w:hyperlink w:anchor="_Toc161066337" w:history="1">
            <w:r w:rsidR="00BB644F" w:rsidRPr="007B2CE1">
              <w:rPr>
                <w:rStyle w:val="Hyperlink"/>
                <w:noProof/>
              </w:rPr>
              <w:t>References</w:t>
            </w:r>
            <w:r w:rsidR="00BB644F" w:rsidRPr="007B2CE1">
              <w:rPr>
                <w:rStyle w:val="Hyperlink"/>
                <w:webHidden/>
              </w:rPr>
              <w:tab/>
            </w:r>
            <w:r w:rsidR="00BB644F" w:rsidRPr="007B2CE1">
              <w:rPr>
                <w:rStyle w:val="Hyperlink"/>
                <w:webHidden/>
              </w:rPr>
              <w:fldChar w:fldCharType="begin"/>
            </w:r>
            <w:r w:rsidR="00BB644F" w:rsidRPr="007B2CE1">
              <w:rPr>
                <w:rStyle w:val="Hyperlink"/>
                <w:webHidden/>
              </w:rPr>
              <w:instrText xml:space="preserve"> PAGEREF _Toc161066337 \h </w:instrText>
            </w:r>
            <w:r w:rsidR="00BB644F" w:rsidRPr="007B2CE1">
              <w:rPr>
                <w:rStyle w:val="Hyperlink"/>
                <w:webHidden/>
              </w:rPr>
            </w:r>
            <w:r w:rsidR="00BB644F" w:rsidRPr="007B2CE1">
              <w:rPr>
                <w:rStyle w:val="Hyperlink"/>
                <w:webHidden/>
              </w:rPr>
              <w:fldChar w:fldCharType="separate"/>
            </w:r>
            <w:r w:rsidR="00BB644F" w:rsidRPr="007B2CE1">
              <w:rPr>
                <w:rStyle w:val="Hyperlink"/>
                <w:webHidden/>
              </w:rPr>
              <w:t>39</w:t>
            </w:r>
            <w:r w:rsidR="00BB644F" w:rsidRPr="007B2CE1">
              <w:rPr>
                <w:rStyle w:val="Hyperlink"/>
                <w:webHidden/>
              </w:rPr>
              <w:fldChar w:fldCharType="end"/>
            </w:r>
          </w:hyperlink>
        </w:p>
        <w:p w14:paraId="0A3B4A99" w14:textId="47E5DC7A" w:rsidR="008609C2" w:rsidRPr="007B2CE1" w:rsidRDefault="004E3A2F" w:rsidP="008609C2">
          <w:pPr>
            <w:rPr>
              <w:rFonts w:ascii="Arial" w:hAnsi="Arial" w:cs="Arial"/>
            </w:rPr>
          </w:pPr>
          <w:r w:rsidRPr="007B2CE1">
            <w:rPr>
              <w:rFonts w:ascii="Arial" w:hAnsi="Arial" w:cs="Arial"/>
              <w:b/>
              <w:bCs/>
              <w:noProof/>
            </w:rPr>
            <w:fldChar w:fldCharType="end"/>
          </w:r>
        </w:p>
      </w:sdtContent>
    </w:sdt>
    <w:p w14:paraId="2CC3090C" w14:textId="77777777" w:rsidR="00B0166F" w:rsidRPr="007B2CE1" w:rsidRDefault="00B0166F">
      <w:pPr>
        <w:rPr>
          <w:rFonts w:ascii="Arial" w:eastAsiaTheme="majorEastAsia" w:hAnsi="Arial" w:cs="Arial"/>
          <w:color w:val="2F5496" w:themeColor="accent1" w:themeShade="BF"/>
          <w:sz w:val="32"/>
          <w:szCs w:val="32"/>
          <w:lang w:val="en-US"/>
        </w:rPr>
      </w:pPr>
      <w:r w:rsidRPr="007B2CE1">
        <w:rPr>
          <w:rFonts w:ascii="Arial" w:hAnsi="Arial" w:cs="Arial"/>
        </w:rPr>
        <w:br w:type="page"/>
      </w:r>
    </w:p>
    <w:p w14:paraId="13F5C8AF" w14:textId="1DD5C3BE" w:rsidR="008609C2" w:rsidRPr="007B2CE1" w:rsidRDefault="009C23AB" w:rsidP="00962053">
      <w:pPr>
        <w:pStyle w:val="TOCHeading"/>
        <w:rPr>
          <w:rFonts w:ascii="Arial" w:hAnsi="Arial" w:cs="Arial"/>
        </w:rPr>
      </w:pPr>
      <w:r w:rsidRPr="007B2CE1">
        <w:rPr>
          <w:rFonts w:ascii="Arial" w:hAnsi="Arial" w:cs="Arial"/>
        </w:rPr>
        <w:lastRenderedPageBreak/>
        <w:t xml:space="preserve">List of </w:t>
      </w:r>
      <w:r w:rsidR="004C0F22" w:rsidRPr="007B2CE1">
        <w:rPr>
          <w:rFonts w:ascii="Arial" w:hAnsi="Arial" w:cs="Arial"/>
        </w:rPr>
        <w:t xml:space="preserve">figures </w:t>
      </w:r>
    </w:p>
    <w:p w14:paraId="723A3F6C" w14:textId="2B499ED4" w:rsidR="003A7DB4" w:rsidRPr="007B2CE1" w:rsidRDefault="008609C2">
      <w:pPr>
        <w:pStyle w:val="TableofFigures"/>
        <w:tabs>
          <w:tab w:val="right" w:leader="dot" w:pos="9016"/>
        </w:tabs>
        <w:rPr>
          <w:rFonts w:eastAsiaTheme="minorEastAsia"/>
          <w:noProof/>
          <w:kern w:val="2"/>
          <w:lang w:val="en-US"/>
          <w14:ligatures w14:val="standardContextual"/>
        </w:rPr>
      </w:pPr>
      <w:r w:rsidRPr="007B2CE1">
        <w:rPr>
          <w:lang w:val="en-US"/>
        </w:rPr>
        <w:fldChar w:fldCharType="begin"/>
      </w:r>
      <w:r w:rsidRPr="007B2CE1">
        <w:rPr>
          <w:lang w:val="en-US"/>
        </w:rPr>
        <w:instrText xml:space="preserve"> TOC \h \z \c "Figure" </w:instrText>
      </w:r>
      <w:r w:rsidRPr="007B2CE1">
        <w:rPr>
          <w:lang w:val="en-US"/>
        </w:rPr>
        <w:fldChar w:fldCharType="separate"/>
      </w:r>
      <w:hyperlink w:anchor="_Toc161783282" w:history="1">
        <w:r w:rsidR="003A7DB4" w:rsidRPr="007B2CE1">
          <w:rPr>
            <w:rStyle w:val="Hyperlink"/>
            <w:rFonts w:ascii="Arial" w:hAnsi="Arial" w:cs="Arial"/>
            <w:noProof/>
          </w:rPr>
          <w:t>Figure S1 Schematic illustration of the UV-chamber.</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_Toc161783282 \h </w:instrText>
        </w:r>
        <w:r w:rsidR="003A7DB4" w:rsidRPr="007B2CE1">
          <w:rPr>
            <w:noProof/>
            <w:webHidden/>
          </w:rPr>
        </w:r>
        <w:r w:rsidR="003A7DB4" w:rsidRPr="007B2CE1">
          <w:rPr>
            <w:noProof/>
            <w:webHidden/>
          </w:rPr>
          <w:fldChar w:fldCharType="separate"/>
        </w:r>
        <w:r w:rsidR="003A7DB4" w:rsidRPr="007B2CE1">
          <w:rPr>
            <w:noProof/>
            <w:webHidden/>
          </w:rPr>
          <w:t>15</w:t>
        </w:r>
        <w:r w:rsidR="003A7DB4" w:rsidRPr="007B2CE1">
          <w:rPr>
            <w:noProof/>
            <w:webHidden/>
          </w:rPr>
          <w:fldChar w:fldCharType="end"/>
        </w:r>
      </w:hyperlink>
    </w:p>
    <w:p w14:paraId="3FA0015A" w14:textId="6177C8AE"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83" w:history="1">
        <w:r w:rsidR="003A7DB4" w:rsidRPr="007B2CE1">
          <w:rPr>
            <w:rStyle w:val="Hyperlink"/>
            <w:rFonts w:ascii="Arial" w:hAnsi="Arial" w:cs="Arial"/>
            <w:noProof/>
          </w:rPr>
          <w:t>Figure S2. Pictures of c</w:t>
        </w:r>
        <w:r w:rsidR="003A7DB4" w:rsidRPr="007B2CE1">
          <w:rPr>
            <w:rStyle w:val="Hyperlink"/>
            <w:rFonts w:ascii="Arial" w:hAnsi="Arial" w:cs="Arial"/>
            <w:noProof/>
            <w:lang w:val="en-US"/>
          </w:rPr>
          <w:t>onsumer plastics after aging.</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_Toc161783283 \h </w:instrText>
        </w:r>
        <w:r w:rsidR="003A7DB4" w:rsidRPr="007B2CE1">
          <w:rPr>
            <w:noProof/>
            <w:webHidden/>
          </w:rPr>
        </w:r>
        <w:r w:rsidR="003A7DB4" w:rsidRPr="007B2CE1">
          <w:rPr>
            <w:noProof/>
            <w:webHidden/>
          </w:rPr>
          <w:fldChar w:fldCharType="separate"/>
        </w:r>
        <w:r w:rsidR="003A7DB4" w:rsidRPr="007B2CE1">
          <w:rPr>
            <w:noProof/>
            <w:webHidden/>
          </w:rPr>
          <w:t>15</w:t>
        </w:r>
        <w:r w:rsidR="003A7DB4" w:rsidRPr="007B2CE1">
          <w:rPr>
            <w:noProof/>
            <w:webHidden/>
          </w:rPr>
          <w:fldChar w:fldCharType="end"/>
        </w:r>
      </w:hyperlink>
    </w:p>
    <w:p w14:paraId="7860C1EB" w14:textId="4B5AA9BB"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84" w:history="1">
        <w:r w:rsidR="003A7DB4" w:rsidRPr="007B2CE1">
          <w:rPr>
            <w:rStyle w:val="Hyperlink"/>
            <w:rFonts w:ascii="Arial" w:hAnsi="Arial" w:cs="Arial"/>
            <w:noProof/>
          </w:rPr>
          <w:t>Figure S3 Size distribution of SAN and PET microplastics in leachates.</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_Toc161783284 \h </w:instrText>
        </w:r>
        <w:r w:rsidR="003A7DB4" w:rsidRPr="007B2CE1">
          <w:rPr>
            <w:noProof/>
            <w:webHidden/>
          </w:rPr>
        </w:r>
        <w:r w:rsidR="003A7DB4" w:rsidRPr="007B2CE1">
          <w:rPr>
            <w:noProof/>
            <w:webHidden/>
          </w:rPr>
          <w:fldChar w:fldCharType="separate"/>
        </w:r>
        <w:r w:rsidR="003A7DB4" w:rsidRPr="007B2CE1">
          <w:rPr>
            <w:noProof/>
            <w:webHidden/>
          </w:rPr>
          <w:t>16</w:t>
        </w:r>
        <w:r w:rsidR="003A7DB4" w:rsidRPr="007B2CE1">
          <w:rPr>
            <w:noProof/>
            <w:webHidden/>
          </w:rPr>
          <w:fldChar w:fldCharType="end"/>
        </w:r>
      </w:hyperlink>
    </w:p>
    <w:p w14:paraId="32FC479D" w14:textId="702E41B3"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85" w:history="1">
        <w:r w:rsidR="003A7DB4" w:rsidRPr="007B2CE1">
          <w:rPr>
            <w:rStyle w:val="Hyperlink"/>
            <w:rFonts w:ascii="Arial" w:hAnsi="Arial" w:cs="Arial"/>
            <w:noProof/>
          </w:rPr>
          <w:t>Figure S4. Number of features detected in each leachate.</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_Toc161783285 \h </w:instrText>
        </w:r>
        <w:r w:rsidR="003A7DB4" w:rsidRPr="007B2CE1">
          <w:rPr>
            <w:noProof/>
            <w:webHidden/>
          </w:rPr>
        </w:r>
        <w:r w:rsidR="003A7DB4" w:rsidRPr="007B2CE1">
          <w:rPr>
            <w:noProof/>
            <w:webHidden/>
          </w:rPr>
          <w:fldChar w:fldCharType="separate"/>
        </w:r>
        <w:r w:rsidR="003A7DB4" w:rsidRPr="007B2CE1">
          <w:rPr>
            <w:noProof/>
            <w:webHidden/>
          </w:rPr>
          <w:t>16</w:t>
        </w:r>
        <w:r w:rsidR="003A7DB4" w:rsidRPr="007B2CE1">
          <w:rPr>
            <w:noProof/>
            <w:webHidden/>
          </w:rPr>
          <w:fldChar w:fldCharType="end"/>
        </w:r>
      </w:hyperlink>
    </w:p>
    <w:p w14:paraId="1354139A" w14:textId="1761C4E5"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86" w:history="1">
        <w:r w:rsidR="003A7DB4" w:rsidRPr="007B2CE1">
          <w:rPr>
            <w:rStyle w:val="Hyperlink"/>
            <w:rFonts w:ascii="Arial" w:hAnsi="Arial" w:cs="Arial"/>
            <w:noProof/>
          </w:rPr>
          <w:t>Figure S5. Peak height of UV-treated sample vs dark control (PE_1).</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_Toc161783286 \h </w:instrText>
        </w:r>
        <w:r w:rsidR="003A7DB4" w:rsidRPr="007B2CE1">
          <w:rPr>
            <w:noProof/>
            <w:webHidden/>
          </w:rPr>
        </w:r>
        <w:r w:rsidR="003A7DB4" w:rsidRPr="007B2CE1">
          <w:rPr>
            <w:noProof/>
            <w:webHidden/>
          </w:rPr>
          <w:fldChar w:fldCharType="separate"/>
        </w:r>
        <w:r w:rsidR="003A7DB4" w:rsidRPr="007B2CE1">
          <w:rPr>
            <w:noProof/>
            <w:webHidden/>
          </w:rPr>
          <w:t>17</w:t>
        </w:r>
        <w:r w:rsidR="003A7DB4" w:rsidRPr="007B2CE1">
          <w:rPr>
            <w:noProof/>
            <w:webHidden/>
          </w:rPr>
          <w:fldChar w:fldCharType="end"/>
        </w:r>
      </w:hyperlink>
    </w:p>
    <w:p w14:paraId="1B80ABF3" w14:textId="3E0A0A1C"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87" w:history="1">
        <w:r w:rsidR="003A7DB4" w:rsidRPr="007B2CE1">
          <w:rPr>
            <w:rStyle w:val="Hyperlink"/>
            <w:rFonts w:ascii="Arial" w:hAnsi="Arial" w:cs="Arial"/>
            <w:noProof/>
          </w:rPr>
          <w:t>Figure S6. Peak height of UV-treated sample vs dark control (PE_2).</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_Toc161783287 \h </w:instrText>
        </w:r>
        <w:r w:rsidR="003A7DB4" w:rsidRPr="007B2CE1">
          <w:rPr>
            <w:noProof/>
            <w:webHidden/>
          </w:rPr>
        </w:r>
        <w:r w:rsidR="003A7DB4" w:rsidRPr="007B2CE1">
          <w:rPr>
            <w:noProof/>
            <w:webHidden/>
          </w:rPr>
          <w:fldChar w:fldCharType="separate"/>
        </w:r>
        <w:r w:rsidR="003A7DB4" w:rsidRPr="007B2CE1">
          <w:rPr>
            <w:noProof/>
            <w:webHidden/>
          </w:rPr>
          <w:t>17</w:t>
        </w:r>
        <w:r w:rsidR="003A7DB4" w:rsidRPr="007B2CE1">
          <w:rPr>
            <w:noProof/>
            <w:webHidden/>
          </w:rPr>
          <w:fldChar w:fldCharType="end"/>
        </w:r>
      </w:hyperlink>
    </w:p>
    <w:p w14:paraId="32515B2D" w14:textId="2232A15A"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88" w:history="1">
        <w:r w:rsidR="003A7DB4" w:rsidRPr="007B2CE1">
          <w:rPr>
            <w:rStyle w:val="Hyperlink"/>
            <w:rFonts w:ascii="Arial" w:hAnsi="Arial" w:cs="Arial"/>
            <w:noProof/>
          </w:rPr>
          <w:t>Figure S7. Peak height of UV-treated sample vs dark control (PE_3).</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_Toc161783288 \h </w:instrText>
        </w:r>
        <w:r w:rsidR="003A7DB4" w:rsidRPr="007B2CE1">
          <w:rPr>
            <w:noProof/>
            <w:webHidden/>
          </w:rPr>
        </w:r>
        <w:r w:rsidR="003A7DB4" w:rsidRPr="007B2CE1">
          <w:rPr>
            <w:noProof/>
            <w:webHidden/>
          </w:rPr>
          <w:fldChar w:fldCharType="separate"/>
        </w:r>
        <w:r w:rsidR="003A7DB4" w:rsidRPr="007B2CE1">
          <w:rPr>
            <w:noProof/>
            <w:webHidden/>
          </w:rPr>
          <w:t>18</w:t>
        </w:r>
        <w:r w:rsidR="003A7DB4" w:rsidRPr="007B2CE1">
          <w:rPr>
            <w:noProof/>
            <w:webHidden/>
          </w:rPr>
          <w:fldChar w:fldCharType="end"/>
        </w:r>
      </w:hyperlink>
    </w:p>
    <w:p w14:paraId="76239547" w14:textId="0B64B09F"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89" w:history="1">
        <w:r w:rsidR="003A7DB4" w:rsidRPr="007B2CE1">
          <w:rPr>
            <w:rStyle w:val="Hyperlink"/>
            <w:rFonts w:ascii="Arial" w:hAnsi="Arial" w:cs="Arial"/>
            <w:noProof/>
          </w:rPr>
          <w:t>Figure S8. Peak height of UV-treated sample vs dark control (PE_4).</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_Toc161783289 \h </w:instrText>
        </w:r>
        <w:r w:rsidR="003A7DB4" w:rsidRPr="007B2CE1">
          <w:rPr>
            <w:noProof/>
            <w:webHidden/>
          </w:rPr>
        </w:r>
        <w:r w:rsidR="003A7DB4" w:rsidRPr="007B2CE1">
          <w:rPr>
            <w:noProof/>
            <w:webHidden/>
          </w:rPr>
          <w:fldChar w:fldCharType="separate"/>
        </w:r>
        <w:r w:rsidR="003A7DB4" w:rsidRPr="007B2CE1">
          <w:rPr>
            <w:noProof/>
            <w:webHidden/>
          </w:rPr>
          <w:t>18</w:t>
        </w:r>
        <w:r w:rsidR="003A7DB4" w:rsidRPr="007B2CE1">
          <w:rPr>
            <w:noProof/>
            <w:webHidden/>
          </w:rPr>
          <w:fldChar w:fldCharType="end"/>
        </w:r>
      </w:hyperlink>
    </w:p>
    <w:p w14:paraId="4E22AD05" w14:textId="30D87CB5"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90" w:history="1">
        <w:r w:rsidR="003A7DB4" w:rsidRPr="007B2CE1">
          <w:rPr>
            <w:rStyle w:val="Hyperlink"/>
            <w:rFonts w:ascii="Arial" w:hAnsi="Arial" w:cs="Arial"/>
            <w:noProof/>
          </w:rPr>
          <w:t>Figure S9. Peak height of UV-treated sample vs dark control (PVC_1).</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_Toc161783290 \h </w:instrText>
        </w:r>
        <w:r w:rsidR="003A7DB4" w:rsidRPr="007B2CE1">
          <w:rPr>
            <w:noProof/>
            <w:webHidden/>
          </w:rPr>
        </w:r>
        <w:r w:rsidR="003A7DB4" w:rsidRPr="007B2CE1">
          <w:rPr>
            <w:noProof/>
            <w:webHidden/>
          </w:rPr>
          <w:fldChar w:fldCharType="separate"/>
        </w:r>
        <w:r w:rsidR="003A7DB4" w:rsidRPr="007B2CE1">
          <w:rPr>
            <w:noProof/>
            <w:webHidden/>
          </w:rPr>
          <w:t>19</w:t>
        </w:r>
        <w:r w:rsidR="003A7DB4" w:rsidRPr="007B2CE1">
          <w:rPr>
            <w:noProof/>
            <w:webHidden/>
          </w:rPr>
          <w:fldChar w:fldCharType="end"/>
        </w:r>
      </w:hyperlink>
    </w:p>
    <w:p w14:paraId="235465C5" w14:textId="71651769"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91" w:history="1">
        <w:r w:rsidR="003A7DB4" w:rsidRPr="007B2CE1">
          <w:rPr>
            <w:rStyle w:val="Hyperlink"/>
            <w:rFonts w:ascii="Arial" w:hAnsi="Arial" w:cs="Arial"/>
            <w:noProof/>
          </w:rPr>
          <w:t>Figure S10. Peak height of UV-treated sample vs dark control (PVC_2).</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_Toc161783291 \h </w:instrText>
        </w:r>
        <w:r w:rsidR="003A7DB4" w:rsidRPr="007B2CE1">
          <w:rPr>
            <w:noProof/>
            <w:webHidden/>
          </w:rPr>
        </w:r>
        <w:r w:rsidR="003A7DB4" w:rsidRPr="007B2CE1">
          <w:rPr>
            <w:noProof/>
            <w:webHidden/>
          </w:rPr>
          <w:fldChar w:fldCharType="separate"/>
        </w:r>
        <w:r w:rsidR="003A7DB4" w:rsidRPr="007B2CE1">
          <w:rPr>
            <w:noProof/>
            <w:webHidden/>
          </w:rPr>
          <w:t>19</w:t>
        </w:r>
        <w:r w:rsidR="003A7DB4" w:rsidRPr="007B2CE1">
          <w:rPr>
            <w:noProof/>
            <w:webHidden/>
          </w:rPr>
          <w:fldChar w:fldCharType="end"/>
        </w:r>
      </w:hyperlink>
    </w:p>
    <w:p w14:paraId="77D0FEF2" w14:textId="4E40085C"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92" w:history="1">
        <w:r w:rsidR="003A7DB4" w:rsidRPr="007B2CE1">
          <w:rPr>
            <w:rStyle w:val="Hyperlink"/>
            <w:rFonts w:ascii="Arial" w:hAnsi="Arial" w:cs="Arial"/>
            <w:noProof/>
          </w:rPr>
          <w:t>Figure S11. Peak height of UV-treated sample vs dark control (PET_1).</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_Toc161783292 \h </w:instrText>
        </w:r>
        <w:r w:rsidR="003A7DB4" w:rsidRPr="007B2CE1">
          <w:rPr>
            <w:noProof/>
            <w:webHidden/>
          </w:rPr>
        </w:r>
        <w:r w:rsidR="003A7DB4" w:rsidRPr="007B2CE1">
          <w:rPr>
            <w:noProof/>
            <w:webHidden/>
          </w:rPr>
          <w:fldChar w:fldCharType="separate"/>
        </w:r>
        <w:r w:rsidR="003A7DB4" w:rsidRPr="007B2CE1">
          <w:rPr>
            <w:noProof/>
            <w:webHidden/>
          </w:rPr>
          <w:t>20</w:t>
        </w:r>
        <w:r w:rsidR="003A7DB4" w:rsidRPr="007B2CE1">
          <w:rPr>
            <w:noProof/>
            <w:webHidden/>
          </w:rPr>
          <w:fldChar w:fldCharType="end"/>
        </w:r>
      </w:hyperlink>
    </w:p>
    <w:p w14:paraId="27D17596" w14:textId="098D9CF3"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93" w:history="1">
        <w:r w:rsidR="003A7DB4" w:rsidRPr="007B2CE1">
          <w:rPr>
            <w:rStyle w:val="Hyperlink"/>
            <w:rFonts w:ascii="Arial" w:hAnsi="Arial" w:cs="Arial"/>
            <w:noProof/>
          </w:rPr>
          <w:t>Figure S12. Peak height of UV-treated sample vs dark control (PET_2).</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_Toc161783293 \h </w:instrText>
        </w:r>
        <w:r w:rsidR="003A7DB4" w:rsidRPr="007B2CE1">
          <w:rPr>
            <w:noProof/>
            <w:webHidden/>
          </w:rPr>
        </w:r>
        <w:r w:rsidR="003A7DB4" w:rsidRPr="007B2CE1">
          <w:rPr>
            <w:noProof/>
            <w:webHidden/>
          </w:rPr>
          <w:fldChar w:fldCharType="separate"/>
        </w:r>
        <w:r w:rsidR="003A7DB4" w:rsidRPr="007B2CE1">
          <w:rPr>
            <w:noProof/>
            <w:webHidden/>
          </w:rPr>
          <w:t>20</w:t>
        </w:r>
        <w:r w:rsidR="003A7DB4" w:rsidRPr="007B2CE1">
          <w:rPr>
            <w:noProof/>
            <w:webHidden/>
          </w:rPr>
          <w:fldChar w:fldCharType="end"/>
        </w:r>
      </w:hyperlink>
    </w:p>
    <w:p w14:paraId="2998D615" w14:textId="5A995D79"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94" w:history="1">
        <w:r w:rsidR="003A7DB4" w:rsidRPr="007B2CE1">
          <w:rPr>
            <w:rStyle w:val="Hyperlink"/>
            <w:rFonts w:ascii="Arial" w:hAnsi="Arial" w:cs="Arial"/>
            <w:noProof/>
          </w:rPr>
          <w:t>Figure S13. Heatmap of feature height</w:t>
        </w:r>
        <w:r w:rsidR="00D145D8" w:rsidRPr="007B2CE1">
          <w:rPr>
            <w:rStyle w:val="Hyperlink"/>
            <w:rFonts w:ascii="Arial" w:hAnsi="Arial" w:cs="Arial"/>
            <w:noProof/>
          </w:rPr>
          <w:t>s</w:t>
        </w:r>
        <w:r w:rsidR="003A7DB4" w:rsidRPr="007B2CE1">
          <w:rPr>
            <w:rStyle w:val="Hyperlink"/>
            <w:rFonts w:ascii="Arial" w:hAnsi="Arial" w:cs="Arial"/>
            <w:noProof/>
          </w:rPr>
          <w:t>, sorted by sample.</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_Toc161783294 \h </w:instrText>
        </w:r>
        <w:r w:rsidR="003A7DB4" w:rsidRPr="007B2CE1">
          <w:rPr>
            <w:noProof/>
            <w:webHidden/>
          </w:rPr>
        </w:r>
        <w:r w:rsidR="003A7DB4" w:rsidRPr="007B2CE1">
          <w:rPr>
            <w:noProof/>
            <w:webHidden/>
          </w:rPr>
          <w:fldChar w:fldCharType="separate"/>
        </w:r>
        <w:r w:rsidR="003A7DB4" w:rsidRPr="007B2CE1">
          <w:rPr>
            <w:noProof/>
            <w:webHidden/>
          </w:rPr>
          <w:t>21</w:t>
        </w:r>
        <w:r w:rsidR="003A7DB4" w:rsidRPr="007B2CE1">
          <w:rPr>
            <w:noProof/>
            <w:webHidden/>
          </w:rPr>
          <w:fldChar w:fldCharType="end"/>
        </w:r>
      </w:hyperlink>
    </w:p>
    <w:p w14:paraId="6759AE41" w14:textId="7622A007"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95" w:history="1">
        <w:r w:rsidR="003A7DB4" w:rsidRPr="007B2CE1">
          <w:rPr>
            <w:rStyle w:val="Hyperlink"/>
            <w:rFonts w:ascii="Arial" w:hAnsi="Arial" w:cs="Arial"/>
            <w:noProof/>
          </w:rPr>
          <w:t>Figure S14. Peak height sorted by retention time (PE_1).</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_Toc161783295 \h </w:instrText>
        </w:r>
        <w:r w:rsidR="003A7DB4" w:rsidRPr="007B2CE1">
          <w:rPr>
            <w:noProof/>
            <w:webHidden/>
          </w:rPr>
        </w:r>
        <w:r w:rsidR="003A7DB4" w:rsidRPr="007B2CE1">
          <w:rPr>
            <w:noProof/>
            <w:webHidden/>
          </w:rPr>
          <w:fldChar w:fldCharType="separate"/>
        </w:r>
        <w:r w:rsidR="003A7DB4" w:rsidRPr="007B2CE1">
          <w:rPr>
            <w:noProof/>
            <w:webHidden/>
          </w:rPr>
          <w:t>22</w:t>
        </w:r>
        <w:r w:rsidR="003A7DB4" w:rsidRPr="007B2CE1">
          <w:rPr>
            <w:noProof/>
            <w:webHidden/>
          </w:rPr>
          <w:fldChar w:fldCharType="end"/>
        </w:r>
      </w:hyperlink>
    </w:p>
    <w:p w14:paraId="767EF084" w14:textId="33700EC2"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96" w:history="1">
        <w:r w:rsidR="003A7DB4" w:rsidRPr="007B2CE1">
          <w:rPr>
            <w:rStyle w:val="Hyperlink"/>
            <w:rFonts w:ascii="Arial" w:hAnsi="Arial" w:cs="Arial"/>
            <w:noProof/>
          </w:rPr>
          <w:t>Figure S15. Peak height sorted by retention time (PE_2).</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_Toc161783296 \h </w:instrText>
        </w:r>
        <w:r w:rsidR="003A7DB4" w:rsidRPr="007B2CE1">
          <w:rPr>
            <w:noProof/>
            <w:webHidden/>
          </w:rPr>
        </w:r>
        <w:r w:rsidR="003A7DB4" w:rsidRPr="007B2CE1">
          <w:rPr>
            <w:noProof/>
            <w:webHidden/>
          </w:rPr>
          <w:fldChar w:fldCharType="separate"/>
        </w:r>
        <w:r w:rsidR="003A7DB4" w:rsidRPr="007B2CE1">
          <w:rPr>
            <w:noProof/>
            <w:webHidden/>
          </w:rPr>
          <w:t>22</w:t>
        </w:r>
        <w:r w:rsidR="003A7DB4" w:rsidRPr="007B2CE1">
          <w:rPr>
            <w:noProof/>
            <w:webHidden/>
          </w:rPr>
          <w:fldChar w:fldCharType="end"/>
        </w:r>
      </w:hyperlink>
    </w:p>
    <w:p w14:paraId="7EDDF049" w14:textId="423F4881"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97" w:history="1">
        <w:r w:rsidR="003A7DB4" w:rsidRPr="007B2CE1">
          <w:rPr>
            <w:rStyle w:val="Hyperlink"/>
            <w:rFonts w:ascii="Arial" w:hAnsi="Arial" w:cs="Arial"/>
            <w:noProof/>
          </w:rPr>
          <w:t>Figure S16. Peak height sorted by retention time (PE_3).</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_Toc161783297 \h </w:instrText>
        </w:r>
        <w:r w:rsidR="003A7DB4" w:rsidRPr="007B2CE1">
          <w:rPr>
            <w:noProof/>
            <w:webHidden/>
          </w:rPr>
        </w:r>
        <w:r w:rsidR="003A7DB4" w:rsidRPr="007B2CE1">
          <w:rPr>
            <w:noProof/>
            <w:webHidden/>
          </w:rPr>
          <w:fldChar w:fldCharType="separate"/>
        </w:r>
        <w:r w:rsidR="003A7DB4" w:rsidRPr="007B2CE1">
          <w:rPr>
            <w:noProof/>
            <w:webHidden/>
          </w:rPr>
          <w:t>23</w:t>
        </w:r>
        <w:r w:rsidR="003A7DB4" w:rsidRPr="007B2CE1">
          <w:rPr>
            <w:noProof/>
            <w:webHidden/>
          </w:rPr>
          <w:fldChar w:fldCharType="end"/>
        </w:r>
      </w:hyperlink>
    </w:p>
    <w:p w14:paraId="235815EF" w14:textId="2DB56965"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98" w:history="1">
        <w:r w:rsidR="003A7DB4" w:rsidRPr="007B2CE1">
          <w:rPr>
            <w:rStyle w:val="Hyperlink"/>
            <w:rFonts w:ascii="Arial" w:hAnsi="Arial" w:cs="Arial"/>
            <w:noProof/>
          </w:rPr>
          <w:t>Figure S17. Peak height sorted by retention time (PE_4).</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_Toc161783298 \h </w:instrText>
        </w:r>
        <w:r w:rsidR="003A7DB4" w:rsidRPr="007B2CE1">
          <w:rPr>
            <w:noProof/>
            <w:webHidden/>
          </w:rPr>
        </w:r>
        <w:r w:rsidR="003A7DB4" w:rsidRPr="007B2CE1">
          <w:rPr>
            <w:noProof/>
            <w:webHidden/>
          </w:rPr>
          <w:fldChar w:fldCharType="separate"/>
        </w:r>
        <w:r w:rsidR="003A7DB4" w:rsidRPr="007B2CE1">
          <w:rPr>
            <w:noProof/>
            <w:webHidden/>
          </w:rPr>
          <w:t>23</w:t>
        </w:r>
        <w:r w:rsidR="003A7DB4" w:rsidRPr="007B2CE1">
          <w:rPr>
            <w:noProof/>
            <w:webHidden/>
          </w:rPr>
          <w:fldChar w:fldCharType="end"/>
        </w:r>
      </w:hyperlink>
    </w:p>
    <w:p w14:paraId="054E3D95" w14:textId="2C8F4037"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299" w:history="1">
        <w:r w:rsidR="003A7DB4" w:rsidRPr="007B2CE1">
          <w:rPr>
            <w:rStyle w:val="Hyperlink"/>
            <w:rFonts w:ascii="Arial" w:hAnsi="Arial" w:cs="Arial"/>
            <w:noProof/>
          </w:rPr>
          <w:t xml:space="preserve">Figure S18. Peak height </w:t>
        </w:r>
        <w:r w:rsidR="00D145D8" w:rsidRPr="007B2CE1">
          <w:rPr>
            <w:rStyle w:val="Hyperlink"/>
            <w:rFonts w:ascii="Arial" w:hAnsi="Arial" w:cs="Arial"/>
            <w:noProof/>
          </w:rPr>
          <w:t xml:space="preserve">sorted by </w:t>
        </w:r>
        <w:r w:rsidR="003A7DB4" w:rsidRPr="007B2CE1">
          <w:rPr>
            <w:rStyle w:val="Hyperlink"/>
            <w:rFonts w:ascii="Arial" w:hAnsi="Arial" w:cs="Arial"/>
            <w:noProof/>
          </w:rPr>
          <w:t>retention time (PVC_1)..</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_Toc161783299 \h </w:instrText>
        </w:r>
        <w:r w:rsidR="003A7DB4" w:rsidRPr="007B2CE1">
          <w:rPr>
            <w:noProof/>
            <w:webHidden/>
          </w:rPr>
        </w:r>
        <w:r w:rsidR="003A7DB4" w:rsidRPr="007B2CE1">
          <w:rPr>
            <w:noProof/>
            <w:webHidden/>
          </w:rPr>
          <w:fldChar w:fldCharType="separate"/>
        </w:r>
        <w:r w:rsidR="003A7DB4" w:rsidRPr="007B2CE1">
          <w:rPr>
            <w:noProof/>
            <w:webHidden/>
          </w:rPr>
          <w:t>24</w:t>
        </w:r>
        <w:r w:rsidR="003A7DB4" w:rsidRPr="007B2CE1">
          <w:rPr>
            <w:noProof/>
            <w:webHidden/>
          </w:rPr>
          <w:fldChar w:fldCharType="end"/>
        </w:r>
      </w:hyperlink>
    </w:p>
    <w:p w14:paraId="259D22BF" w14:textId="31A814A3"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00" w:history="1">
        <w:r w:rsidR="003A7DB4" w:rsidRPr="007B2CE1">
          <w:rPr>
            <w:rStyle w:val="Hyperlink"/>
            <w:rFonts w:ascii="Arial" w:hAnsi="Arial" w:cs="Arial"/>
            <w:noProof/>
          </w:rPr>
          <w:t xml:space="preserve">Figure S19. Peak height </w:t>
        </w:r>
        <w:r w:rsidR="00D145D8" w:rsidRPr="007B2CE1">
          <w:rPr>
            <w:rStyle w:val="Hyperlink"/>
            <w:rFonts w:ascii="Arial" w:hAnsi="Arial" w:cs="Arial"/>
            <w:noProof/>
          </w:rPr>
          <w:t>s</w:t>
        </w:r>
        <w:r w:rsidR="003A7DB4" w:rsidRPr="007B2CE1">
          <w:rPr>
            <w:rStyle w:val="Hyperlink"/>
            <w:rFonts w:ascii="Arial" w:hAnsi="Arial" w:cs="Arial"/>
            <w:noProof/>
          </w:rPr>
          <w:t>orted by retention time (PVC_2).</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_Toc161783300 \h </w:instrText>
        </w:r>
        <w:r w:rsidR="003A7DB4" w:rsidRPr="007B2CE1">
          <w:rPr>
            <w:noProof/>
            <w:webHidden/>
          </w:rPr>
        </w:r>
        <w:r w:rsidR="003A7DB4" w:rsidRPr="007B2CE1">
          <w:rPr>
            <w:noProof/>
            <w:webHidden/>
          </w:rPr>
          <w:fldChar w:fldCharType="separate"/>
        </w:r>
        <w:r w:rsidR="003A7DB4" w:rsidRPr="007B2CE1">
          <w:rPr>
            <w:noProof/>
            <w:webHidden/>
          </w:rPr>
          <w:t>24</w:t>
        </w:r>
        <w:r w:rsidR="003A7DB4" w:rsidRPr="007B2CE1">
          <w:rPr>
            <w:noProof/>
            <w:webHidden/>
          </w:rPr>
          <w:fldChar w:fldCharType="end"/>
        </w:r>
      </w:hyperlink>
    </w:p>
    <w:p w14:paraId="184AB3E9" w14:textId="6A933619"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01" w:history="1">
        <w:r w:rsidR="003A7DB4" w:rsidRPr="007B2CE1">
          <w:rPr>
            <w:rStyle w:val="Hyperlink"/>
            <w:rFonts w:ascii="Arial" w:hAnsi="Arial" w:cs="Arial"/>
            <w:noProof/>
          </w:rPr>
          <w:t>Figure S20. Peak height sorted by retention time (PET_1).</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_Toc161783301 \h </w:instrText>
        </w:r>
        <w:r w:rsidR="003A7DB4" w:rsidRPr="007B2CE1">
          <w:rPr>
            <w:noProof/>
            <w:webHidden/>
          </w:rPr>
        </w:r>
        <w:r w:rsidR="003A7DB4" w:rsidRPr="007B2CE1">
          <w:rPr>
            <w:noProof/>
            <w:webHidden/>
          </w:rPr>
          <w:fldChar w:fldCharType="separate"/>
        </w:r>
        <w:r w:rsidR="003A7DB4" w:rsidRPr="007B2CE1">
          <w:rPr>
            <w:noProof/>
            <w:webHidden/>
          </w:rPr>
          <w:t>25</w:t>
        </w:r>
        <w:r w:rsidR="003A7DB4" w:rsidRPr="007B2CE1">
          <w:rPr>
            <w:noProof/>
            <w:webHidden/>
          </w:rPr>
          <w:fldChar w:fldCharType="end"/>
        </w:r>
      </w:hyperlink>
    </w:p>
    <w:p w14:paraId="04E49FCE" w14:textId="0E02329E"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02" w:history="1">
        <w:r w:rsidR="003A7DB4" w:rsidRPr="007B2CE1">
          <w:rPr>
            <w:rStyle w:val="Hyperlink"/>
            <w:rFonts w:ascii="Arial" w:hAnsi="Arial" w:cs="Arial"/>
            <w:noProof/>
          </w:rPr>
          <w:t>Figure S21. Peak height sorted by retention time (PET_2).</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_Toc161783302 \h </w:instrText>
        </w:r>
        <w:r w:rsidR="003A7DB4" w:rsidRPr="007B2CE1">
          <w:rPr>
            <w:noProof/>
            <w:webHidden/>
          </w:rPr>
        </w:r>
        <w:r w:rsidR="003A7DB4" w:rsidRPr="007B2CE1">
          <w:rPr>
            <w:noProof/>
            <w:webHidden/>
          </w:rPr>
          <w:fldChar w:fldCharType="separate"/>
        </w:r>
        <w:r w:rsidR="003A7DB4" w:rsidRPr="007B2CE1">
          <w:rPr>
            <w:noProof/>
            <w:webHidden/>
          </w:rPr>
          <w:t>25</w:t>
        </w:r>
        <w:r w:rsidR="003A7DB4" w:rsidRPr="007B2CE1">
          <w:rPr>
            <w:noProof/>
            <w:webHidden/>
          </w:rPr>
          <w:fldChar w:fldCharType="end"/>
        </w:r>
      </w:hyperlink>
    </w:p>
    <w:p w14:paraId="51D3511D" w14:textId="0B844A18"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03" w:history="1">
        <w:r w:rsidR="003A7DB4" w:rsidRPr="007B2CE1">
          <w:rPr>
            <w:rStyle w:val="Hyperlink"/>
            <w:rFonts w:ascii="Arial" w:hAnsi="Arial" w:cs="Arial"/>
            <w:noProof/>
          </w:rPr>
          <w:t>Figure S22. Responses of spiked mass-labelled internal standard</w:t>
        </w:r>
        <w:r w:rsidR="00D145D8" w:rsidRPr="007B2CE1">
          <w:rPr>
            <w:rStyle w:val="Hyperlink"/>
            <w:rFonts w:ascii="Arial" w:hAnsi="Arial" w:cs="Arial"/>
            <w:noProof/>
          </w:rPr>
          <w:t>s in target analysis</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_Toc161783303 \h </w:instrText>
        </w:r>
        <w:r w:rsidR="003A7DB4" w:rsidRPr="007B2CE1">
          <w:rPr>
            <w:noProof/>
            <w:webHidden/>
          </w:rPr>
        </w:r>
        <w:r w:rsidR="003A7DB4" w:rsidRPr="007B2CE1">
          <w:rPr>
            <w:noProof/>
            <w:webHidden/>
          </w:rPr>
          <w:fldChar w:fldCharType="separate"/>
        </w:r>
        <w:r w:rsidR="003A7DB4" w:rsidRPr="007B2CE1">
          <w:rPr>
            <w:noProof/>
            <w:webHidden/>
          </w:rPr>
          <w:t>26</w:t>
        </w:r>
        <w:r w:rsidR="003A7DB4" w:rsidRPr="007B2CE1">
          <w:rPr>
            <w:noProof/>
            <w:webHidden/>
          </w:rPr>
          <w:fldChar w:fldCharType="end"/>
        </w:r>
      </w:hyperlink>
    </w:p>
    <w:p w14:paraId="32DBB6FA" w14:textId="3A658558"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04" w:history="1">
        <w:r w:rsidR="003A7DB4" w:rsidRPr="007B2CE1">
          <w:rPr>
            <w:rStyle w:val="Hyperlink"/>
            <w:rFonts w:ascii="Arial" w:hAnsi="Arial" w:cs="Arial"/>
            <w:noProof/>
          </w:rPr>
          <w:t>Figure S23 Measured elemental mass fractions of Ba</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_Toc161783304 \h </w:instrText>
        </w:r>
        <w:r w:rsidR="003A7DB4" w:rsidRPr="007B2CE1">
          <w:rPr>
            <w:noProof/>
            <w:webHidden/>
          </w:rPr>
        </w:r>
        <w:r w:rsidR="003A7DB4" w:rsidRPr="007B2CE1">
          <w:rPr>
            <w:noProof/>
            <w:webHidden/>
          </w:rPr>
          <w:fldChar w:fldCharType="separate"/>
        </w:r>
        <w:r w:rsidR="003A7DB4" w:rsidRPr="007B2CE1">
          <w:rPr>
            <w:noProof/>
            <w:webHidden/>
          </w:rPr>
          <w:t>26</w:t>
        </w:r>
        <w:r w:rsidR="003A7DB4" w:rsidRPr="007B2CE1">
          <w:rPr>
            <w:noProof/>
            <w:webHidden/>
          </w:rPr>
          <w:fldChar w:fldCharType="end"/>
        </w:r>
      </w:hyperlink>
    </w:p>
    <w:p w14:paraId="32076ECF" w14:textId="238572D4"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05" w:history="1">
        <w:r w:rsidR="003A7DB4" w:rsidRPr="007B2CE1">
          <w:rPr>
            <w:rStyle w:val="Hyperlink"/>
            <w:rFonts w:ascii="Arial" w:hAnsi="Arial" w:cs="Arial"/>
            <w:noProof/>
          </w:rPr>
          <w:t>Figure S24 Measured elemental mass fractions of Cd</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_Toc161783305 \h </w:instrText>
        </w:r>
        <w:r w:rsidR="003A7DB4" w:rsidRPr="007B2CE1">
          <w:rPr>
            <w:noProof/>
            <w:webHidden/>
          </w:rPr>
        </w:r>
        <w:r w:rsidR="003A7DB4" w:rsidRPr="007B2CE1">
          <w:rPr>
            <w:noProof/>
            <w:webHidden/>
          </w:rPr>
          <w:fldChar w:fldCharType="separate"/>
        </w:r>
        <w:r w:rsidR="003A7DB4" w:rsidRPr="007B2CE1">
          <w:rPr>
            <w:noProof/>
            <w:webHidden/>
          </w:rPr>
          <w:t>27</w:t>
        </w:r>
        <w:r w:rsidR="003A7DB4" w:rsidRPr="007B2CE1">
          <w:rPr>
            <w:noProof/>
            <w:webHidden/>
          </w:rPr>
          <w:fldChar w:fldCharType="end"/>
        </w:r>
      </w:hyperlink>
    </w:p>
    <w:p w14:paraId="6232DACE" w14:textId="59F17C74"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06" w:history="1">
        <w:r w:rsidR="003A7DB4" w:rsidRPr="007B2CE1">
          <w:rPr>
            <w:rStyle w:val="Hyperlink"/>
            <w:rFonts w:ascii="Arial" w:hAnsi="Arial" w:cs="Arial"/>
            <w:noProof/>
          </w:rPr>
          <w:t>Figure S25 Measured elemental mass fractions of C</w:t>
        </w:r>
        <w:r w:rsidR="00D145D8" w:rsidRPr="007B2CE1">
          <w:rPr>
            <w:rStyle w:val="Hyperlink"/>
            <w:rFonts w:ascii="Arial" w:hAnsi="Arial" w:cs="Arial"/>
            <w:noProof/>
          </w:rPr>
          <w:t>r</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_Toc161783306 \h </w:instrText>
        </w:r>
        <w:r w:rsidR="003A7DB4" w:rsidRPr="007B2CE1">
          <w:rPr>
            <w:noProof/>
            <w:webHidden/>
          </w:rPr>
        </w:r>
        <w:r w:rsidR="003A7DB4" w:rsidRPr="007B2CE1">
          <w:rPr>
            <w:noProof/>
            <w:webHidden/>
          </w:rPr>
          <w:fldChar w:fldCharType="separate"/>
        </w:r>
        <w:r w:rsidR="003A7DB4" w:rsidRPr="007B2CE1">
          <w:rPr>
            <w:noProof/>
            <w:webHidden/>
          </w:rPr>
          <w:t>27</w:t>
        </w:r>
        <w:r w:rsidR="003A7DB4" w:rsidRPr="007B2CE1">
          <w:rPr>
            <w:noProof/>
            <w:webHidden/>
          </w:rPr>
          <w:fldChar w:fldCharType="end"/>
        </w:r>
      </w:hyperlink>
    </w:p>
    <w:p w14:paraId="54010858" w14:textId="43E16ED4"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07" w:history="1">
        <w:r w:rsidR="003A7DB4" w:rsidRPr="007B2CE1">
          <w:rPr>
            <w:rStyle w:val="Hyperlink"/>
            <w:rFonts w:ascii="Arial" w:hAnsi="Arial" w:cs="Arial"/>
            <w:noProof/>
          </w:rPr>
          <w:t>Figure S26 Measured elemental mass fractions of Cu</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_Toc161783307 \h </w:instrText>
        </w:r>
        <w:r w:rsidR="003A7DB4" w:rsidRPr="007B2CE1">
          <w:rPr>
            <w:noProof/>
            <w:webHidden/>
          </w:rPr>
        </w:r>
        <w:r w:rsidR="003A7DB4" w:rsidRPr="007B2CE1">
          <w:rPr>
            <w:noProof/>
            <w:webHidden/>
          </w:rPr>
          <w:fldChar w:fldCharType="separate"/>
        </w:r>
        <w:r w:rsidR="003A7DB4" w:rsidRPr="007B2CE1">
          <w:rPr>
            <w:noProof/>
            <w:webHidden/>
          </w:rPr>
          <w:t>28</w:t>
        </w:r>
        <w:r w:rsidR="003A7DB4" w:rsidRPr="007B2CE1">
          <w:rPr>
            <w:noProof/>
            <w:webHidden/>
          </w:rPr>
          <w:fldChar w:fldCharType="end"/>
        </w:r>
      </w:hyperlink>
    </w:p>
    <w:p w14:paraId="46AA0D4E" w14:textId="4C08254A"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08" w:history="1">
        <w:r w:rsidR="003A7DB4" w:rsidRPr="007B2CE1">
          <w:rPr>
            <w:rStyle w:val="Hyperlink"/>
            <w:rFonts w:ascii="Arial" w:hAnsi="Arial" w:cs="Arial"/>
            <w:noProof/>
          </w:rPr>
          <w:t>Figure S27 Measured elemental mass fractions of Hg</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_Toc161783308 \h </w:instrText>
        </w:r>
        <w:r w:rsidR="003A7DB4" w:rsidRPr="007B2CE1">
          <w:rPr>
            <w:noProof/>
            <w:webHidden/>
          </w:rPr>
        </w:r>
        <w:r w:rsidR="003A7DB4" w:rsidRPr="007B2CE1">
          <w:rPr>
            <w:noProof/>
            <w:webHidden/>
          </w:rPr>
          <w:fldChar w:fldCharType="separate"/>
        </w:r>
        <w:r w:rsidR="003A7DB4" w:rsidRPr="007B2CE1">
          <w:rPr>
            <w:noProof/>
            <w:webHidden/>
          </w:rPr>
          <w:t>28</w:t>
        </w:r>
        <w:r w:rsidR="003A7DB4" w:rsidRPr="007B2CE1">
          <w:rPr>
            <w:noProof/>
            <w:webHidden/>
          </w:rPr>
          <w:fldChar w:fldCharType="end"/>
        </w:r>
      </w:hyperlink>
    </w:p>
    <w:p w14:paraId="04CD546A" w14:textId="6F8B5A00"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09" w:history="1">
        <w:r w:rsidR="003A7DB4" w:rsidRPr="007B2CE1">
          <w:rPr>
            <w:rStyle w:val="Hyperlink"/>
            <w:rFonts w:ascii="Arial" w:hAnsi="Arial" w:cs="Arial"/>
            <w:noProof/>
          </w:rPr>
          <w:t>Figure S28 Measured elemental mass fractions of Sn</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_Toc161783309 \h </w:instrText>
        </w:r>
        <w:r w:rsidR="003A7DB4" w:rsidRPr="007B2CE1">
          <w:rPr>
            <w:noProof/>
            <w:webHidden/>
          </w:rPr>
        </w:r>
        <w:r w:rsidR="003A7DB4" w:rsidRPr="007B2CE1">
          <w:rPr>
            <w:noProof/>
            <w:webHidden/>
          </w:rPr>
          <w:fldChar w:fldCharType="separate"/>
        </w:r>
        <w:r w:rsidR="003A7DB4" w:rsidRPr="007B2CE1">
          <w:rPr>
            <w:noProof/>
            <w:webHidden/>
          </w:rPr>
          <w:t>29</w:t>
        </w:r>
        <w:r w:rsidR="003A7DB4" w:rsidRPr="007B2CE1">
          <w:rPr>
            <w:noProof/>
            <w:webHidden/>
          </w:rPr>
          <w:fldChar w:fldCharType="end"/>
        </w:r>
      </w:hyperlink>
    </w:p>
    <w:p w14:paraId="542C0946" w14:textId="5008B533"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10" w:history="1">
        <w:r w:rsidR="003A7DB4" w:rsidRPr="007B2CE1">
          <w:rPr>
            <w:rStyle w:val="Hyperlink"/>
            <w:rFonts w:ascii="Arial" w:hAnsi="Arial" w:cs="Arial"/>
            <w:noProof/>
          </w:rPr>
          <w:t>Figure S29 Measured elemental mass fractions of Ti</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_Toc161783310 \h </w:instrText>
        </w:r>
        <w:r w:rsidR="003A7DB4" w:rsidRPr="007B2CE1">
          <w:rPr>
            <w:noProof/>
            <w:webHidden/>
          </w:rPr>
        </w:r>
        <w:r w:rsidR="003A7DB4" w:rsidRPr="007B2CE1">
          <w:rPr>
            <w:noProof/>
            <w:webHidden/>
          </w:rPr>
          <w:fldChar w:fldCharType="separate"/>
        </w:r>
        <w:r w:rsidR="003A7DB4" w:rsidRPr="007B2CE1">
          <w:rPr>
            <w:noProof/>
            <w:webHidden/>
          </w:rPr>
          <w:t>29</w:t>
        </w:r>
        <w:r w:rsidR="003A7DB4" w:rsidRPr="007B2CE1">
          <w:rPr>
            <w:noProof/>
            <w:webHidden/>
          </w:rPr>
          <w:fldChar w:fldCharType="end"/>
        </w:r>
      </w:hyperlink>
    </w:p>
    <w:p w14:paraId="386CA70F" w14:textId="791C4176"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11" w:history="1">
        <w:r w:rsidR="003A7DB4" w:rsidRPr="007B2CE1">
          <w:rPr>
            <w:rStyle w:val="Hyperlink"/>
            <w:rFonts w:ascii="Arial" w:hAnsi="Arial" w:cs="Arial"/>
            <w:noProof/>
          </w:rPr>
          <w:t>Figure S30 Measured elemental mass fractions of U</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_Toc161783311 \h </w:instrText>
        </w:r>
        <w:r w:rsidR="003A7DB4" w:rsidRPr="007B2CE1">
          <w:rPr>
            <w:noProof/>
            <w:webHidden/>
          </w:rPr>
        </w:r>
        <w:r w:rsidR="003A7DB4" w:rsidRPr="007B2CE1">
          <w:rPr>
            <w:noProof/>
            <w:webHidden/>
          </w:rPr>
          <w:fldChar w:fldCharType="separate"/>
        </w:r>
        <w:r w:rsidR="003A7DB4" w:rsidRPr="007B2CE1">
          <w:rPr>
            <w:noProof/>
            <w:webHidden/>
          </w:rPr>
          <w:t>30</w:t>
        </w:r>
        <w:r w:rsidR="003A7DB4" w:rsidRPr="007B2CE1">
          <w:rPr>
            <w:noProof/>
            <w:webHidden/>
          </w:rPr>
          <w:fldChar w:fldCharType="end"/>
        </w:r>
      </w:hyperlink>
    </w:p>
    <w:p w14:paraId="3B51C21E" w14:textId="4C084733"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12" w:history="1">
        <w:r w:rsidR="003A7DB4" w:rsidRPr="007B2CE1">
          <w:rPr>
            <w:rStyle w:val="Hyperlink"/>
            <w:rFonts w:ascii="Arial" w:hAnsi="Arial" w:cs="Arial"/>
            <w:noProof/>
          </w:rPr>
          <w:t>Figure S31 Measured elemental mass fractions of V</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_Toc161783312 \h </w:instrText>
        </w:r>
        <w:r w:rsidR="003A7DB4" w:rsidRPr="007B2CE1">
          <w:rPr>
            <w:noProof/>
            <w:webHidden/>
          </w:rPr>
        </w:r>
        <w:r w:rsidR="003A7DB4" w:rsidRPr="007B2CE1">
          <w:rPr>
            <w:noProof/>
            <w:webHidden/>
          </w:rPr>
          <w:fldChar w:fldCharType="separate"/>
        </w:r>
        <w:r w:rsidR="003A7DB4" w:rsidRPr="007B2CE1">
          <w:rPr>
            <w:noProof/>
            <w:webHidden/>
          </w:rPr>
          <w:t>30</w:t>
        </w:r>
        <w:r w:rsidR="003A7DB4" w:rsidRPr="007B2CE1">
          <w:rPr>
            <w:noProof/>
            <w:webHidden/>
          </w:rPr>
          <w:fldChar w:fldCharType="end"/>
        </w:r>
      </w:hyperlink>
    </w:p>
    <w:p w14:paraId="4A90C04E" w14:textId="74A048C4"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13" w:history="1">
        <w:r w:rsidR="003A7DB4" w:rsidRPr="007B2CE1">
          <w:rPr>
            <w:rStyle w:val="Hyperlink"/>
            <w:rFonts w:ascii="Arial" w:hAnsi="Arial" w:cs="Arial"/>
            <w:noProof/>
          </w:rPr>
          <w:t>Figure S32: Maximum Contaminant Level (MCL) for metals</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_Toc161783313 \h </w:instrText>
        </w:r>
        <w:r w:rsidR="003A7DB4" w:rsidRPr="007B2CE1">
          <w:rPr>
            <w:noProof/>
            <w:webHidden/>
          </w:rPr>
        </w:r>
        <w:r w:rsidR="003A7DB4" w:rsidRPr="007B2CE1">
          <w:rPr>
            <w:noProof/>
            <w:webHidden/>
          </w:rPr>
          <w:fldChar w:fldCharType="separate"/>
        </w:r>
        <w:r w:rsidR="003A7DB4" w:rsidRPr="007B2CE1">
          <w:rPr>
            <w:noProof/>
            <w:webHidden/>
          </w:rPr>
          <w:t>31</w:t>
        </w:r>
        <w:r w:rsidR="003A7DB4" w:rsidRPr="007B2CE1">
          <w:rPr>
            <w:noProof/>
            <w:webHidden/>
          </w:rPr>
          <w:fldChar w:fldCharType="end"/>
        </w:r>
      </w:hyperlink>
    </w:p>
    <w:p w14:paraId="2E2E4E26" w14:textId="0C0CAB9C" w:rsidR="003A7DB4" w:rsidRPr="007B2CE1" w:rsidRDefault="00000000">
      <w:pPr>
        <w:pStyle w:val="TableofFigures"/>
        <w:tabs>
          <w:tab w:val="right" w:leader="dot" w:pos="9016"/>
        </w:tabs>
        <w:rPr>
          <w:rFonts w:eastAsiaTheme="minorEastAsia"/>
          <w:noProof/>
          <w:kern w:val="2"/>
          <w:lang w:val="en-US"/>
          <w14:ligatures w14:val="standardContextual"/>
        </w:rPr>
      </w:pPr>
      <w:hyperlink w:anchor="_Toc161783314" w:history="1">
        <w:r w:rsidR="003A7DB4" w:rsidRPr="007B2CE1">
          <w:rPr>
            <w:rStyle w:val="Hyperlink"/>
            <w:rFonts w:ascii="Arial" w:hAnsi="Arial" w:cs="Arial"/>
            <w:noProof/>
          </w:rPr>
          <w:t>Figure S33: The in vitro bioactivity data for detected organic additives.</w:t>
        </w:r>
        <w:r w:rsidR="003A7DB4" w:rsidRPr="007B2CE1">
          <w:rPr>
            <w:noProof/>
            <w:webHidden/>
          </w:rPr>
          <w:tab/>
        </w:r>
        <w:r w:rsidR="003A7DB4" w:rsidRPr="007B2CE1">
          <w:rPr>
            <w:noProof/>
            <w:webHidden/>
          </w:rPr>
          <w:fldChar w:fldCharType="begin"/>
        </w:r>
        <w:r w:rsidR="003A7DB4" w:rsidRPr="007B2CE1">
          <w:rPr>
            <w:noProof/>
            <w:webHidden/>
          </w:rPr>
          <w:instrText xml:space="preserve"> PAGEREF _Toc161783314 \h </w:instrText>
        </w:r>
        <w:r w:rsidR="003A7DB4" w:rsidRPr="007B2CE1">
          <w:rPr>
            <w:noProof/>
            <w:webHidden/>
          </w:rPr>
        </w:r>
        <w:r w:rsidR="003A7DB4" w:rsidRPr="007B2CE1">
          <w:rPr>
            <w:noProof/>
            <w:webHidden/>
          </w:rPr>
          <w:fldChar w:fldCharType="separate"/>
        </w:r>
        <w:r w:rsidR="003A7DB4" w:rsidRPr="007B2CE1">
          <w:rPr>
            <w:noProof/>
            <w:webHidden/>
          </w:rPr>
          <w:t>32</w:t>
        </w:r>
        <w:r w:rsidR="003A7DB4" w:rsidRPr="007B2CE1">
          <w:rPr>
            <w:noProof/>
            <w:webHidden/>
          </w:rPr>
          <w:fldChar w:fldCharType="end"/>
        </w:r>
      </w:hyperlink>
    </w:p>
    <w:p w14:paraId="0E9CDC0C" w14:textId="4178CB2A" w:rsidR="008609C2" w:rsidRPr="007B2CE1" w:rsidRDefault="008609C2" w:rsidP="008609C2">
      <w:pPr>
        <w:rPr>
          <w:lang w:val="en-US"/>
        </w:rPr>
      </w:pPr>
      <w:r w:rsidRPr="007B2CE1">
        <w:rPr>
          <w:lang w:val="en-US"/>
        </w:rPr>
        <w:fldChar w:fldCharType="end"/>
      </w:r>
    </w:p>
    <w:p w14:paraId="368DDDA8" w14:textId="7E85A6FD" w:rsidR="00AD4D3F" w:rsidRPr="007B2CE1" w:rsidRDefault="008609C2" w:rsidP="00962053">
      <w:pPr>
        <w:pStyle w:val="TOCHeading"/>
        <w:rPr>
          <w:rFonts w:ascii="Arial" w:hAnsi="Arial" w:cs="Arial"/>
        </w:rPr>
      </w:pPr>
      <w:r w:rsidRPr="007B2CE1">
        <w:rPr>
          <w:rFonts w:ascii="Arial" w:hAnsi="Arial" w:cs="Arial"/>
        </w:rPr>
        <w:t>List of</w:t>
      </w:r>
      <w:r w:rsidR="004C0F22" w:rsidRPr="007B2CE1">
        <w:rPr>
          <w:rFonts w:ascii="Arial" w:hAnsi="Arial" w:cs="Arial"/>
        </w:rPr>
        <w:t xml:space="preserve"> tables</w:t>
      </w:r>
    </w:p>
    <w:p w14:paraId="077CEE3E" w14:textId="77777777" w:rsidR="008609C2" w:rsidRPr="007B2CE1" w:rsidRDefault="008609C2" w:rsidP="008609C2">
      <w:pPr>
        <w:pStyle w:val="TableofFigures"/>
        <w:tabs>
          <w:tab w:val="right" w:leader="dot" w:pos="9016"/>
        </w:tabs>
        <w:rPr>
          <w:rFonts w:eastAsiaTheme="minorEastAsia"/>
          <w:noProof/>
          <w:kern w:val="2"/>
          <w:lang w:val="en-US"/>
          <w14:ligatures w14:val="standardContextual"/>
        </w:rPr>
      </w:pPr>
      <w:r w:rsidRPr="007B2CE1">
        <w:rPr>
          <w:rFonts w:ascii="Arial" w:hAnsi="Arial" w:cs="Arial"/>
        </w:rPr>
        <w:fldChar w:fldCharType="begin"/>
      </w:r>
      <w:r w:rsidRPr="007B2CE1">
        <w:rPr>
          <w:rFonts w:ascii="Arial" w:hAnsi="Arial" w:cs="Arial"/>
        </w:rPr>
        <w:instrText xml:space="preserve"> TOC \h \z \c "Table" </w:instrText>
      </w:r>
      <w:r w:rsidRPr="007B2CE1">
        <w:rPr>
          <w:rFonts w:ascii="Arial" w:hAnsi="Arial" w:cs="Arial"/>
        </w:rPr>
        <w:fldChar w:fldCharType="separate"/>
      </w:r>
      <w:hyperlink w:anchor="_Toc161066682" w:history="1">
        <w:r w:rsidRPr="007B2CE1">
          <w:rPr>
            <w:rStyle w:val="Hyperlink"/>
            <w:rFonts w:ascii="Arial" w:hAnsi="Arial" w:cs="Arial"/>
            <w:noProof/>
            <w:lang w:val="en-US"/>
          </w:rPr>
          <w:t>Table S1</w:t>
        </w:r>
        <w:r w:rsidRPr="007B2CE1">
          <w:rPr>
            <w:rStyle w:val="Hyperlink"/>
            <w:rFonts w:ascii="Arial" w:hAnsi="Arial" w:cs="Arial"/>
            <w:noProof/>
          </w:rPr>
          <w:t>:</w:t>
        </w:r>
        <w:r w:rsidRPr="007B2CE1">
          <w:rPr>
            <w:rStyle w:val="Hyperlink"/>
            <w:rFonts w:ascii="Arial" w:hAnsi="Arial" w:cs="Arial"/>
            <w:noProof/>
            <w:lang w:val="en-US"/>
          </w:rPr>
          <w:t xml:space="preserve"> Weighed portions of plastic samples.</w:t>
        </w:r>
        <w:r w:rsidRPr="007B2CE1">
          <w:rPr>
            <w:noProof/>
            <w:webHidden/>
          </w:rPr>
          <w:tab/>
        </w:r>
        <w:r w:rsidRPr="007B2CE1">
          <w:rPr>
            <w:noProof/>
            <w:webHidden/>
          </w:rPr>
          <w:fldChar w:fldCharType="begin"/>
        </w:r>
        <w:r w:rsidRPr="007B2CE1">
          <w:rPr>
            <w:noProof/>
            <w:webHidden/>
          </w:rPr>
          <w:instrText xml:space="preserve"> PAGEREF _Toc161066682 \h </w:instrText>
        </w:r>
        <w:r w:rsidRPr="007B2CE1">
          <w:rPr>
            <w:noProof/>
            <w:webHidden/>
          </w:rPr>
        </w:r>
        <w:r w:rsidRPr="007B2CE1">
          <w:rPr>
            <w:noProof/>
            <w:webHidden/>
          </w:rPr>
          <w:fldChar w:fldCharType="separate"/>
        </w:r>
        <w:r w:rsidRPr="007B2CE1">
          <w:rPr>
            <w:noProof/>
            <w:webHidden/>
          </w:rPr>
          <w:t>35</w:t>
        </w:r>
        <w:r w:rsidRPr="007B2CE1">
          <w:rPr>
            <w:noProof/>
            <w:webHidden/>
          </w:rPr>
          <w:fldChar w:fldCharType="end"/>
        </w:r>
      </w:hyperlink>
    </w:p>
    <w:p w14:paraId="5ECC72CC" w14:textId="77777777" w:rsidR="008609C2" w:rsidRPr="007B2CE1" w:rsidRDefault="00000000" w:rsidP="008609C2">
      <w:pPr>
        <w:pStyle w:val="TableofFigures"/>
        <w:tabs>
          <w:tab w:val="right" w:leader="dot" w:pos="9016"/>
        </w:tabs>
        <w:rPr>
          <w:rFonts w:eastAsiaTheme="minorEastAsia"/>
          <w:noProof/>
          <w:kern w:val="2"/>
          <w:lang w:val="en-US"/>
          <w14:ligatures w14:val="standardContextual"/>
        </w:rPr>
      </w:pPr>
      <w:hyperlink w:anchor="_Toc161066683" w:history="1">
        <w:r w:rsidR="008609C2" w:rsidRPr="007B2CE1">
          <w:rPr>
            <w:rStyle w:val="Hyperlink"/>
            <w:rFonts w:ascii="Arial" w:hAnsi="Arial" w:cs="Arial"/>
            <w:noProof/>
          </w:rPr>
          <w:t>Table S2: Parameters for mzMine.</w:t>
        </w:r>
        <w:r w:rsidR="008609C2" w:rsidRPr="007B2CE1">
          <w:rPr>
            <w:noProof/>
            <w:webHidden/>
          </w:rPr>
          <w:tab/>
        </w:r>
        <w:r w:rsidR="008609C2" w:rsidRPr="007B2CE1">
          <w:rPr>
            <w:noProof/>
            <w:webHidden/>
          </w:rPr>
          <w:fldChar w:fldCharType="begin"/>
        </w:r>
        <w:r w:rsidR="008609C2" w:rsidRPr="007B2CE1">
          <w:rPr>
            <w:noProof/>
            <w:webHidden/>
          </w:rPr>
          <w:instrText xml:space="preserve"> PAGEREF _Toc161066683 \h </w:instrText>
        </w:r>
        <w:r w:rsidR="008609C2" w:rsidRPr="007B2CE1">
          <w:rPr>
            <w:noProof/>
            <w:webHidden/>
          </w:rPr>
        </w:r>
        <w:r w:rsidR="008609C2" w:rsidRPr="007B2CE1">
          <w:rPr>
            <w:noProof/>
            <w:webHidden/>
          </w:rPr>
          <w:fldChar w:fldCharType="separate"/>
        </w:r>
        <w:r w:rsidR="008609C2" w:rsidRPr="007B2CE1">
          <w:rPr>
            <w:noProof/>
            <w:webHidden/>
          </w:rPr>
          <w:t>36</w:t>
        </w:r>
        <w:r w:rsidR="008609C2" w:rsidRPr="007B2CE1">
          <w:rPr>
            <w:noProof/>
            <w:webHidden/>
          </w:rPr>
          <w:fldChar w:fldCharType="end"/>
        </w:r>
      </w:hyperlink>
    </w:p>
    <w:p w14:paraId="645CF7BD" w14:textId="77777777" w:rsidR="008609C2" w:rsidRPr="007B2CE1" w:rsidRDefault="00000000" w:rsidP="008609C2">
      <w:pPr>
        <w:pStyle w:val="TableofFigures"/>
        <w:tabs>
          <w:tab w:val="right" w:leader="dot" w:pos="9016"/>
        </w:tabs>
        <w:rPr>
          <w:rFonts w:eastAsiaTheme="minorEastAsia"/>
          <w:noProof/>
          <w:kern w:val="2"/>
          <w:lang w:val="en-US"/>
          <w14:ligatures w14:val="standardContextual"/>
        </w:rPr>
      </w:pPr>
      <w:hyperlink w:anchor="_Toc161066684" w:history="1">
        <w:r w:rsidR="008609C2" w:rsidRPr="007B2CE1">
          <w:rPr>
            <w:rStyle w:val="Hyperlink"/>
            <w:rFonts w:ascii="Arial" w:hAnsi="Arial" w:cs="Arial"/>
            <w:noProof/>
          </w:rPr>
          <w:t>Table S3: Summary of mass-labelled standards used for target analysis.</w:t>
        </w:r>
        <w:r w:rsidR="008609C2" w:rsidRPr="007B2CE1">
          <w:rPr>
            <w:noProof/>
            <w:webHidden/>
          </w:rPr>
          <w:tab/>
        </w:r>
        <w:r w:rsidR="008609C2" w:rsidRPr="007B2CE1">
          <w:rPr>
            <w:noProof/>
            <w:webHidden/>
          </w:rPr>
          <w:fldChar w:fldCharType="begin"/>
        </w:r>
        <w:r w:rsidR="008609C2" w:rsidRPr="007B2CE1">
          <w:rPr>
            <w:noProof/>
            <w:webHidden/>
          </w:rPr>
          <w:instrText xml:space="preserve"> PAGEREF _Toc161066684 \h </w:instrText>
        </w:r>
        <w:r w:rsidR="008609C2" w:rsidRPr="007B2CE1">
          <w:rPr>
            <w:noProof/>
            <w:webHidden/>
          </w:rPr>
        </w:r>
        <w:r w:rsidR="008609C2" w:rsidRPr="007B2CE1">
          <w:rPr>
            <w:noProof/>
            <w:webHidden/>
          </w:rPr>
          <w:fldChar w:fldCharType="separate"/>
        </w:r>
        <w:r w:rsidR="008609C2" w:rsidRPr="007B2CE1">
          <w:rPr>
            <w:noProof/>
            <w:webHidden/>
          </w:rPr>
          <w:t>37</w:t>
        </w:r>
        <w:r w:rsidR="008609C2" w:rsidRPr="007B2CE1">
          <w:rPr>
            <w:noProof/>
            <w:webHidden/>
          </w:rPr>
          <w:fldChar w:fldCharType="end"/>
        </w:r>
      </w:hyperlink>
    </w:p>
    <w:p w14:paraId="5D99029F" w14:textId="77777777" w:rsidR="008609C2" w:rsidRPr="007B2CE1" w:rsidRDefault="00000000" w:rsidP="008609C2">
      <w:pPr>
        <w:pStyle w:val="TableofFigures"/>
        <w:tabs>
          <w:tab w:val="right" w:leader="dot" w:pos="9016"/>
        </w:tabs>
        <w:rPr>
          <w:rFonts w:eastAsiaTheme="minorEastAsia"/>
          <w:noProof/>
          <w:kern w:val="2"/>
          <w:lang w:val="en-US"/>
          <w14:ligatures w14:val="standardContextual"/>
        </w:rPr>
      </w:pPr>
      <w:hyperlink w:anchor="_Toc161066685" w:history="1">
        <w:r w:rsidR="008609C2" w:rsidRPr="007B2CE1">
          <w:rPr>
            <w:rStyle w:val="Hyperlink"/>
            <w:rFonts w:ascii="Arial" w:hAnsi="Arial" w:cs="Arial"/>
            <w:noProof/>
          </w:rPr>
          <w:t>Table S4: Summary table of the findings in this study..</w:t>
        </w:r>
        <w:r w:rsidR="008609C2" w:rsidRPr="007B2CE1">
          <w:rPr>
            <w:noProof/>
            <w:webHidden/>
          </w:rPr>
          <w:tab/>
        </w:r>
        <w:r w:rsidR="008609C2" w:rsidRPr="007B2CE1">
          <w:rPr>
            <w:noProof/>
            <w:webHidden/>
          </w:rPr>
          <w:fldChar w:fldCharType="begin"/>
        </w:r>
        <w:r w:rsidR="008609C2" w:rsidRPr="007B2CE1">
          <w:rPr>
            <w:noProof/>
            <w:webHidden/>
          </w:rPr>
          <w:instrText xml:space="preserve"> PAGEREF _Toc161066685 \h </w:instrText>
        </w:r>
        <w:r w:rsidR="008609C2" w:rsidRPr="007B2CE1">
          <w:rPr>
            <w:noProof/>
            <w:webHidden/>
          </w:rPr>
        </w:r>
        <w:r w:rsidR="008609C2" w:rsidRPr="007B2CE1">
          <w:rPr>
            <w:noProof/>
            <w:webHidden/>
          </w:rPr>
          <w:fldChar w:fldCharType="separate"/>
        </w:r>
        <w:r w:rsidR="008609C2" w:rsidRPr="007B2CE1">
          <w:rPr>
            <w:noProof/>
            <w:webHidden/>
          </w:rPr>
          <w:t>38</w:t>
        </w:r>
        <w:r w:rsidR="008609C2" w:rsidRPr="007B2CE1">
          <w:rPr>
            <w:noProof/>
            <w:webHidden/>
          </w:rPr>
          <w:fldChar w:fldCharType="end"/>
        </w:r>
      </w:hyperlink>
    </w:p>
    <w:p w14:paraId="100CA1F4" w14:textId="52067C5B" w:rsidR="008609C2" w:rsidRPr="007B2CE1" w:rsidRDefault="008609C2" w:rsidP="008609C2">
      <w:pPr>
        <w:rPr>
          <w:lang w:val="en-US"/>
        </w:rPr>
      </w:pPr>
      <w:r w:rsidRPr="007B2CE1">
        <w:rPr>
          <w:rFonts w:ascii="Arial" w:hAnsi="Arial" w:cs="Arial"/>
        </w:rPr>
        <w:fldChar w:fldCharType="end"/>
      </w:r>
    </w:p>
    <w:p w14:paraId="42C24102" w14:textId="7B7D59E8" w:rsidR="00AD4D3F" w:rsidRPr="007B2CE1" w:rsidRDefault="00AD4D3F">
      <w:pPr>
        <w:rPr>
          <w:rFonts w:ascii="Arial" w:eastAsia="Times New Roman" w:hAnsi="Arial" w:cs="Arial"/>
          <w:sz w:val="24"/>
          <w:szCs w:val="20"/>
        </w:rPr>
      </w:pPr>
      <w:r w:rsidRPr="007B2CE1">
        <w:rPr>
          <w:rFonts w:ascii="Arial" w:hAnsi="Arial" w:cs="Arial"/>
        </w:rPr>
        <w:br w:type="page"/>
      </w:r>
    </w:p>
    <w:p w14:paraId="65CF490B" w14:textId="77777777" w:rsidR="00A0009F" w:rsidRPr="007B2CE1" w:rsidRDefault="00A0009F" w:rsidP="00A7039F">
      <w:pPr>
        <w:pStyle w:val="Heading1"/>
        <w:rPr>
          <w:rFonts w:ascii="Arial" w:hAnsi="Arial" w:cs="Arial"/>
        </w:rPr>
        <w:sectPr w:rsidR="00A0009F" w:rsidRPr="007B2CE1" w:rsidSect="006450D4">
          <w:footerReference w:type="default" r:id="rId9"/>
          <w:pgSz w:w="11906" w:h="16838"/>
          <w:pgMar w:top="1440" w:right="1440" w:bottom="1440" w:left="1440" w:header="708" w:footer="708" w:gutter="0"/>
          <w:cols w:space="708"/>
          <w:docGrid w:linePitch="360"/>
        </w:sectPr>
      </w:pPr>
    </w:p>
    <w:p w14:paraId="79963353" w14:textId="783F16CD" w:rsidR="0008310F" w:rsidRPr="007B2CE1" w:rsidRDefault="0008310F" w:rsidP="00A7039F">
      <w:pPr>
        <w:pStyle w:val="Heading1"/>
      </w:pPr>
      <w:bookmarkStart w:id="0" w:name="_Toc161066324"/>
      <w:r w:rsidRPr="007B2CE1">
        <w:lastRenderedPageBreak/>
        <w:t>Text S1 – Details on consumer products</w:t>
      </w:r>
      <w:bookmarkEnd w:id="0"/>
    </w:p>
    <w:p w14:paraId="26E3EBC5" w14:textId="4DBAF35B" w:rsidR="0008310F" w:rsidRPr="007B2CE1" w:rsidRDefault="0008310F" w:rsidP="0008310F">
      <w:pPr>
        <w:spacing w:line="480" w:lineRule="auto"/>
        <w:jc w:val="both"/>
        <w:rPr>
          <w:lang w:val="en-US"/>
        </w:rPr>
      </w:pPr>
      <w:r w:rsidRPr="007B2CE1">
        <w:rPr>
          <w:lang w:val="en-US"/>
        </w:rPr>
        <w:t>Four different types of PE-consumer products were selected. PE_1 (greenhouse cover foil), PE_2 (</w:t>
      </w:r>
      <w:proofErr w:type="spellStart"/>
      <w:r w:rsidRPr="007B2CE1">
        <w:rPr>
          <w:lang w:val="en-US"/>
        </w:rPr>
        <w:t>sunprotection</w:t>
      </w:r>
      <w:proofErr w:type="spellEnd"/>
      <w:r w:rsidRPr="007B2CE1">
        <w:rPr>
          <w:lang w:val="en-US"/>
        </w:rPr>
        <w:t xml:space="preserve"> cover), and PE_4 (agricultural foil) </w:t>
      </w:r>
      <w:proofErr w:type="gramStart"/>
      <w:r w:rsidRPr="007B2CE1">
        <w:rPr>
          <w:lang w:val="en-US"/>
        </w:rPr>
        <w:t>are</w:t>
      </w:r>
      <w:proofErr w:type="gramEnd"/>
      <w:r w:rsidRPr="007B2CE1">
        <w:rPr>
          <w:lang w:val="en-US"/>
        </w:rPr>
        <w:t xml:space="preserve"> produced for outdoor applications. PE_1 and PE_2 </w:t>
      </w:r>
      <w:proofErr w:type="gramStart"/>
      <w:r w:rsidRPr="007B2CE1">
        <w:rPr>
          <w:lang w:val="en-US"/>
        </w:rPr>
        <w:t>are</w:t>
      </w:r>
      <w:proofErr w:type="gramEnd"/>
      <w:r w:rsidRPr="007B2CE1">
        <w:rPr>
          <w:lang w:val="en-US"/>
        </w:rPr>
        <w:t xml:space="preserve"> advertised as being weather-resistant, therefore increased UV-stability was expected. PE_3 was a jerrycan (HD-PE), which was also advertised with UV-stable properties. </w:t>
      </w:r>
    </w:p>
    <w:p w14:paraId="10D8ACE0" w14:textId="6575B2D3" w:rsidR="0008310F" w:rsidRPr="007B2CE1" w:rsidRDefault="0008310F" w:rsidP="0008310F">
      <w:pPr>
        <w:spacing w:line="480" w:lineRule="auto"/>
        <w:jc w:val="both"/>
        <w:rPr>
          <w:lang w:val="en-US"/>
        </w:rPr>
      </w:pPr>
      <w:r w:rsidRPr="007B2CE1">
        <w:rPr>
          <w:lang w:val="en-US"/>
        </w:rPr>
        <w:t xml:space="preserve">PET products were selected from the field of electrical applications. Due to the high safety demands, materials for electronic devices are known to contain high additive contents, e.g. of flame retardants </w:t>
      </w:r>
      <w:r w:rsidRPr="007B2CE1">
        <w:rPr>
          <w:lang w:val="en-US"/>
        </w:rPr>
        <w:fldChar w:fldCharType="begin"/>
      </w:r>
      <w:r w:rsidR="00270C6F" w:rsidRPr="007B2CE1">
        <w:rPr>
          <w:lang w:val="en-US"/>
        </w:rPr>
        <w:instrText xml:space="preserve"> ADDIN ZOTERO_ITEM CSL_CITATION {"citationID":"5ndIny3o","properties":{"formattedCitation":"[1]","plainCitation":"[1]","noteIndex":0},"citationItems":[{"id":5171,"uris":["http://zotero.org/users/3621315/items/Z6HZWM52"],"itemData":{"id":5171,"type":"article-journal","abstract":"An HPLC–UV/MS method has been developed to identify and quantify flame retardants in post-consumer plastics from waste of electric and electronic equipment (WEEE). Atmospheric pressure chemical ionisation spectra of 15 brominated and phosphate-based flame retardants were recorded and interpreted. The method was applied to detect flame retardant additives in polymer extracts obtained from pressurised liquid extraction of solid polymers. In addition, a screening method was developed for soluble styrene polymers to isolate a flame retardant fraction through the application of gel permeation chromatography (GPC). This fraction was transferred to an online-coupled HPLC column and detected by UV spectroscopy, which allowed a reliable qualitative and quantitative analysis of brominated flame retardants in the polymer solutions.","container-title":"Journal of Chromatography A","DOI":"10.1016/j.chroma.2004.12.016","ISSN":"0021-9673","issue":"1","journalAbbreviation":"Journal of Chromatography A","page":"39-51","source":"ScienceDirect","title":"Analysis of flame retardant additives in polymer fractions of waste of electric and electronic equipment (WEEE) by means of HPLC–UV/MS and GPC–HPLC–UV","volume":"1064","author":[{"family":"Schlummer","given":"Martin"},{"family":"Brandl","given":"Fritz"},{"family":"Mäurer","given":"Andreas"},{"family":"Eldik","given":"Rudi","non-dropping-particle":"van"}],"issued":{"date-parts":[["2005",1,28]]},"citation-key":"Schlummer2005AnalysisFlameRetardant"}}],"schema":"https://github.com/citation-style-language/schema/raw/master/csl-citation.json"} </w:instrText>
      </w:r>
      <w:r w:rsidRPr="007B2CE1">
        <w:rPr>
          <w:lang w:val="en-US"/>
        </w:rPr>
        <w:fldChar w:fldCharType="separate"/>
      </w:r>
      <w:r w:rsidR="00270C6F" w:rsidRPr="007B2CE1">
        <w:rPr>
          <w:rFonts w:ascii="Calibri" w:hAnsi="Calibri" w:cs="Calibri"/>
        </w:rPr>
        <w:t>[1]</w:t>
      </w:r>
      <w:r w:rsidRPr="007B2CE1">
        <w:rPr>
          <w:lang w:val="en-US"/>
        </w:rPr>
        <w:fldChar w:fldCharType="end"/>
      </w:r>
      <w:r w:rsidRPr="007B2CE1">
        <w:rPr>
          <w:lang w:val="en-US"/>
        </w:rPr>
        <w:t xml:space="preserve">. The selected materials are applied as D-SUB plugs (PET_1) and multipurpose housings (PET_2). PET_2 was advertised as chemically resistant and ideal for harsh environments. </w:t>
      </w:r>
    </w:p>
    <w:p w14:paraId="636CCBB7" w14:textId="77777777" w:rsidR="0008310F" w:rsidRPr="007B2CE1" w:rsidRDefault="0008310F" w:rsidP="0008310F">
      <w:pPr>
        <w:spacing w:before="240" w:line="480" w:lineRule="auto"/>
        <w:jc w:val="both"/>
        <w:rPr>
          <w:lang w:val="en-US"/>
        </w:rPr>
      </w:pPr>
      <w:r w:rsidRPr="007B2CE1">
        <w:rPr>
          <w:lang w:val="en-US"/>
        </w:rPr>
        <w:t xml:space="preserve">Two types of PVC tubing were selected. PVC_1 is used as a cable housing, so flame retardants were expected in this product, and PVC_2 is recommended for the transport of foodstuff, which might indicate a comparatively low additive load. </w:t>
      </w:r>
    </w:p>
    <w:p w14:paraId="019E3F2D" w14:textId="642295B1" w:rsidR="3E6E17B7" w:rsidRPr="007B2CE1" w:rsidRDefault="3E6E17B7" w:rsidP="32DA53BC">
      <w:pPr>
        <w:spacing w:before="240" w:line="480" w:lineRule="auto"/>
        <w:jc w:val="both"/>
        <w:rPr>
          <w:lang w:val="en-US"/>
        </w:rPr>
      </w:pPr>
      <w:r w:rsidRPr="007B2CE1">
        <w:rPr>
          <w:lang w:val="en-US"/>
        </w:rPr>
        <w:t xml:space="preserve">ATR-FTIR spectroscopy was applied to confirm the polymer types of the selected plastic products (Table 1), and in several cases indicated a polymer composition different from that stated by the manufacturer. </w:t>
      </w:r>
      <w:r w:rsidR="1A9E289C" w:rsidRPr="007B2CE1">
        <w:rPr>
          <w:lang w:val="en-US"/>
        </w:rPr>
        <w:t xml:space="preserve">For </w:t>
      </w:r>
      <w:proofErr w:type="spellStart"/>
      <w:r w:rsidR="1A9E289C" w:rsidRPr="007B2CE1">
        <w:rPr>
          <w:lang w:val="en-US"/>
        </w:rPr>
        <w:t>Analysos</w:t>
      </w:r>
      <w:proofErr w:type="spellEnd"/>
      <w:r w:rsidR="1A9E289C" w:rsidRPr="007B2CE1">
        <w:rPr>
          <w:lang w:val="en-US"/>
        </w:rPr>
        <w:t xml:space="preserve"> plastic pieces were placed on diamond crystal and analyzed by ATR-FTIR spectroscopy (Alpha I, Bruker Optics, Ettlingen, Germany). Measurements were performed three times with 32 scans and a resolution of 4 cm-1 (wavenumber range: 4000 cm</w:t>
      </w:r>
      <w:r w:rsidR="1A9E289C" w:rsidRPr="007B2CE1">
        <w:rPr>
          <w:vertAlign w:val="superscript"/>
          <w:lang w:val="en-US"/>
        </w:rPr>
        <w:t>-1</w:t>
      </w:r>
      <w:r w:rsidR="1A9E289C" w:rsidRPr="007B2CE1">
        <w:rPr>
          <w:lang w:val="en-US"/>
        </w:rPr>
        <w:t xml:space="preserve"> – 400 cm</w:t>
      </w:r>
      <w:r w:rsidR="1A9E289C" w:rsidRPr="007B2CE1">
        <w:rPr>
          <w:vertAlign w:val="superscript"/>
          <w:lang w:val="en-US"/>
        </w:rPr>
        <w:t>-1</w:t>
      </w:r>
      <w:r w:rsidR="1A9E289C" w:rsidRPr="007B2CE1">
        <w:rPr>
          <w:lang w:val="en-US"/>
        </w:rPr>
        <w:t xml:space="preserve">). </w:t>
      </w:r>
    </w:p>
    <w:p w14:paraId="3E2BD904" w14:textId="3B663AAA" w:rsidR="1A9E289C" w:rsidRPr="007B2CE1" w:rsidRDefault="1A9E289C" w:rsidP="32DA53BC">
      <w:pPr>
        <w:spacing w:before="240" w:line="480" w:lineRule="auto"/>
        <w:jc w:val="both"/>
      </w:pPr>
      <w:r w:rsidRPr="007B2CE1">
        <w:rPr>
          <w:lang w:val="en-US"/>
        </w:rPr>
        <w:t>The respective ATR-FTIR spectra were compared to the siMPle single spectra IR (326 spectra) and automated IR analysis (270 spectra) databases published by Primpke et al. (2020) (https://simple-plastics.eu) using OPUS 7.5 (Bruker Optics) (Primpke et al. 2020). Hereby, the vector-normalized original spectra and their first derivatives were used. A hit quality index (HQI) value was determined for the database comparison of every spectrum. Additionally, IR spectra of UV-treated and DC plastics were compared to those of their respective raw materials (untreated plastics).</w:t>
      </w:r>
    </w:p>
    <w:p w14:paraId="65F8A0B6" w14:textId="1C61B0DF" w:rsidR="32DA53BC" w:rsidRPr="007B2CE1" w:rsidRDefault="32DA53BC" w:rsidP="32DA53BC">
      <w:pPr>
        <w:spacing w:before="240" w:line="480" w:lineRule="auto"/>
        <w:jc w:val="both"/>
        <w:rPr>
          <w:lang w:val="en-US"/>
        </w:rPr>
      </w:pPr>
    </w:p>
    <w:p w14:paraId="079E5D34" w14:textId="2F94CD7F" w:rsidR="3E6E17B7" w:rsidRPr="007B2CE1" w:rsidRDefault="3E6E17B7" w:rsidP="32DA53BC">
      <w:pPr>
        <w:spacing w:before="240" w:line="480" w:lineRule="auto"/>
        <w:jc w:val="both"/>
        <w:rPr>
          <w:lang w:val="en-US"/>
        </w:rPr>
      </w:pPr>
      <w:r w:rsidRPr="007B2CE1">
        <w:rPr>
          <w:lang w:val="en-US"/>
        </w:rPr>
        <w:lastRenderedPageBreak/>
        <w:t xml:space="preserve">Only three of the eight materials could be fully verified as the material declared by the manufacturer based on high HQI values: PE_1 (transparent greenhouse cover foil), PE_3 (jerrycan), and PE_4 (agricultural foil: black and white side). PE_2 (grey sun protection foil for balconies) exhibited one PE and one PET side. PET_1 (D-Sub plug housing) was identified as styrene acrylonitrile copolymer (SAN; HQI value: 745/1000; good visual spectral agreement). Although the material is distributed as PET, the clear presence of a nitrile band at 2250 </w:t>
      </w:r>
      <w:proofErr w:type="gramStart"/>
      <w:r w:rsidRPr="007B2CE1">
        <w:rPr>
          <w:lang w:val="en-US"/>
        </w:rPr>
        <w:t>cm-1</w:t>
      </w:r>
      <w:proofErr w:type="gramEnd"/>
      <w:r w:rsidRPr="007B2CE1">
        <w:rPr>
          <w:lang w:val="en-US"/>
        </w:rPr>
        <w:t xml:space="preserve">, amongst others, was observed. In accordance with the dedicated use of the housing material, the similar copolymers acrylonitrile butadiene styrene (ABS) and SAN have an increased relevance for electrical and electronic applications (Plastics Europe 2022). For the IR spectrum of PET_2 (glass fiber reinforced polyester, Multipurpose housing), no suitable database spectrum could be identified. PVC_1 (cable housing) could not be assigned to any synthetic polymer type (highest spectral fit with chitin; HQI value: 559/1000). </w:t>
      </w:r>
    </w:p>
    <w:p w14:paraId="44E6D4CA" w14:textId="7748C2E1" w:rsidR="3E6E17B7" w:rsidRPr="007B2CE1" w:rsidRDefault="3E6E17B7" w:rsidP="32DA53BC">
      <w:pPr>
        <w:spacing w:before="240" w:line="480" w:lineRule="auto"/>
        <w:jc w:val="both"/>
        <w:rPr>
          <w:lang w:val="en-US"/>
        </w:rPr>
      </w:pPr>
      <w:r w:rsidRPr="007B2CE1">
        <w:rPr>
          <w:lang w:val="en-US"/>
        </w:rPr>
        <w:t xml:space="preserve">The spectrum of PVC_2 (transparent PVC-tubing) showed the highest agreement with the database spectrum of a vinyl chloride, vinyl acetate, and hydroxypropyl acrylate terpolymer (HQI value: 581/1000). </w:t>
      </w:r>
    </w:p>
    <w:p w14:paraId="70FE2A63" w14:textId="6AE3BF03" w:rsidR="3E6E17B7" w:rsidRPr="007B2CE1" w:rsidRDefault="3E6E17B7" w:rsidP="32DA53BC">
      <w:pPr>
        <w:spacing w:before="240" w:line="480" w:lineRule="auto"/>
        <w:jc w:val="both"/>
        <w:rPr>
          <w:lang w:val="en-US"/>
        </w:rPr>
      </w:pPr>
      <w:r w:rsidRPr="007B2CE1">
        <w:rPr>
          <w:lang w:val="en-US"/>
        </w:rPr>
        <w:t xml:space="preserve">The spectra of the UV-treated and DC materials were also compared to the corresponding original spectra (untreated) to find qualitative differences indicative of UV weathering or alterations due to the rotation and elevated temperature in the weathering chamber for DC (SI_D slide 16 - 26). In the IR spectrum of the PE side of PE_2, UV weathering led to the formation of a carbonyl band (SI_D Slide 19) indicating significant oxidation (Almond et al. 2020; Julienne et al. 2019), while the spectrum of the PET side remained unchanged. The spectrum of UV-weathered PET_1 showed clear hydroxy and carbonyl bands that were not visible in the spectra of DC and original PET_1 (SI_D Slide 25). </w:t>
      </w:r>
    </w:p>
    <w:p w14:paraId="65683AC8" w14:textId="0A8EA976" w:rsidR="3E6E17B7" w:rsidRPr="007B2CE1" w:rsidRDefault="3E6E17B7" w:rsidP="32DA53BC">
      <w:pPr>
        <w:spacing w:before="240" w:line="480" w:lineRule="auto"/>
        <w:jc w:val="both"/>
        <w:rPr>
          <w:lang w:val="en-US"/>
        </w:rPr>
      </w:pPr>
      <w:r w:rsidRPr="007B2CE1">
        <w:rPr>
          <w:lang w:val="en-US"/>
        </w:rPr>
        <w:t>The other materials’ spectra did not significantly change during the treatment indicating that no pronounced surface oxidation had occurred (Liu et al. 2019). Nevertheless, ATR-FTIR spectroscopy is not sensitive when it comes to detecting minor chemical changes on the surface or in the bulk of a polymer (penetration depth: several 100 nm).</w:t>
      </w:r>
    </w:p>
    <w:p w14:paraId="649F02C9" w14:textId="245B8A2E" w:rsidR="00360BBB" w:rsidRPr="007B2CE1" w:rsidRDefault="00360BBB" w:rsidP="00A7039F">
      <w:pPr>
        <w:pStyle w:val="Heading1"/>
        <w:rPr>
          <w:rFonts w:ascii="Arial" w:hAnsi="Arial" w:cs="Arial"/>
        </w:rPr>
      </w:pPr>
      <w:bookmarkStart w:id="1" w:name="_Toc161066325"/>
      <w:r w:rsidRPr="007B2CE1">
        <w:lastRenderedPageBreak/>
        <w:t>Text S</w:t>
      </w:r>
      <w:r w:rsidR="0008310F" w:rsidRPr="007B2CE1">
        <w:t>2</w:t>
      </w:r>
      <w:r w:rsidRPr="007B2CE1">
        <w:t xml:space="preserve"> </w:t>
      </w:r>
      <w:r w:rsidR="008609C2" w:rsidRPr="007B2CE1">
        <w:t>–</w:t>
      </w:r>
      <w:r w:rsidR="0008310F" w:rsidRPr="007B2CE1">
        <w:t xml:space="preserve"> Determination of UV-irradiation</w:t>
      </w:r>
      <w:bookmarkEnd w:id="1"/>
    </w:p>
    <w:p w14:paraId="6E3A716C" w14:textId="19E996D1" w:rsidR="007A1D8F" w:rsidRPr="007B2CE1" w:rsidRDefault="0008310F" w:rsidP="0008310F">
      <w:pPr>
        <w:spacing w:line="480" w:lineRule="auto"/>
        <w:jc w:val="both"/>
        <w:rPr>
          <w:rFonts w:ascii="Arial" w:hAnsi="Arial" w:cs="Arial"/>
          <w:lang w:val="en-US"/>
        </w:rPr>
      </w:pPr>
      <w:r w:rsidRPr="007B2CE1">
        <w:rPr>
          <w:lang w:val="en-US"/>
        </w:rPr>
        <w:t xml:space="preserve">This exposure time was calculated from measured UV-irradiation using a PTE-UV-34 luxmeter, as proposed by </w:t>
      </w:r>
      <w:bookmarkStart w:id="2" w:name="_Hlk153360152"/>
      <w:proofErr w:type="spellStart"/>
      <w:r w:rsidRPr="007B2CE1">
        <w:rPr>
          <w:lang w:val="en-US"/>
        </w:rPr>
        <w:t>Gewert</w:t>
      </w:r>
      <w:proofErr w:type="spellEnd"/>
      <w:r w:rsidRPr="007B2CE1">
        <w:rPr>
          <w:lang w:val="en-US"/>
        </w:rPr>
        <w:t xml:space="preserve"> et al. (2018) </w:t>
      </w:r>
      <w:bookmarkEnd w:id="2"/>
      <w:r w:rsidRPr="007B2CE1">
        <w:rPr>
          <w:rFonts w:ascii="Arial" w:hAnsi="Arial" w:cs="Arial"/>
          <w:lang w:val="en-US"/>
        </w:rPr>
        <w:fldChar w:fldCharType="begin"/>
      </w:r>
      <w:r w:rsidR="00270C6F" w:rsidRPr="007B2CE1">
        <w:rPr>
          <w:rFonts w:ascii="Arial" w:hAnsi="Arial" w:cs="Arial"/>
          <w:lang w:val="en-US"/>
        </w:rPr>
        <w:instrText xml:space="preserve"> ADDIN ZOTERO_ITEM CSL_CITATION {"citationID":"Ebo4qco7","properties":{"formattedCitation":"[2]","plainCitation":"[2]","noteIndex":0},"citationItems":[{"id":2770,"uris":["http://zotero.org/users/3621315/items/AQBET4QP"],"itemData":{"id":2770,"type":"article-journal","abstract":"Buoyant plastic in the marine environment is exposed to sunlight, oxidants, and physical stress, which may lead to degradation of the plastic polymer and the release of compounds that are potentially hazardous. We report the development of a laboratory protocol that simulates the exposure of plastic ﬂoating in the marine environment to ultraviolet light (UV) and nontarget analysis to identify degradation products of plastic polymers in water. Plastic pellets [polyethylene, polypropylene, polystyrene, and poly(ethylene terephthalate)] suspended in water were exposed to a UV light source for 5 days. Organic chemicals in the water were concentrated by solid phase extraction and then analyzed by ultra-high-performance liquid chromatography coupled to high-resolution mass spectrometry using a nontarget approach with a C18 LC column coupled to a Q Exactive Orbitrap HF mass spectrometer. We designed a data analysis scheme to identify chemicals that are likely chain scission products from degradation of the plastic polymers. For all four polymers, we found homologous series of low-molecular weight polymer fragments with oxidized end groups. In total, we tentatively identiﬁed 22 degradation products, which are mainly dicarboxylic acids.","container-title":"Environmental Science &amp; Technology Letters","DOI":"10.1021/acs.estlett.8b00119","ISSN":"2328-8930, 2328-8930","issue":"5","journalAbbreviation":"Environ. Sci. Technol. Lett.","language":"en","page":"272-276","source":"DOI.org (Crossref)","title":"Identification of Chain Scission Products Released to Water by Plastic Exposed to Ultraviolet Light","volume":"5","author":[{"family":"Gewert","given":"Berit"},{"family":"Plassmann","given":"Merle"},{"family":"Sandblom","given":"Oskar"},{"family":"MacLeod","given":"Matthew"}],"issued":{"date-parts":[["2018",5,8]]},"citation-key":"Gewert(2018)IdentificationChainScission"}}],"schema":"https://github.com/citation-style-language/schema/raw/master/csl-citation.json"} </w:instrText>
      </w:r>
      <w:r w:rsidRPr="007B2CE1">
        <w:rPr>
          <w:rFonts w:ascii="Arial" w:hAnsi="Arial" w:cs="Arial"/>
          <w:lang w:val="en-US"/>
        </w:rPr>
        <w:fldChar w:fldCharType="separate"/>
      </w:r>
      <w:r w:rsidR="00270C6F" w:rsidRPr="007B2CE1">
        <w:rPr>
          <w:rFonts w:ascii="Arial" w:hAnsi="Arial" w:cs="Arial"/>
        </w:rPr>
        <w:t>[2]</w:t>
      </w:r>
      <w:r w:rsidRPr="007B2CE1">
        <w:rPr>
          <w:rFonts w:ascii="Arial" w:hAnsi="Arial" w:cs="Arial"/>
          <w:lang w:val="en-US"/>
        </w:rPr>
        <w:fldChar w:fldCharType="end"/>
      </w:r>
      <w:r w:rsidRPr="007B2CE1">
        <w:rPr>
          <w:rFonts w:ascii="Arial" w:hAnsi="Arial" w:cs="Arial"/>
          <w:lang w:val="en-US"/>
        </w:rPr>
        <w:t>.</w:t>
      </w:r>
    </w:p>
    <w:p w14:paraId="531E30BF" w14:textId="77777777" w:rsidR="007A1D8F" w:rsidRPr="007B2CE1" w:rsidRDefault="00000000" w:rsidP="007A1D8F">
      <w:pPr>
        <w:rPr>
          <w:rFonts w:ascii="Arial" w:eastAsiaTheme="majorEastAsia" w:hAnsi="Arial" w:cs="Arial"/>
          <w:lang w:val="en-US"/>
        </w:rPr>
      </w:pPr>
      <m:oMathPara>
        <m:oMath>
          <m:sSub>
            <m:sSubPr>
              <m:ctrlPr>
                <w:rPr>
                  <w:rFonts w:ascii="Cambria Math" w:hAnsi="Cambria Math" w:cs="Arial"/>
                  <w:i/>
                  <w:lang w:val="en-US"/>
                </w:rPr>
              </m:ctrlPr>
            </m:sSubPr>
            <m:e>
              <m:r>
                <w:rPr>
                  <w:rFonts w:ascii="Cambria Math" w:hAnsi="Cambria Math" w:cs="Arial"/>
                  <w:lang w:val="en-US"/>
                </w:rPr>
                <m:t>t</m:t>
              </m:r>
            </m:e>
            <m:sub>
              <m:r>
                <w:rPr>
                  <w:rFonts w:ascii="Cambria Math" w:hAnsi="Cambria Math" w:cs="Arial"/>
                  <w:lang w:val="en-US"/>
                </w:rPr>
                <m:t>sim</m:t>
              </m:r>
            </m:sub>
          </m:sSub>
          <m:r>
            <w:rPr>
              <w:rFonts w:ascii="Cambria Math" w:hAnsi="Cambria Math" w:cs="Arial"/>
              <w:lang w:val="en-US"/>
            </w:rPr>
            <m:t xml:space="preserve">= </m:t>
          </m:r>
          <m:f>
            <m:fPr>
              <m:ctrlPr>
                <w:rPr>
                  <w:rFonts w:ascii="Cambria Math" w:eastAsiaTheme="minorEastAsia" w:hAnsi="Cambria Math" w:cs="Arial"/>
                  <w:i/>
                  <w:lang w:val="en-US"/>
                </w:rPr>
              </m:ctrlPr>
            </m:fPr>
            <m:num>
              <m:r>
                <w:rPr>
                  <w:rFonts w:ascii="Cambria Math" w:eastAsiaTheme="minorEastAsia" w:hAnsi="Cambria Math" w:cs="Arial"/>
                  <w:lang w:val="en-US"/>
                </w:rPr>
                <m:t>ra</m:t>
              </m:r>
              <m:sSub>
                <m:sSubPr>
                  <m:ctrlPr>
                    <w:rPr>
                      <w:rFonts w:ascii="Cambria Math" w:eastAsiaTheme="minorEastAsia" w:hAnsi="Cambria Math" w:cs="Arial"/>
                      <w:i/>
                      <w:lang w:val="en-US"/>
                    </w:rPr>
                  </m:ctrlPr>
                </m:sSubPr>
                <m:e>
                  <m:r>
                    <w:rPr>
                      <w:rFonts w:ascii="Cambria Math" w:eastAsiaTheme="minorEastAsia" w:hAnsi="Cambria Math" w:cs="Arial"/>
                      <w:lang w:val="en-US"/>
                    </w:rPr>
                    <m:t>d</m:t>
                  </m:r>
                </m:e>
                <m:sub>
                  <m:r>
                    <w:rPr>
                      <w:rFonts w:ascii="Cambria Math" w:eastAsiaTheme="minorEastAsia" w:hAnsi="Cambria Math" w:cs="Arial"/>
                      <w:lang w:val="en-US"/>
                    </w:rPr>
                    <m:t>total</m:t>
                  </m:r>
                </m:sub>
              </m:sSub>
            </m:num>
            <m:den>
              <m:r>
                <w:rPr>
                  <w:rFonts w:ascii="Cambria Math" w:eastAsiaTheme="minorEastAsia" w:hAnsi="Cambria Math" w:cs="Arial"/>
                  <w:lang w:val="en-US"/>
                </w:rPr>
                <m:t>UVra</m:t>
              </m:r>
              <m:sSub>
                <m:sSubPr>
                  <m:ctrlPr>
                    <w:rPr>
                      <w:rFonts w:ascii="Cambria Math" w:eastAsiaTheme="minorEastAsia" w:hAnsi="Cambria Math" w:cs="Arial"/>
                      <w:i/>
                      <w:lang w:val="en-US"/>
                    </w:rPr>
                  </m:ctrlPr>
                </m:sSubPr>
                <m:e>
                  <m:r>
                    <w:rPr>
                      <w:rFonts w:ascii="Cambria Math" w:eastAsiaTheme="minorEastAsia" w:hAnsi="Cambria Math" w:cs="Arial"/>
                      <w:lang w:val="en-US"/>
                    </w:rPr>
                    <m:t>d</m:t>
                  </m:r>
                </m:e>
                <m:sub>
                  <m:r>
                    <w:rPr>
                      <w:rFonts w:ascii="Cambria Math" w:eastAsiaTheme="minorEastAsia" w:hAnsi="Cambria Math" w:cs="Arial"/>
                      <w:lang w:val="en-US"/>
                    </w:rPr>
                    <m:t>Germany</m:t>
                  </m:r>
                </m:sub>
              </m:sSub>
            </m:den>
          </m:f>
          <m:r>
            <w:rPr>
              <w:rFonts w:ascii="Cambria Math" w:eastAsiaTheme="minorEastAsia" w:hAnsi="Cambria Math" w:cs="Arial"/>
              <w:lang w:val="en-US"/>
            </w:rPr>
            <m:t>⋅365</m:t>
          </m:r>
          <m:f>
            <m:fPr>
              <m:ctrlPr>
                <w:rPr>
                  <w:rFonts w:ascii="Cambria Math" w:eastAsiaTheme="minorEastAsia" w:hAnsi="Cambria Math" w:cs="Arial"/>
                  <w:i/>
                  <w:lang w:val="en-US"/>
                </w:rPr>
              </m:ctrlPr>
            </m:fPr>
            <m:num>
              <m:r>
                <w:rPr>
                  <w:rFonts w:ascii="Cambria Math" w:eastAsiaTheme="minorEastAsia" w:hAnsi="Cambria Math" w:cs="Arial"/>
                  <w:lang w:val="en-US"/>
                </w:rPr>
                <m:t>d</m:t>
              </m:r>
            </m:num>
            <m:den>
              <m:r>
                <w:rPr>
                  <w:rFonts w:ascii="Cambria Math" w:eastAsiaTheme="minorEastAsia" w:hAnsi="Cambria Math" w:cs="Arial"/>
                  <w:lang w:val="en-US"/>
                </w:rPr>
                <m:t>a</m:t>
              </m:r>
            </m:den>
          </m:f>
        </m:oMath>
      </m:oMathPara>
    </w:p>
    <w:p w14:paraId="4840FA9C" w14:textId="77777777" w:rsidR="007A1D8F" w:rsidRPr="007B2CE1" w:rsidRDefault="007A1D8F" w:rsidP="007A1D8F">
      <w:pPr>
        <w:rPr>
          <w:rFonts w:ascii="Arial" w:eastAsiaTheme="majorEastAsia" w:hAnsi="Arial" w:cs="Arial"/>
          <w:lang w:val="en-US"/>
        </w:rPr>
      </w:pPr>
      <m:oMathPara>
        <m:oMath>
          <m:r>
            <w:rPr>
              <w:rFonts w:ascii="Cambria Math" w:eastAsiaTheme="majorEastAsia" w:hAnsi="Cambria Math" w:cs="Arial"/>
              <w:lang w:val="en-US"/>
            </w:rPr>
            <m:t>ra</m:t>
          </m:r>
          <m:sSub>
            <m:sSubPr>
              <m:ctrlPr>
                <w:rPr>
                  <w:rFonts w:ascii="Cambria Math" w:eastAsiaTheme="majorEastAsia" w:hAnsi="Cambria Math" w:cs="Arial"/>
                  <w:i/>
                  <w:lang w:val="en-US"/>
                </w:rPr>
              </m:ctrlPr>
            </m:sSubPr>
            <m:e>
              <m:r>
                <w:rPr>
                  <w:rFonts w:ascii="Cambria Math" w:eastAsiaTheme="majorEastAsia" w:hAnsi="Cambria Math" w:cs="Arial"/>
                  <w:lang w:val="en-US"/>
                </w:rPr>
                <m:t>d</m:t>
              </m:r>
            </m:e>
            <m:sub>
              <m:r>
                <w:rPr>
                  <w:rFonts w:ascii="Cambria Math" w:eastAsiaTheme="majorEastAsia" w:hAnsi="Cambria Math" w:cs="Arial"/>
                  <w:lang w:val="en-US"/>
                </w:rPr>
                <m:t>total</m:t>
              </m:r>
            </m:sub>
          </m:sSub>
          <m:r>
            <w:rPr>
              <w:rFonts w:ascii="Cambria Math" w:eastAsiaTheme="majorEastAsia" w:hAnsi="Cambria Math" w:cs="Arial"/>
              <w:lang w:val="en-US"/>
            </w:rPr>
            <m:t>=</m:t>
          </m:r>
          <m:f>
            <m:fPr>
              <m:ctrlPr>
                <w:rPr>
                  <w:rFonts w:ascii="Cambria Math" w:eastAsiaTheme="majorEastAsia" w:hAnsi="Cambria Math" w:cs="Arial"/>
                  <w:i/>
                  <w:lang w:val="en-US"/>
                </w:rPr>
              </m:ctrlPr>
            </m:fPr>
            <m:num>
              <m:r>
                <w:rPr>
                  <w:rFonts w:ascii="Cambria Math" w:eastAsiaTheme="majorEastAsia" w:hAnsi="Cambria Math" w:cs="Arial"/>
                  <w:lang w:val="en-US"/>
                </w:rPr>
                <m:t>ra</m:t>
              </m:r>
              <m:sSub>
                <m:sSubPr>
                  <m:ctrlPr>
                    <w:rPr>
                      <w:rFonts w:ascii="Cambria Math" w:eastAsiaTheme="majorEastAsia" w:hAnsi="Cambria Math" w:cs="Arial"/>
                      <w:i/>
                      <w:lang w:val="en-US"/>
                    </w:rPr>
                  </m:ctrlPr>
                </m:sSubPr>
                <m:e>
                  <m:r>
                    <w:rPr>
                      <w:rFonts w:ascii="Cambria Math" w:eastAsiaTheme="majorEastAsia" w:hAnsi="Cambria Math" w:cs="Arial"/>
                      <w:lang w:val="en-US"/>
                    </w:rPr>
                    <m:t>d</m:t>
                  </m:r>
                </m:e>
                <m:sub>
                  <m:r>
                    <w:rPr>
                      <w:rFonts w:ascii="Cambria Math" w:eastAsiaTheme="majorEastAsia" w:hAnsi="Cambria Math" w:cs="Arial"/>
                      <w:lang w:val="en-US"/>
                    </w:rPr>
                    <m:t>measured</m:t>
                  </m:r>
                </m:sub>
              </m:sSub>
              <m:r>
                <w:rPr>
                  <w:rFonts w:ascii="Cambria Math" w:eastAsiaTheme="majorEastAsia" w:hAnsi="Cambria Math" w:cs="Arial"/>
                  <w:lang w:val="en-US"/>
                </w:rPr>
                <m:t>⋅</m:t>
              </m:r>
              <m:sSub>
                <m:sSubPr>
                  <m:ctrlPr>
                    <w:rPr>
                      <w:rFonts w:ascii="Cambria Math" w:eastAsiaTheme="majorEastAsia" w:hAnsi="Cambria Math" w:cs="Arial"/>
                      <w:i/>
                      <w:lang w:val="en-US"/>
                    </w:rPr>
                  </m:ctrlPr>
                </m:sSubPr>
                <m:e>
                  <m:r>
                    <w:rPr>
                      <w:rFonts w:ascii="Cambria Math" w:eastAsiaTheme="majorEastAsia" w:hAnsi="Cambria Math" w:cs="Arial"/>
                      <w:lang w:val="en-US"/>
                    </w:rPr>
                    <m:t>t</m:t>
                  </m:r>
                </m:e>
                <m:sub>
                  <m:r>
                    <w:rPr>
                      <w:rFonts w:ascii="Cambria Math" w:eastAsiaTheme="majorEastAsia" w:hAnsi="Cambria Math" w:cs="Arial"/>
                      <w:lang w:val="en-US"/>
                    </w:rPr>
                    <m:t>run</m:t>
                  </m:r>
                </m:sub>
              </m:sSub>
            </m:num>
            <m:den>
              <m:r>
                <w:rPr>
                  <w:rFonts w:ascii="Cambria Math" w:eastAsiaTheme="majorEastAsia" w:hAnsi="Cambria Math" w:cs="Arial"/>
                  <w:lang w:val="en-US"/>
                </w:rPr>
                <m:t>1000</m:t>
              </m:r>
              <m:f>
                <m:fPr>
                  <m:ctrlPr>
                    <w:rPr>
                      <w:rFonts w:ascii="Cambria Math" w:eastAsiaTheme="majorEastAsia" w:hAnsi="Cambria Math" w:cs="Arial"/>
                      <w:i/>
                      <w:lang w:val="en-US"/>
                    </w:rPr>
                  </m:ctrlPr>
                </m:fPr>
                <m:num>
                  <m:r>
                    <w:rPr>
                      <w:rFonts w:ascii="Cambria Math" w:eastAsiaTheme="majorEastAsia" w:hAnsi="Cambria Math" w:cs="Arial"/>
                      <w:lang w:val="en-US"/>
                    </w:rPr>
                    <m:t>W</m:t>
                  </m:r>
                </m:num>
                <m:den>
                  <m:r>
                    <w:rPr>
                      <w:rFonts w:ascii="Cambria Math" w:eastAsiaTheme="majorEastAsia" w:hAnsi="Cambria Math" w:cs="Arial"/>
                      <w:lang w:val="en-US"/>
                    </w:rPr>
                    <m:t>kW</m:t>
                  </m:r>
                </m:den>
              </m:f>
            </m:den>
          </m:f>
        </m:oMath>
      </m:oMathPara>
    </w:p>
    <w:p w14:paraId="7FDB09BC" w14:textId="77777777" w:rsidR="007A1D8F" w:rsidRPr="007B2CE1" w:rsidRDefault="007A1D8F" w:rsidP="007A1D8F">
      <w:pPr>
        <w:rPr>
          <w:rFonts w:ascii="Arial" w:hAnsi="Arial" w:cs="Arial"/>
          <w:lang w:val="en-US"/>
        </w:rPr>
      </w:pPr>
    </w:p>
    <w:p w14:paraId="1111740D" w14:textId="77777777" w:rsidR="007A1D8F" w:rsidRPr="007B2CE1" w:rsidRDefault="007A1D8F" w:rsidP="007A1D8F">
      <w:pPr>
        <w:rPr>
          <w:rFonts w:ascii="Arial" w:hAnsi="Arial" w:cs="Arial"/>
          <w:lang w:val="en-US"/>
        </w:rPr>
      </w:pPr>
      <w:proofErr w:type="spellStart"/>
      <w:r w:rsidRPr="007B2CE1">
        <w:rPr>
          <w:rFonts w:ascii="Arial" w:hAnsi="Arial" w:cs="Arial"/>
          <w:i/>
          <w:lang w:val="en-US"/>
        </w:rPr>
        <w:t>rad</w:t>
      </w:r>
      <w:r w:rsidRPr="007B2CE1">
        <w:rPr>
          <w:rFonts w:ascii="Arial" w:hAnsi="Arial" w:cs="Arial"/>
          <w:vertAlign w:val="subscript"/>
          <w:lang w:val="en-US"/>
        </w:rPr>
        <w:t>Germany</w:t>
      </w:r>
      <w:proofErr w:type="spellEnd"/>
      <w:r w:rsidRPr="007B2CE1">
        <w:rPr>
          <w:rFonts w:ascii="Arial" w:hAnsi="Arial" w:cs="Arial"/>
          <w:vertAlign w:val="subscript"/>
          <w:lang w:val="en-US"/>
        </w:rPr>
        <w:t xml:space="preserve"> (2010 - 2020)</w:t>
      </w:r>
      <w:r w:rsidRPr="007B2CE1">
        <w:rPr>
          <w:rFonts w:ascii="Arial" w:hAnsi="Arial" w:cs="Arial"/>
          <w:lang w:val="en-US"/>
        </w:rPr>
        <w:tab/>
        <w:t>1114 kWh/m²*a</w:t>
      </w:r>
      <w:r w:rsidRPr="007B2CE1">
        <w:rPr>
          <w:rFonts w:ascii="Arial" w:hAnsi="Arial" w:cs="Arial"/>
          <w:lang w:val="en-US"/>
        </w:rPr>
        <w:br/>
      </w:r>
      <w:proofErr w:type="spellStart"/>
      <w:r w:rsidRPr="007B2CE1">
        <w:rPr>
          <w:rFonts w:ascii="Arial" w:hAnsi="Arial" w:cs="Arial"/>
          <w:i/>
          <w:lang w:val="en-US"/>
        </w:rPr>
        <w:t>UVrad</w:t>
      </w:r>
      <w:r w:rsidRPr="007B2CE1">
        <w:rPr>
          <w:rFonts w:ascii="Arial" w:hAnsi="Arial" w:cs="Arial"/>
          <w:vertAlign w:val="subscript"/>
          <w:lang w:val="en-US"/>
        </w:rPr>
        <w:t>Germany</w:t>
      </w:r>
      <w:proofErr w:type="spellEnd"/>
      <w:r w:rsidRPr="007B2CE1">
        <w:rPr>
          <w:rFonts w:ascii="Arial" w:hAnsi="Arial" w:cs="Arial"/>
          <w:lang w:val="en-US"/>
        </w:rPr>
        <w:t xml:space="preserve"> (5%):</w:t>
      </w:r>
      <w:r w:rsidRPr="007B2CE1">
        <w:rPr>
          <w:rFonts w:ascii="Arial" w:hAnsi="Arial" w:cs="Arial"/>
          <w:lang w:val="en-US"/>
        </w:rPr>
        <w:tab/>
        <w:t>22.3 kWh/m²*a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9"/>
        <w:gridCol w:w="2255"/>
        <w:gridCol w:w="2256"/>
        <w:gridCol w:w="2256"/>
      </w:tblGrid>
      <w:tr w:rsidR="007A1D8F" w:rsidRPr="007B2CE1" w14:paraId="4314A290" w14:textId="77777777" w:rsidTr="007A1D8F">
        <w:tc>
          <w:tcPr>
            <w:tcW w:w="2265" w:type="dxa"/>
            <w:tcBorders>
              <w:top w:val="single" w:sz="18" w:space="0" w:color="auto"/>
              <w:bottom w:val="single" w:sz="8" w:space="0" w:color="auto"/>
            </w:tcBorders>
          </w:tcPr>
          <w:p w14:paraId="659DC8D9" w14:textId="77777777" w:rsidR="007A1D8F" w:rsidRPr="007B2CE1" w:rsidRDefault="007A1D8F" w:rsidP="007A1D8F">
            <w:pPr>
              <w:rPr>
                <w:rFonts w:ascii="Arial" w:hAnsi="Arial" w:cs="Arial"/>
              </w:rPr>
            </w:pPr>
          </w:p>
        </w:tc>
        <w:tc>
          <w:tcPr>
            <w:tcW w:w="2265" w:type="dxa"/>
            <w:tcBorders>
              <w:top w:val="single" w:sz="18" w:space="0" w:color="auto"/>
              <w:bottom w:val="single" w:sz="8" w:space="0" w:color="auto"/>
            </w:tcBorders>
          </w:tcPr>
          <w:p w14:paraId="712F1A86" w14:textId="77777777" w:rsidR="007A1D8F" w:rsidRPr="007B2CE1" w:rsidRDefault="007A1D8F" w:rsidP="007A1D8F">
            <w:pPr>
              <w:rPr>
                <w:rFonts w:ascii="Arial" w:hAnsi="Arial" w:cs="Arial"/>
              </w:rPr>
            </w:pPr>
            <w:r w:rsidRPr="007B2CE1">
              <w:rPr>
                <w:rFonts w:ascii="Arial" w:hAnsi="Arial" w:cs="Arial"/>
              </w:rPr>
              <w:t>UVC1</w:t>
            </w:r>
          </w:p>
        </w:tc>
        <w:tc>
          <w:tcPr>
            <w:tcW w:w="2266" w:type="dxa"/>
            <w:tcBorders>
              <w:top w:val="single" w:sz="18" w:space="0" w:color="auto"/>
              <w:bottom w:val="single" w:sz="8" w:space="0" w:color="auto"/>
            </w:tcBorders>
          </w:tcPr>
          <w:p w14:paraId="371983E3" w14:textId="77777777" w:rsidR="007A1D8F" w:rsidRPr="007B2CE1" w:rsidRDefault="007A1D8F" w:rsidP="007A1D8F">
            <w:pPr>
              <w:rPr>
                <w:rFonts w:ascii="Arial" w:hAnsi="Arial" w:cs="Arial"/>
              </w:rPr>
            </w:pPr>
            <w:r w:rsidRPr="007B2CE1">
              <w:rPr>
                <w:rFonts w:ascii="Arial" w:hAnsi="Arial" w:cs="Arial"/>
              </w:rPr>
              <w:t>UVC2</w:t>
            </w:r>
          </w:p>
        </w:tc>
        <w:tc>
          <w:tcPr>
            <w:tcW w:w="2266" w:type="dxa"/>
            <w:tcBorders>
              <w:top w:val="single" w:sz="18" w:space="0" w:color="auto"/>
              <w:bottom w:val="single" w:sz="8" w:space="0" w:color="auto"/>
            </w:tcBorders>
          </w:tcPr>
          <w:p w14:paraId="68E56305" w14:textId="77777777" w:rsidR="007A1D8F" w:rsidRPr="007B2CE1" w:rsidRDefault="007A1D8F" w:rsidP="007A1D8F">
            <w:pPr>
              <w:rPr>
                <w:rFonts w:ascii="Arial" w:hAnsi="Arial" w:cs="Arial"/>
              </w:rPr>
            </w:pPr>
            <w:r w:rsidRPr="007B2CE1">
              <w:rPr>
                <w:rFonts w:ascii="Arial" w:hAnsi="Arial" w:cs="Arial"/>
              </w:rPr>
              <w:t>UVC3</w:t>
            </w:r>
          </w:p>
        </w:tc>
      </w:tr>
      <w:tr w:rsidR="007A1D8F" w:rsidRPr="007B2CE1" w14:paraId="2349B72D" w14:textId="77777777" w:rsidTr="007A1D8F">
        <w:tc>
          <w:tcPr>
            <w:tcW w:w="2265" w:type="dxa"/>
            <w:tcBorders>
              <w:top w:val="single" w:sz="8" w:space="0" w:color="auto"/>
            </w:tcBorders>
          </w:tcPr>
          <w:p w14:paraId="09AD4FCC" w14:textId="77777777" w:rsidR="007A1D8F" w:rsidRPr="007B2CE1" w:rsidRDefault="007A1D8F" w:rsidP="007A1D8F">
            <w:pPr>
              <w:rPr>
                <w:rFonts w:ascii="Arial" w:hAnsi="Arial" w:cs="Arial"/>
              </w:rPr>
            </w:pPr>
            <w:proofErr w:type="spellStart"/>
            <w:r w:rsidRPr="007B2CE1">
              <w:rPr>
                <w:rFonts w:ascii="Arial" w:hAnsi="Arial" w:cs="Arial"/>
                <w:i/>
              </w:rPr>
              <w:t>rad</w:t>
            </w:r>
            <w:r w:rsidRPr="007B2CE1">
              <w:rPr>
                <w:rFonts w:ascii="Arial" w:hAnsi="Arial" w:cs="Arial"/>
                <w:vertAlign w:val="subscript"/>
              </w:rPr>
              <w:t>measured</w:t>
            </w:r>
            <w:proofErr w:type="spellEnd"/>
            <w:r w:rsidRPr="007B2CE1">
              <w:rPr>
                <w:rFonts w:ascii="Arial" w:hAnsi="Arial" w:cs="Arial"/>
                <w:vertAlign w:val="subscript"/>
              </w:rPr>
              <w:t xml:space="preserve"> </w:t>
            </w:r>
            <w:r w:rsidRPr="007B2CE1">
              <w:rPr>
                <w:rFonts w:ascii="Arial" w:hAnsi="Arial" w:cs="Arial"/>
              </w:rPr>
              <w:t>[W/m²]</w:t>
            </w:r>
          </w:p>
        </w:tc>
        <w:tc>
          <w:tcPr>
            <w:tcW w:w="2265" w:type="dxa"/>
            <w:tcBorders>
              <w:top w:val="single" w:sz="8" w:space="0" w:color="auto"/>
            </w:tcBorders>
          </w:tcPr>
          <w:p w14:paraId="58DB04A6" w14:textId="77777777" w:rsidR="007A1D8F" w:rsidRPr="007B2CE1" w:rsidRDefault="007A1D8F" w:rsidP="007A1D8F">
            <w:pPr>
              <w:rPr>
                <w:rFonts w:ascii="Arial" w:hAnsi="Arial" w:cs="Arial"/>
              </w:rPr>
            </w:pPr>
            <w:r w:rsidRPr="007B2CE1">
              <w:rPr>
                <w:rFonts w:ascii="Arial" w:hAnsi="Arial" w:cs="Arial"/>
              </w:rPr>
              <w:t>75</w:t>
            </w:r>
          </w:p>
        </w:tc>
        <w:tc>
          <w:tcPr>
            <w:tcW w:w="2266" w:type="dxa"/>
            <w:tcBorders>
              <w:top w:val="single" w:sz="8" w:space="0" w:color="auto"/>
            </w:tcBorders>
          </w:tcPr>
          <w:p w14:paraId="654E2F57" w14:textId="77777777" w:rsidR="007A1D8F" w:rsidRPr="007B2CE1" w:rsidRDefault="007A1D8F" w:rsidP="007A1D8F">
            <w:pPr>
              <w:rPr>
                <w:rFonts w:ascii="Arial" w:hAnsi="Arial" w:cs="Arial"/>
              </w:rPr>
            </w:pPr>
            <w:r w:rsidRPr="007B2CE1">
              <w:rPr>
                <w:rFonts w:ascii="Arial" w:hAnsi="Arial" w:cs="Arial"/>
              </w:rPr>
              <w:t>60</w:t>
            </w:r>
          </w:p>
        </w:tc>
        <w:tc>
          <w:tcPr>
            <w:tcW w:w="2266" w:type="dxa"/>
            <w:tcBorders>
              <w:top w:val="single" w:sz="8" w:space="0" w:color="auto"/>
            </w:tcBorders>
          </w:tcPr>
          <w:p w14:paraId="037B110C" w14:textId="77777777" w:rsidR="007A1D8F" w:rsidRPr="007B2CE1" w:rsidRDefault="007A1D8F" w:rsidP="007A1D8F">
            <w:pPr>
              <w:rPr>
                <w:rFonts w:ascii="Arial" w:hAnsi="Arial" w:cs="Arial"/>
              </w:rPr>
            </w:pPr>
            <w:r w:rsidRPr="007B2CE1">
              <w:rPr>
                <w:rFonts w:ascii="Arial" w:hAnsi="Arial" w:cs="Arial"/>
              </w:rPr>
              <w:t>59</w:t>
            </w:r>
          </w:p>
        </w:tc>
      </w:tr>
      <w:tr w:rsidR="007A1D8F" w:rsidRPr="007B2CE1" w14:paraId="7A124736" w14:textId="77777777" w:rsidTr="007A1D8F">
        <w:tc>
          <w:tcPr>
            <w:tcW w:w="2265" w:type="dxa"/>
          </w:tcPr>
          <w:p w14:paraId="5E050D91" w14:textId="77777777" w:rsidR="007A1D8F" w:rsidRPr="007B2CE1" w:rsidRDefault="007A1D8F" w:rsidP="007A1D8F">
            <w:pPr>
              <w:rPr>
                <w:rFonts w:ascii="Arial" w:hAnsi="Arial" w:cs="Arial"/>
              </w:rPr>
            </w:pPr>
            <w:proofErr w:type="spellStart"/>
            <w:r w:rsidRPr="007B2CE1">
              <w:rPr>
                <w:rFonts w:ascii="Arial" w:hAnsi="Arial" w:cs="Arial"/>
                <w:i/>
              </w:rPr>
              <w:t>t</w:t>
            </w:r>
            <w:r w:rsidRPr="007B2CE1">
              <w:rPr>
                <w:rFonts w:ascii="Arial" w:hAnsi="Arial" w:cs="Arial"/>
                <w:vertAlign w:val="subscript"/>
              </w:rPr>
              <w:t>run</w:t>
            </w:r>
            <w:proofErr w:type="spellEnd"/>
            <w:r w:rsidRPr="007B2CE1">
              <w:rPr>
                <w:rFonts w:ascii="Arial" w:hAnsi="Arial" w:cs="Arial"/>
                <w:vertAlign w:val="subscript"/>
              </w:rPr>
              <w:t xml:space="preserve"> </w:t>
            </w:r>
            <w:r w:rsidRPr="007B2CE1">
              <w:rPr>
                <w:rFonts w:ascii="Arial" w:hAnsi="Arial" w:cs="Arial"/>
              </w:rPr>
              <w:t>[h]</w:t>
            </w:r>
          </w:p>
        </w:tc>
        <w:tc>
          <w:tcPr>
            <w:tcW w:w="2265" w:type="dxa"/>
          </w:tcPr>
          <w:p w14:paraId="02E653D0" w14:textId="77777777" w:rsidR="007A1D8F" w:rsidRPr="007B2CE1" w:rsidRDefault="007A1D8F" w:rsidP="007A1D8F">
            <w:pPr>
              <w:rPr>
                <w:rFonts w:ascii="Arial" w:hAnsi="Arial" w:cs="Arial"/>
              </w:rPr>
            </w:pPr>
            <w:r w:rsidRPr="007B2CE1">
              <w:rPr>
                <w:rFonts w:ascii="Arial" w:hAnsi="Arial" w:cs="Arial"/>
              </w:rPr>
              <w:t>249</w:t>
            </w:r>
          </w:p>
        </w:tc>
        <w:tc>
          <w:tcPr>
            <w:tcW w:w="2266" w:type="dxa"/>
          </w:tcPr>
          <w:p w14:paraId="592A07C3" w14:textId="77777777" w:rsidR="007A1D8F" w:rsidRPr="007B2CE1" w:rsidRDefault="007A1D8F" w:rsidP="007A1D8F">
            <w:pPr>
              <w:rPr>
                <w:rFonts w:ascii="Arial" w:hAnsi="Arial" w:cs="Arial"/>
              </w:rPr>
            </w:pPr>
            <w:r w:rsidRPr="007B2CE1">
              <w:rPr>
                <w:rFonts w:ascii="Arial" w:hAnsi="Arial" w:cs="Arial"/>
              </w:rPr>
              <w:t>237</w:t>
            </w:r>
          </w:p>
        </w:tc>
        <w:tc>
          <w:tcPr>
            <w:tcW w:w="2266" w:type="dxa"/>
          </w:tcPr>
          <w:p w14:paraId="3C789C55" w14:textId="77777777" w:rsidR="007A1D8F" w:rsidRPr="007B2CE1" w:rsidRDefault="007A1D8F" w:rsidP="007A1D8F">
            <w:pPr>
              <w:rPr>
                <w:rFonts w:ascii="Arial" w:hAnsi="Arial" w:cs="Arial"/>
              </w:rPr>
            </w:pPr>
            <w:r w:rsidRPr="007B2CE1">
              <w:rPr>
                <w:rFonts w:ascii="Arial" w:hAnsi="Arial" w:cs="Arial"/>
              </w:rPr>
              <w:t>245</w:t>
            </w:r>
          </w:p>
        </w:tc>
      </w:tr>
      <w:tr w:rsidR="007A1D8F" w:rsidRPr="007B2CE1" w14:paraId="58E32824" w14:textId="77777777" w:rsidTr="007A1D8F">
        <w:tc>
          <w:tcPr>
            <w:tcW w:w="2265" w:type="dxa"/>
            <w:tcBorders>
              <w:bottom w:val="single" w:sz="18" w:space="0" w:color="auto"/>
            </w:tcBorders>
          </w:tcPr>
          <w:p w14:paraId="2A42D6C2" w14:textId="77777777" w:rsidR="007A1D8F" w:rsidRPr="007B2CE1" w:rsidRDefault="007A1D8F" w:rsidP="007A1D8F">
            <w:pPr>
              <w:rPr>
                <w:rFonts w:ascii="Arial" w:hAnsi="Arial" w:cs="Arial"/>
                <w:vertAlign w:val="subscript"/>
              </w:rPr>
            </w:pPr>
            <w:proofErr w:type="spellStart"/>
            <w:r w:rsidRPr="007B2CE1">
              <w:rPr>
                <w:rFonts w:ascii="Arial" w:hAnsi="Arial" w:cs="Arial"/>
                <w:i/>
              </w:rPr>
              <w:t>t</w:t>
            </w:r>
            <w:r w:rsidRPr="007B2CE1">
              <w:rPr>
                <w:rFonts w:ascii="Arial" w:hAnsi="Arial" w:cs="Arial"/>
                <w:vertAlign w:val="subscript"/>
              </w:rPr>
              <w:t>sim</w:t>
            </w:r>
            <w:proofErr w:type="spellEnd"/>
          </w:p>
        </w:tc>
        <w:tc>
          <w:tcPr>
            <w:tcW w:w="2265" w:type="dxa"/>
            <w:tcBorders>
              <w:bottom w:val="single" w:sz="18" w:space="0" w:color="auto"/>
            </w:tcBorders>
          </w:tcPr>
          <w:p w14:paraId="613598EE" w14:textId="77777777" w:rsidR="007A1D8F" w:rsidRPr="007B2CE1" w:rsidRDefault="007A1D8F" w:rsidP="007A1D8F">
            <w:pPr>
              <w:rPr>
                <w:rFonts w:ascii="Arial" w:hAnsi="Arial" w:cs="Arial"/>
              </w:rPr>
            </w:pPr>
            <w:r w:rsidRPr="007B2CE1">
              <w:rPr>
                <w:rFonts w:ascii="Arial" w:hAnsi="Arial" w:cs="Arial"/>
              </w:rPr>
              <w:t>306</w:t>
            </w:r>
          </w:p>
        </w:tc>
        <w:tc>
          <w:tcPr>
            <w:tcW w:w="2266" w:type="dxa"/>
            <w:tcBorders>
              <w:bottom w:val="single" w:sz="18" w:space="0" w:color="auto"/>
            </w:tcBorders>
          </w:tcPr>
          <w:p w14:paraId="6038D519" w14:textId="77777777" w:rsidR="007A1D8F" w:rsidRPr="007B2CE1" w:rsidRDefault="007A1D8F" w:rsidP="007A1D8F">
            <w:pPr>
              <w:rPr>
                <w:rFonts w:ascii="Arial" w:hAnsi="Arial" w:cs="Arial"/>
              </w:rPr>
            </w:pPr>
            <w:r w:rsidRPr="007B2CE1">
              <w:rPr>
                <w:rFonts w:ascii="Arial" w:hAnsi="Arial" w:cs="Arial"/>
              </w:rPr>
              <w:t>232</w:t>
            </w:r>
          </w:p>
        </w:tc>
        <w:tc>
          <w:tcPr>
            <w:tcW w:w="2266" w:type="dxa"/>
            <w:tcBorders>
              <w:bottom w:val="single" w:sz="18" w:space="0" w:color="auto"/>
            </w:tcBorders>
          </w:tcPr>
          <w:p w14:paraId="7F541CD6" w14:textId="77777777" w:rsidR="007A1D8F" w:rsidRPr="007B2CE1" w:rsidRDefault="007A1D8F" w:rsidP="007A1D8F">
            <w:pPr>
              <w:rPr>
                <w:rFonts w:ascii="Arial" w:hAnsi="Arial" w:cs="Arial"/>
              </w:rPr>
            </w:pPr>
            <w:r w:rsidRPr="007B2CE1">
              <w:rPr>
                <w:rFonts w:ascii="Arial" w:hAnsi="Arial" w:cs="Arial"/>
              </w:rPr>
              <w:t>237</w:t>
            </w:r>
          </w:p>
        </w:tc>
      </w:tr>
    </w:tbl>
    <w:p w14:paraId="5EA154AE" w14:textId="77777777" w:rsidR="007A1D8F" w:rsidRPr="007B2CE1" w:rsidRDefault="007A1D8F" w:rsidP="00706211">
      <w:pPr>
        <w:rPr>
          <w:rFonts w:ascii="Arial" w:hAnsi="Arial" w:cs="Arial"/>
        </w:rPr>
      </w:pPr>
    </w:p>
    <w:p w14:paraId="267A5676" w14:textId="3E53B95F" w:rsidR="00464788" w:rsidRPr="007B2CE1" w:rsidRDefault="00464788" w:rsidP="007C4DA8">
      <w:pPr>
        <w:pStyle w:val="Heading1"/>
        <w:jc w:val="both"/>
      </w:pPr>
      <w:r w:rsidRPr="007B2CE1">
        <w:br w:type="page"/>
      </w:r>
    </w:p>
    <w:p w14:paraId="5C203B1F" w14:textId="730162B5" w:rsidR="007C4DA8" w:rsidRPr="007B2CE1" w:rsidRDefault="007C4DA8" w:rsidP="007C4DA8">
      <w:pPr>
        <w:pStyle w:val="Heading1"/>
      </w:pPr>
      <w:bookmarkStart w:id="3" w:name="_Toc161066326"/>
      <w:r w:rsidRPr="007B2CE1">
        <w:lastRenderedPageBreak/>
        <w:t>Text S3 – More details on LDIR imaging</w:t>
      </w:r>
      <w:bookmarkEnd w:id="3"/>
    </w:p>
    <w:p w14:paraId="14BD6291" w14:textId="0F00493D" w:rsidR="007C4DA8" w:rsidRPr="007B2CE1" w:rsidRDefault="007C4DA8" w:rsidP="00270C6F">
      <w:pPr>
        <w:spacing w:after="0" w:line="480" w:lineRule="auto"/>
        <w:jc w:val="both"/>
        <w:rPr>
          <w:rFonts w:cs="Arial"/>
          <w:lang w:val="en-US"/>
        </w:rPr>
      </w:pPr>
      <w:r w:rsidRPr="007B2CE1">
        <w:rPr>
          <w:rFonts w:cs="Arial"/>
          <w:lang w:val="en-US"/>
        </w:rPr>
        <w:t xml:space="preserve">The used spectral library (Microplastic starter 1.0, Agilent Technologies) was expanded by spectra of environmental particles (confirmed with the µ-ATR-unit of the system). Additionally, the spectra of in-house reference microplastics (expanded polystyrene (EPS), PE, polyethylene terephthalate (PET), PP polystyrene (PS) and polyvinylidene chloride (PVDC; similar IR spectrum to polyvinylchloride (PVC)) and different polymeric materials used in the laboratory were integrated into the library </w:t>
      </w:r>
      <w:r w:rsidRPr="007B2CE1">
        <w:rPr>
          <w:rFonts w:cs="Arial"/>
          <w:lang w:val="en-US"/>
        </w:rPr>
        <w:fldChar w:fldCharType="begin"/>
      </w:r>
      <w:r w:rsidR="00270C6F" w:rsidRPr="007B2CE1">
        <w:rPr>
          <w:rFonts w:cs="Arial"/>
          <w:lang w:val="en-US"/>
        </w:rPr>
        <w:instrText xml:space="preserve"> ADDIN ZOTERO_ITEM CSL_CITATION {"citationID":"0LMeqmb8","properties":{"formattedCitation":"[3]","plainCitation":"[3]","noteIndex":0},"citationItems":[{"id":4873,"uris":["http://zotero.org/users/3621315/items/PWT59JZM"],"itemData":{"id":4873,"type":"document","note":"Citation Key: lars_hildebrandt_2022_6580223\nDOI: 10.5281/zenodo.6580223\ntex.entrytype: dataset\ntex.version: 1.0","publisher":"Zenodo","title":"Hereon LDIR library for microplastic analysis","URL":"https://doi.org/10.5281/zenodo.6580223","author":[{"family":"Hildebrandt","given":"Lars"},{"family":"Gareb","given":"Fadi El"},{"family":"Pröforck","given":"Daniel"}],"issued":{"date-parts":[["2022",5]]},"citation-key":"lars_hildebrandt_2022_6580223"}}],"schema":"https://github.com/citation-style-language/schema/raw/master/csl-citation.json"} </w:instrText>
      </w:r>
      <w:r w:rsidRPr="007B2CE1">
        <w:rPr>
          <w:rFonts w:cs="Arial"/>
          <w:lang w:val="en-US"/>
        </w:rPr>
        <w:fldChar w:fldCharType="separate"/>
      </w:r>
      <w:r w:rsidR="00270C6F" w:rsidRPr="007B2CE1">
        <w:rPr>
          <w:rFonts w:ascii="Arial" w:hAnsi="Arial" w:cs="Arial"/>
        </w:rPr>
        <w:t>[3]</w:t>
      </w:r>
      <w:r w:rsidRPr="007B2CE1">
        <w:rPr>
          <w:rFonts w:cs="Arial"/>
          <w:lang w:val="en-US"/>
        </w:rPr>
        <w:fldChar w:fldCharType="end"/>
      </w:r>
      <w:r w:rsidRPr="007B2CE1">
        <w:rPr>
          <w:rFonts w:cs="Arial"/>
          <w:lang w:val="en-US"/>
        </w:rPr>
        <w:t xml:space="preserve">. For particle sensitivity the default setting was used (4/6) enabling time-efficient particle characterization. The particle size range of the LDIR imaging system was set to 20 μm – 5000 μm. Only spectral assignments with a HQI ≥ 0.85 were accepted and considered for the calculation of microplastic concentrations generated during the experiments. </w:t>
      </w:r>
    </w:p>
    <w:p w14:paraId="71A83FCD" w14:textId="1A9C1808" w:rsidR="00795460" w:rsidRPr="007B2CE1" w:rsidRDefault="00795460" w:rsidP="00795460">
      <w:pPr>
        <w:pStyle w:val="Heading1"/>
      </w:pPr>
      <w:bookmarkStart w:id="4" w:name="_Toc161066327"/>
      <w:r w:rsidRPr="007B2CE1">
        <w:t>Text S4 – Details on NTS analytical method</w:t>
      </w:r>
      <w:bookmarkEnd w:id="4"/>
    </w:p>
    <w:p w14:paraId="28C9E66E" w14:textId="62814259" w:rsidR="00795460" w:rsidRPr="007B2CE1" w:rsidRDefault="00795460" w:rsidP="00795460">
      <w:pPr>
        <w:spacing w:after="0" w:line="480" w:lineRule="auto"/>
        <w:jc w:val="both"/>
        <w:rPr>
          <w:rFonts w:cs="Arial"/>
          <w:lang w:val="en-US"/>
        </w:rPr>
      </w:pPr>
      <w:r w:rsidRPr="007B2CE1">
        <w:rPr>
          <w:rFonts w:cs="Arial"/>
          <w:lang w:val="en-US"/>
        </w:rPr>
        <w:t xml:space="preserve">It was equipped with a Biphenyl column (Phenomenex, </w:t>
      </w:r>
      <w:proofErr w:type="spellStart"/>
      <w:r w:rsidRPr="007B2CE1">
        <w:rPr>
          <w:rFonts w:cs="Arial"/>
          <w:lang w:val="en-US"/>
        </w:rPr>
        <w:t>Kinetex</w:t>
      </w:r>
      <w:proofErr w:type="spellEnd"/>
      <w:r w:rsidRPr="007B2CE1">
        <w:rPr>
          <w:rFonts w:cs="Arial"/>
          <w:lang w:val="en-US"/>
        </w:rPr>
        <w:t xml:space="preserve"> 2.6 µm Biphenyl 100 A 100 x 2.1 mm) with a guard column of the same material. The same chromatographic method was used for positive and negative mode. Water with 0.1% formic acid (FA) was used as eluent A. Methanol with 0.1% FA was applied as eluent B and acetonitrile was used as eluent C. 100 </w:t>
      </w:r>
      <w:proofErr w:type="spellStart"/>
      <w:r w:rsidRPr="007B2CE1">
        <w:rPr>
          <w:rFonts w:cs="Arial"/>
          <w:lang w:val="en-US"/>
        </w:rPr>
        <w:t>μL</w:t>
      </w:r>
      <w:proofErr w:type="spellEnd"/>
      <w:r w:rsidRPr="007B2CE1">
        <w:rPr>
          <w:rFonts w:cs="Arial"/>
          <w:lang w:val="en-US"/>
        </w:rPr>
        <w:t xml:space="preserve"> of sample were injected with a flow rate of 0.3 mL </w:t>
      </w:r>
      <w:proofErr w:type="gramStart"/>
      <w:r w:rsidRPr="007B2CE1">
        <w:rPr>
          <w:rFonts w:cs="Arial"/>
          <w:lang w:val="en-US"/>
        </w:rPr>
        <w:t>min</w:t>
      </w:r>
      <w:r w:rsidRPr="007B2CE1">
        <w:rPr>
          <w:rFonts w:cs="Arial"/>
          <w:vertAlign w:val="superscript"/>
          <w:lang w:val="en-US"/>
        </w:rPr>
        <w:t>-1</w:t>
      </w:r>
      <w:proofErr w:type="gramEnd"/>
      <w:r w:rsidRPr="007B2CE1">
        <w:rPr>
          <w:rFonts w:cs="Arial"/>
          <w:lang w:val="en-US"/>
        </w:rPr>
        <w:t xml:space="preserve">. The initial column composition was 3% B and 0% C. This was kept for 2 min. Subsequently, %B was increased to 97% in 14 min. </w:t>
      </w:r>
    </w:p>
    <w:p w14:paraId="6499DAF5" w14:textId="3329C2C7" w:rsidR="00795460" w:rsidRPr="007B2CE1" w:rsidRDefault="00795460" w:rsidP="00795460">
      <w:pPr>
        <w:spacing w:after="0" w:line="480" w:lineRule="auto"/>
        <w:jc w:val="both"/>
        <w:rPr>
          <w:rFonts w:cs="Arial"/>
          <w:lang w:val="en-US"/>
        </w:rPr>
      </w:pPr>
      <w:r w:rsidRPr="007B2CE1">
        <w:rPr>
          <w:rFonts w:cs="Arial"/>
          <w:lang w:val="en-US"/>
        </w:rPr>
        <w:t xml:space="preserve">Then %C was increased to 97% and %B was reduced to 0% within 4 min. This composition was kept for another 4 min. The initial column composition was reconstituted in 0.25 min. The column was left to </w:t>
      </w:r>
      <w:proofErr w:type="spellStart"/>
      <w:r w:rsidRPr="007B2CE1">
        <w:rPr>
          <w:rFonts w:cs="Arial"/>
          <w:lang w:val="en-US"/>
        </w:rPr>
        <w:t>reequilibrate</w:t>
      </w:r>
      <w:proofErr w:type="spellEnd"/>
      <w:r w:rsidRPr="007B2CE1">
        <w:rPr>
          <w:rFonts w:cs="Arial"/>
          <w:lang w:val="en-US"/>
        </w:rPr>
        <w:t xml:space="preserve"> for 4.55 min. The column was flushed with 100% A for 1.2 min, which yielded a total run time of 30 min. Full scan mass resolution was set to 120,000, with a scan range of 80-1200. Tandem mass spectrometry was performed in data-dependent mode using a Top 6 inclusion, applying a dynamic exclusion for 8 sec and an apex detection of 30% of the window. The data was stored in the raw files in profile mode for MS1 and centroid mode for MS2, while centroiding was performed though the conversion to </w:t>
      </w:r>
      <w:proofErr w:type="spellStart"/>
      <w:r w:rsidRPr="007B2CE1">
        <w:rPr>
          <w:rFonts w:cs="Arial"/>
          <w:lang w:val="en-US"/>
        </w:rPr>
        <w:t>mzml</w:t>
      </w:r>
      <w:proofErr w:type="spellEnd"/>
      <w:r w:rsidRPr="007B2CE1">
        <w:rPr>
          <w:rFonts w:cs="Arial"/>
          <w:lang w:val="en-US"/>
        </w:rPr>
        <w:t xml:space="preserve"> via </w:t>
      </w:r>
      <w:proofErr w:type="spellStart"/>
      <w:r w:rsidRPr="007B2CE1">
        <w:rPr>
          <w:rFonts w:cs="Arial"/>
          <w:lang w:val="en-US"/>
        </w:rPr>
        <w:t>msconvert</w:t>
      </w:r>
      <w:proofErr w:type="spellEnd"/>
      <w:r w:rsidRPr="007B2CE1">
        <w:rPr>
          <w:rFonts w:cs="Arial"/>
          <w:lang w:val="en-US"/>
        </w:rPr>
        <w:t xml:space="preserve"> of the </w:t>
      </w:r>
      <w:proofErr w:type="spellStart"/>
      <w:r w:rsidRPr="007B2CE1">
        <w:rPr>
          <w:rFonts w:cs="Arial"/>
          <w:lang w:val="en-US"/>
        </w:rPr>
        <w:t>Proteowizard</w:t>
      </w:r>
      <w:proofErr w:type="spellEnd"/>
      <w:r w:rsidRPr="007B2CE1">
        <w:rPr>
          <w:rFonts w:cs="Arial"/>
          <w:lang w:val="en-US"/>
        </w:rPr>
        <w:t xml:space="preserve"> </w:t>
      </w:r>
      <w:r w:rsidRPr="007B2CE1">
        <w:rPr>
          <w:rFonts w:cs="Arial"/>
          <w:lang w:val="en-US"/>
        </w:rPr>
        <w:fldChar w:fldCharType="begin"/>
      </w:r>
      <w:r w:rsidR="00270C6F" w:rsidRPr="007B2CE1">
        <w:rPr>
          <w:rFonts w:cs="Arial"/>
          <w:lang w:val="en-US"/>
        </w:rPr>
        <w:instrText xml:space="preserve"> ADDIN ZOTERO_ITEM CSL_CITATION {"citationID":"3VhvnJt5","properties":{"formattedCitation":"[4]","plainCitation":"[4]","noteIndex":0},"citationItems":[{"id":4957,"uris":["http://zotero.org/users/3621315/items/R6MMLQZN"],"itemData":{"id":4957,"type":"article-journal","abstract":"Summary: The ProteoWizard software project provides a modular and extensible set of open-source, cross-platform tools and libraries. The tools perform proteomics data analyses; the libraries enable rapid tool creation by providing a robust, pluggable development framework that simplifies and unifies data file access, and performs standard proteomics and LCMS dataset computations. The library contains readers and writers of the mzML data format, which has been written using modern C++ techniques and design principles and supports a variety of platforms with native compilers. The software has been specifically released under the Apache v2 license to ensure it can be used in both academic and commercial projects. In addition to the library, we also introduce a rapidly growing set of companion tools whose implementation helps to illustrate the simplicity of developing applications on top of the ProteoWizard library., Availability: Cross-platform software that compiles using native compilers (i.e. GCC on Linux, MSVC on Windows and XCode on OSX) is available for download free of charge, at http://proteowizard.sourceforge.net. This website also provides code examples, and documentation. It is our hope the ProteoWizard project will become a standard platform for proteomics development; consequently, code use, contribution and further development are strongly encouraged., Contact: darren@proteowizard.org; parag@ucla.edu, Supplementary information: Supplementary data are available at Bioinformatics online.","container-title":"Bioinformatics","DOI":"10.1093/bioinformatics/btn323","ISSN":"1367-4803","issue":"21","journalAbbreviation":"Bioinformatics","note":"PMID: 18606607\nPMCID: PMC2732273","page":"2534-2536","source":"PubMed Central","title":"ProteoWizard: open source software for rapid proteomics tools development","title-short":"ProteoWizard","volume":"24","author":[{"family":"Kessner","given":"Darren"},{"family":"Chambers","given":"Matt"},{"family":"Burke","given":"Robert"},{"family":"Agus","given":"David"},{"family":"Mallick","given":"Parag"}],"issued":{"date-parts":[["2008",11,1]]},"citation-key":"Kessner2008ProteoWizardOpenSource"}}],"schema":"https://github.com/citation-style-language/schema/raw/master/csl-citation.json"} </w:instrText>
      </w:r>
      <w:r w:rsidRPr="007B2CE1">
        <w:rPr>
          <w:rFonts w:cs="Arial"/>
          <w:lang w:val="en-US"/>
        </w:rPr>
        <w:fldChar w:fldCharType="separate"/>
      </w:r>
      <w:r w:rsidR="00270C6F" w:rsidRPr="007B2CE1">
        <w:rPr>
          <w:rFonts w:ascii="Arial" w:hAnsi="Arial" w:cs="Arial"/>
        </w:rPr>
        <w:t>[4]</w:t>
      </w:r>
      <w:r w:rsidRPr="007B2CE1">
        <w:rPr>
          <w:rFonts w:cs="Arial"/>
          <w:lang w:val="en-US"/>
        </w:rPr>
        <w:fldChar w:fldCharType="end"/>
      </w:r>
      <w:r w:rsidRPr="007B2CE1">
        <w:rPr>
          <w:rFonts w:cs="Arial"/>
          <w:lang w:val="en-US"/>
        </w:rPr>
        <w:t xml:space="preserve">. </w:t>
      </w:r>
    </w:p>
    <w:p w14:paraId="6A557273" w14:textId="61D1ED96" w:rsidR="00270C6F" w:rsidRPr="007B2CE1" w:rsidRDefault="00270C6F" w:rsidP="00270C6F">
      <w:pPr>
        <w:pStyle w:val="Heading1"/>
      </w:pPr>
      <w:bookmarkStart w:id="5" w:name="_Toc161066330"/>
      <w:r w:rsidRPr="007B2CE1">
        <w:lastRenderedPageBreak/>
        <w:t>Text S</w:t>
      </w:r>
      <w:r w:rsidR="00204776" w:rsidRPr="007B2CE1">
        <w:t>5</w:t>
      </w:r>
      <w:r w:rsidRPr="007B2CE1">
        <w:t xml:space="preserve"> – Details on the sample preparation for targeted analysis</w:t>
      </w:r>
      <w:bookmarkEnd w:id="5"/>
    </w:p>
    <w:p w14:paraId="762C0EF9" w14:textId="77777777" w:rsidR="00270C6F" w:rsidRPr="007B2CE1" w:rsidRDefault="00270C6F" w:rsidP="00270C6F">
      <w:pPr>
        <w:spacing w:after="0" w:line="480" w:lineRule="auto"/>
        <w:jc w:val="both"/>
        <w:rPr>
          <w:rFonts w:cs="Arial"/>
          <w:lang w:val="en-US"/>
        </w:rPr>
      </w:pPr>
      <w:r w:rsidRPr="007B2CE1">
        <w:t xml:space="preserve">A solid-phase extraction (SPE) protocol adapted from Neale et al. (2018) was used </w:t>
      </w:r>
      <w:r w:rsidRPr="007B2CE1">
        <w:fldChar w:fldCharType="begin"/>
      </w:r>
      <w:r w:rsidRPr="007B2CE1">
        <w:instrText xml:space="preserve"> ADDIN ZOTERO_ITEM CSL_CITATION {"citationID":"0TL2IEpx","properties":{"formattedCitation":"[10]","plainCitation":"[10]","noteIndex":0},"citationItems":[{"id":4017,"uris":["http://zotero.org/users/3621315/items/BA7L7VSY"],"itemData":{"id":4017,"type":"article-journal","abstract":"Effect recovery for bioassays was evaluated and was similar to recovery by chemical analysis for the studied SPE methods, providing support of bioassay use for water quality monitoring.\n          , \n            \n              In vitro\n              bioassays are increasingly used for water quality monitoring. Surface water samples often need to be enriched to observe an effect and solid-phase extraction (SPE) is commonly applied for this purpose. The applied methods are typically optimised for the recovery of target chemicals and not for effect recovery for bioassays. A review of the few studies that have evaluated SPE recovery for bioassays showed a lack of experimentally determined recoveries. Therefore, we systematically measured effect recovery of a mixture of 579 organic chemicals covering a wide range of physicochemical properties that were spiked into a pristine water sample and extracted using large volume solid-phase extraction (LVSPE). Assays indicative of activation of xenobiotic metabolism, hormone receptor-mediated effects and adaptive stress responses were applied, with non-specific effects determined through cytotoxicity measurements. Overall, effect recovery was found to be similar to chemical recovery for the majority of bioassays and LVSPE blanks had no effect. Multi-layer SPE exhibited greater recovery of spiked chemicals compared to LVSPE, but the blanks triggered cytotoxicity at high enrichment. Chemical recovery data together with single chemical effect data were used to retrospectively estimate with reverse recovery modelling that there was typically less than 30% effect loss expected due to reduced SPE recovery in published surface water monitoring studies. The combination of targeted experiments and mixture modelling clearly shows the utility of SPE as a sample preparation method for surface water samples, but also emphasizes the need for adequate controls when extraction methods are adapted from chemical analysis workflows.","container-title":"Environmental Science: Processes &amp; Impacts","DOI":"10.1039/C7EM00555E","ISSN":"2050-7887, 2050-7895","issue":"3","journalAbbreviation":"Environ. Sci.: Processes Impacts","language":"en","page":"493-504","source":"DOI.org (Crossref)","title":"Solid-phase extraction as sample preparation of water samples for cell-based and other &lt;i&gt;in vitro&lt;/i&gt; bioassays","volume":"20","author":[{"family":"Neale","given":"Peta A."},{"family":"Brack","given":"Werner"},{"family":"Aït-Aïssa","given":"Selim"},{"family":"Busch","given":"Wibke"},{"family":"Hollender","given":"Juliane"},{"family":"Krauss","given":"Martin"},{"family":"Maillot-Maréchal","given":"Emmanuelle"},{"family":"Munz","given":"Nicole A."},{"family":"Schlichting","given":"Rita"},{"family":"Schulze","given":"Tobias"},{"family":"Vogler","given":"Bernadette"},{"family":"Escher","given":"Beate I."}],"issued":{"date-parts":[["2018"]]},"citation-key":"Neale2018SolidphaseExtractionSample"}}],"schema":"https://github.com/citation-style-language/schema/raw/master/csl-citation.json"} </w:instrText>
      </w:r>
      <w:r w:rsidRPr="007B2CE1">
        <w:fldChar w:fldCharType="separate"/>
      </w:r>
      <w:r w:rsidRPr="007B2CE1">
        <w:rPr>
          <w:rFonts w:ascii="Calibri" w:hAnsi="Calibri" w:cs="Calibri"/>
        </w:rPr>
        <w:t>[10]</w:t>
      </w:r>
      <w:r w:rsidRPr="007B2CE1">
        <w:fldChar w:fldCharType="end"/>
      </w:r>
      <w:r w:rsidRPr="007B2CE1">
        <w:t xml:space="preserve">. </w:t>
      </w:r>
      <w:r w:rsidRPr="007B2CE1">
        <w:rPr>
          <w:rFonts w:cs="Arial"/>
          <w:lang w:val="en-US"/>
        </w:rPr>
        <w:t xml:space="preserve">In brief, Chromabond HR-X cartridges (6 mL, 200 mg, 85 µm, </w:t>
      </w:r>
      <w:proofErr w:type="spellStart"/>
      <w:r w:rsidRPr="007B2CE1">
        <w:rPr>
          <w:rFonts w:cs="Arial"/>
          <w:lang w:val="en-US"/>
        </w:rPr>
        <w:t>Macherey</w:t>
      </w:r>
      <w:proofErr w:type="spellEnd"/>
      <w:r w:rsidRPr="007B2CE1">
        <w:rPr>
          <w:rFonts w:cs="Arial"/>
          <w:lang w:val="en-US"/>
        </w:rPr>
        <w:t>-Nagel) were conditioned with 4 mL ethyl acetate (</w:t>
      </w:r>
      <w:proofErr w:type="spellStart"/>
      <w:r w:rsidRPr="007B2CE1">
        <w:rPr>
          <w:rFonts w:cs="Arial"/>
          <w:lang w:val="en-US"/>
        </w:rPr>
        <w:t>EtAc</w:t>
      </w:r>
      <w:proofErr w:type="spellEnd"/>
      <w:r w:rsidRPr="007B2CE1">
        <w:rPr>
          <w:rFonts w:cs="Arial"/>
          <w:lang w:val="en-US"/>
        </w:rPr>
        <w:t xml:space="preserve">), 4 mL methanol (MeOH) and 2 mL MQW before loading 5 mL leachate sample, spiking with a mixture of 12 internal standards (20 ng absolute each) and loading another 5 mL leachate sample. After washing with 6 mL MQW and drying using vacuum for 90 min, the chemicals retained in the cartridges were sequentially eluted into Barkey vials with 2 mL </w:t>
      </w:r>
      <w:proofErr w:type="spellStart"/>
      <w:r w:rsidRPr="007B2CE1">
        <w:rPr>
          <w:rFonts w:cs="Arial"/>
          <w:lang w:val="en-US"/>
        </w:rPr>
        <w:t>EtAc</w:t>
      </w:r>
      <w:proofErr w:type="spellEnd"/>
      <w:r w:rsidRPr="007B2CE1">
        <w:rPr>
          <w:rFonts w:cs="Arial"/>
          <w:lang w:val="en-US"/>
        </w:rPr>
        <w:t>, 2 mL MeOH, 2 mL MeOH + 1% formic acid, and 2 mL MeOH + 2% ammonia in MeOH. Extracts were concentrated to 150 µL using nitrogen blow-down (</w:t>
      </w:r>
      <w:proofErr w:type="spellStart"/>
      <w:r w:rsidRPr="007B2CE1">
        <w:rPr>
          <w:rFonts w:cs="Arial"/>
          <w:lang w:val="en-US"/>
        </w:rPr>
        <w:t>Flowtherm</w:t>
      </w:r>
      <w:proofErr w:type="spellEnd"/>
      <w:r w:rsidRPr="007B2CE1">
        <w:rPr>
          <w:rFonts w:cs="Arial"/>
          <w:lang w:val="en-US"/>
        </w:rPr>
        <w:t xml:space="preserve"> </w:t>
      </w:r>
      <w:proofErr w:type="spellStart"/>
      <w:r w:rsidRPr="007B2CE1">
        <w:rPr>
          <w:rFonts w:cs="Arial"/>
          <w:lang w:val="en-US"/>
        </w:rPr>
        <w:t>Optocontrol</w:t>
      </w:r>
      <w:proofErr w:type="spellEnd"/>
      <w:r w:rsidRPr="007B2CE1">
        <w:rPr>
          <w:rFonts w:cs="Arial"/>
          <w:lang w:val="en-US"/>
        </w:rPr>
        <w:t xml:space="preserve"> evaporator, Barkey, Germany), walls were rinsed thrice with MeOH, and samples were again concentrated to 150 µL before removing 75 µL for analysis by GC-MS/MS (not reported here). The remaining 75 µL were evaporated to dryness and reconstituted in 190 µL MeOH for LC-MS/MS analysis. Samples were transferred to amber auto-injector vials, stored </w:t>
      </w:r>
      <w:r w:rsidRPr="007B2CE1">
        <w:rPr>
          <w:rFonts w:eastAsiaTheme="minorEastAsia"/>
          <w:lang w:val="en-US"/>
        </w:rPr>
        <w:t>at – 20 °C, and prior to analysis 10 µL injection standard in MeOH (20 ng absolute)</w:t>
      </w:r>
      <w:r w:rsidRPr="007B2CE1">
        <w:rPr>
          <w:rFonts w:cs="Arial"/>
          <w:lang w:val="en-US"/>
        </w:rPr>
        <w:t xml:space="preserve"> and 50 µL MQW were added (final volume = 250 µL). For information on spiked mass-labelled standards see Table S3 in SI_A.</w:t>
      </w:r>
    </w:p>
    <w:p w14:paraId="74F3E7A4" w14:textId="39652CC4" w:rsidR="00270C6F" w:rsidRPr="007B2CE1" w:rsidRDefault="00270C6F" w:rsidP="00270C6F">
      <w:pPr>
        <w:pStyle w:val="Heading1"/>
      </w:pPr>
      <w:bookmarkStart w:id="6" w:name="_Toc161066331"/>
      <w:r w:rsidRPr="007B2CE1">
        <w:t>Text S</w:t>
      </w:r>
      <w:r w:rsidR="00204776" w:rsidRPr="007B2CE1">
        <w:t>6</w:t>
      </w:r>
      <w:r w:rsidRPr="007B2CE1">
        <w:t xml:space="preserve"> – Details on the instrumental analysis for targeted analysis</w:t>
      </w:r>
      <w:bookmarkEnd w:id="6"/>
    </w:p>
    <w:p w14:paraId="50C22EBF" w14:textId="6CA192F2" w:rsidR="00270C6F" w:rsidRPr="007B2CE1" w:rsidRDefault="00270C6F" w:rsidP="00270C6F">
      <w:pPr>
        <w:spacing w:after="0" w:line="480" w:lineRule="auto"/>
        <w:jc w:val="both"/>
        <w:rPr>
          <w:rFonts w:cs="Arial"/>
          <w:lang w:val="en-US"/>
        </w:rPr>
      </w:pPr>
      <w:r w:rsidRPr="007B2CE1">
        <w:rPr>
          <w:rFonts w:cs="Arial"/>
          <w:lang w:val="en-US"/>
        </w:rPr>
        <w:t>A guard column of the same material as the analytical column was employed. Samples were separated in 27 min with a gradient of MQW (A) and MeOH (B), both with modifiers 2 mM ammonium acetate and 0.1% formic acid. A was held at 95% for 1 min, reduced to 10% over 7 min and further reduced to 1% in the following 10 min. At this point, conditions were kept for 5 min before the starting conditions of 95% A were restored over 2 min and stabilized for further 2 min. The injection volume was 10 µL and the flow rate was 0.2 mL min</w:t>
      </w:r>
      <w:r w:rsidRPr="007B2CE1">
        <w:rPr>
          <w:rFonts w:cs="Arial"/>
          <w:vertAlign w:val="superscript"/>
          <w:lang w:val="en-US"/>
        </w:rPr>
        <w:noBreakHyphen/>
        <w:t>1</w:t>
      </w:r>
      <w:r w:rsidRPr="007B2CE1">
        <w:rPr>
          <w:rFonts w:cs="Arial"/>
          <w:lang w:val="en-US"/>
        </w:rPr>
        <w:t xml:space="preserve">. </w:t>
      </w:r>
      <w:proofErr w:type="spellStart"/>
      <w:r w:rsidRPr="007B2CE1">
        <w:rPr>
          <w:rFonts w:cs="Arial"/>
          <w:lang w:val="en-US"/>
        </w:rPr>
        <w:t>MassHunter</w:t>
      </w:r>
      <w:proofErr w:type="spellEnd"/>
      <w:r w:rsidRPr="007B2CE1">
        <w:rPr>
          <w:rFonts w:cs="Arial"/>
          <w:lang w:val="en-US"/>
        </w:rPr>
        <w:t xml:space="preserve"> software v10 was used for data acquisition and evaluation. </w:t>
      </w:r>
    </w:p>
    <w:p w14:paraId="2FAC571B" w14:textId="72F7EF36" w:rsidR="00204776" w:rsidRPr="007B2CE1" w:rsidRDefault="00204776" w:rsidP="00204776">
      <w:pPr>
        <w:pStyle w:val="Heading1"/>
      </w:pPr>
      <w:bookmarkStart w:id="7" w:name="_Toc161066328"/>
      <w:r w:rsidRPr="007B2CE1">
        <w:lastRenderedPageBreak/>
        <w:t>Text S7 – Details on the sample preparation Plastics for ICP-MSMS analysis</w:t>
      </w:r>
      <w:bookmarkEnd w:id="7"/>
    </w:p>
    <w:p w14:paraId="0196829A" w14:textId="77777777" w:rsidR="00204776" w:rsidRPr="007B2CE1" w:rsidRDefault="00204776" w:rsidP="00204776">
      <w:pPr>
        <w:spacing w:after="0" w:line="480" w:lineRule="auto"/>
        <w:jc w:val="both"/>
        <w:rPr>
          <w:rFonts w:cs="Arial"/>
          <w:lang w:val="en-US"/>
        </w:rPr>
      </w:pPr>
      <w:r w:rsidRPr="007B2CE1">
        <w:rPr>
          <w:rFonts w:cs="Arial"/>
          <w:lang w:val="en-US"/>
        </w:rPr>
        <w:t>Digestions (</w:t>
      </w:r>
      <w:proofErr w:type="spellStart"/>
      <w:r w:rsidRPr="007B2CE1">
        <w:rPr>
          <w:rFonts w:cs="Arial"/>
          <w:lang w:val="en-US"/>
        </w:rPr>
        <w:t>EasyDigest</w:t>
      </w:r>
      <w:proofErr w:type="spellEnd"/>
      <w:r w:rsidRPr="007B2CE1">
        <w:rPr>
          <w:rFonts w:cs="Arial"/>
          <w:lang w:val="en-US"/>
        </w:rPr>
        <w:t xml:space="preserve">, monobloc, </w:t>
      </w:r>
      <w:proofErr w:type="spellStart"/>
      <w:r w:rsidRPr="007B2CE1">
        <w:rPr>
          <w:rFonts w:cs="Arial"/>
          <w:lang w:val="en-US"/>
        </w:rPr>
        <w:t>Analab</w:t>
      </w:r>
      <w:proofErr w:type="spellEnd"/>
      <w:r w:rsidRPr="007B2CE1">
        <w:rPr>
          <w:rFonts w:cs="Arial"/>
          <w:lang w:val="en-US"/>
        </w:rPr>
        <w:t xml:space="preserve">, </w:t>
      </w:r>
      <w:proofErr w:type="spellStart"/>
      <w:r w:rsidRPr="007B2CE1">
        <w:rPr>
          <w:rFonts w:cs="Arial"/>
          <w:lang w:val="en-US"/>
        </w:rPr>
        <w:t>Hoenheim</w:t>
      </w:r>
      <w:proofErr w:type="spellEnd"/>
      <w:r w:rsidRPr="007B2CE1">
        <w:rPr>
          <w:rFonts w:cs="Arial"/>
          <w:lang w:val="en-US"/>
        </w:rPr>
        <w:t>, France (</w:t>
      </w:r>
      <w:r w:rsidRPr="007B2CE1">
        <w:rPr>
          <w:rFonts w:cs="Arial"/>
          <w:i/>
          <w:iCs/>
          <w:lang w:val="en-US"/>
        </w:rPr>
        <w:t>t</w:t>
      </w:r>
      <w:r w:rsidRPr="007B2CE1">
        <w:rPr>
          <w:rFonts w:cs="Arial"/>
          <w:lang w:val="en-US"/>
        </w:rPr>
        <w:t xml:space="preserve"> = 6 h; </w:t>
      </w:r>
      <w:r w:rsidRPr="007B2CE1">
        <w:rPr>
          <w:rFonts w:cs="Arial"/>
          <w:i/>
          <w:iCs/>
          <w:lang w:val="en-US"/>
        </w:rPr>
        <w:t>ϑ</w:t>
      </w:r>
      <w:r w:rsidRPr="007B2CE1">
        <w:rPr>
          <w:rFonts w:cs="Arial"/>
          <w:lang w:val="en-US"/>
        </w:rPr>
        <w:t> = 120 °C) were conducted in 5 mL nitric acid (HNO</w:t>
      </w:r>
      <w:r w:rsidRPr="007B2CE1">
        <w:rPr>
          <w:rFonts w:cs="Arial"/>
          <w:vertAlign w:val="subscript"/>
          <w:lang w:val="en-US"/>
        </w:rPr>
        <w:t>3</w:t>
      </w:r>
      <w:r w:rsidRPr="007B2CE1">
        <w:rPr>
          <w:rFonts w:cs="Arial"/>
          <w:lang w:val="en-US"/>
        </w:rPr>
        <w:t xml:space="preserve">; 65% </w:t>
      </w:r>
      <w:r w:rsidRPr="007B2CE1">
        <w:rPr>
          <w:rFonts w:cs="Arial"/>
          <w:i/>
          <w:iCs/>
          <w:lang w:val="en-US"/>
        </w:rPr>
        <w:t>m</w:t>
      </w:r>
      <w:r w:rsidRPr="007B2CE1">
        <w:rPr>
          <w:rFonts w:cs="Arial"/>
          <w:lang w:val="en-US"/>
        </w:rPr>
        <w:t>/</w:t>
      </w:r>
      <w:r w:rsidRPr="007B2CE1">
        <w:rPr>
          <w:rFonts w:cs="Arial"/>
          <w:i/>
          <w:iCs/>
          <w:lang w:val="en-US"/>
        </w:rPr>
        <w:t>m</w:t>
      </w:r>
      <w:r w:rsidRPr="007B2CE1">
        <w:rPr>
          <w:rFonts w:cs="Arial"/>
          <w:lang w:val="en-US"/>
        </w:rPr>
        <w:t xml:space="preserve">, Merck-Millipore) and 1 mL hydrochloric acid (HCl) (30% </w:t>
      </w:r>
      <w:r w:rsidRPr="007B2CE1">
        <w:rPr>
          <w:rFonts w:cs="Arial"/>
          <w:i/>
          <w:iCs/>
          <w:lang w:val="en-US"/>
        </w:rPr>
        <w:t>m</w:t>
      </w:r>
      <w:r w:rsidRPr="007B2CE1">
        <w:rPr>
          <w:rFonts w:cs="Arial"/>
          <w:lang w:val="en-US"/>
        </w:rPr>
        <w:t>/</w:t>
      </w:r>
      <w:r w:rsidRPr="007B2CE1">
        <w:rPr>
          <w:rFonts w:cs="Arial"/>
          <w:i/>
          <w:iCs/>
          <w:lang w:val="en-US"/>
        </w:rPr>
        <w:t>m</w:t>
      </w:r>
      <w:r w:rsidRPr="007B2CE1">
        <w:rPr>
          <w:rFonts w:cs="Arial"/>
          <w:lang w:val="en-US"/>
        </w:rPr>
        <w:t>, Merck- Millipore). P.a. grade HNO</w:t>
      </w:r>
      <w:r w:rsidRPr="007B2CE1">
        <w:rPr>
          <w:rFonts w:cs="Arial"/>
          <w:vertAlign w:val="subscript"/>
          <w:lang w:val="en-US"/>
        </w:rPr>
        <w:t>3</w:t>
      </w:r>
      <w:r w:rsidRPr="007B2CE1">
        <w:rPr>
          <w:rFonts w:cs="Arial"/>
          <w:lang w:val="en-US"/>
        </w:rPr>
        <w:t xml:space="preserve"> and HCl were further purified by double sub-boiling in </w:t>
      </w:r>
      <w:proofErr w:type="spellStart"/>
      <w:r w:rsidRPr="007B2CE1">
        <w:rPr>
          <w:rFonts w:cs="Arial"/>
          <w:lang w:val="en-US"/>
        </w:rPr>
        <w:t>perfluoroalkoxy</w:t>
      </w:r>
      <w:proofErr w:type="spellEnd"/>
      <w:r w:rsidRPr="007B2CE1">
        <w:rPr>
          <w:rFonts w:cs="Arial"/>
          <w:lang w:val="en-US"/>
        </w:rPr>
        <w:t xml:space="preserve"> alkane (PFA) stills (Savillex, Eden Prairie, USA). </w:t>
      </w:r>
    </w:p>
    <w:p w14:paraId="061CEE9E" w14:textId="77777777" w:rsidR="00204776" w:rsidRPr="007B2CE1" w:rsidRDefault="00204776" w:rsidP="00204776">
      <w:pPr>
        <w:spacing w:after="0" w:line="480" w:lineRule="auto"/>
        <w:jc w:val="both"/>
        <w:rPr>
          <w:rFonts w:cs="Arial"/>
          <w:lang w:val="en-US"/>
        </w:rPr>
      </w:pPr>
      <w:r w:rsidRPr="007B2CE1">
        <w:rPr>
          <w:rFonts w:cs="Arial"/>
          <w:lang w:val="en-US"/>
        </w:rPr>
        <w:t>Quartz pressure vessels were cleaned (2 ×) in a PTFE/PFA steam cleaner at 90 °C for 8 h (65% HNO</w:t>
      </w:r>
      <w:r w:rsidRPr="007B2CE1">
        <w:rPr>
          <w:rFonts w:cs="Arial"/>
          <w:vertAlign w:val="subscript"/>
          <w:lang w:val="en-US"/>
        </w:rPr>
        <w:t>3</w:t>
      </w:r>
      <w:r w:rsidRPr="007B2CE1">
        <w:rPr>
          <w:rFonts w:cs="Arial"/>
          <w:lang w:val="en-US"/>
        </w:rPr>
        <w:t xml:space="preserve">; Easy Trace Cleaner Evolution II, ANALAB, Paris, France). After digestion, the solutions were transferred quantitatively to pre-cleaned 50 mL </w:t>
      </w:r>
      <w:proofErr w:type="spellStart"/>
      <w:r w:rsidRPr="007B2CE1">
        <w:rPr>
          <w:rFonts w:cs="Arial"/>
          <w:lang w:val="en-US"/>
        </w:rPr>
        <w:t>DigiTUBEs</w:t>
      </w:r>
      <w:proofErr w:type="spellEnd"/>
      <w:r w:rsidRPr="007B2CE1">
        <w:rPr>
          <w:rFonts w:cs="Arial"/>
          <w:lang w:val="en-US"/>
        </w:rPr>
        <w:t xml:space="preserve"> and diluted to a final volume of 50 mL with Milli-Q water (MQW). Subsequently, vacuum-filtration (0.45 µm PTFE filters; SCP Science) with a manifold was applied to remove any remaining undigested particles and herewith prevent blockage of the nebulizer. Type I reagent-grade water (18.2 MΩ cm) was obtained from a Milli-Q Integral water purification system (Merck-Millipore, Darmstadt, Germany) equipped with a Q-Pod Element and a 100 nm endfilter. Tubes and pipette tips (VWR International, Radnor, USA) were pre-cleaned in a two-stage washing procedure using diluted HNO</w:t>
      </w:r>
      <w:r w:rsidRPr="007B2CE1">
        <w:rPr>
          <w:rFonts w:cs="Arial"/>
          <w:vertAlign w:val="subscript"/>
          <w:lang w:val="en-US"/>
        </w:rPr>
        <w:t>3</w:t>
      </w:r>
      <w:r w:rsidRPr="007B2CE1">
        <w:rPr>
          <w:rFonts w:cs="Arial"/>
          <w:lang w:val="en-US"/>
        </w:rPr>
        <w:t xml:space="preserve"> (10% </w:t>
      </w:r>
      <w:r w:rsidRPr="007B2CE1">
        <w:rPr>
          <w:rFonts w:cs="Arial"/>
          <w:i/>
          <w:iCs/>
          <w:lang w:val="en-US"/>
        </w:rPr>
        <w:t>m</w:t>
      </w:r>
      <w:r w:rsidRPr="007B2CE1">
        <w:rPr>
          <w:rFonts w:cs="Arial"/>
          <w:lang w:val="en-US"/>
        </w:rPr>
        <w:t>/</w:t>
      </w:r>
      <w:r w:rsidRPr="007B2CE1">
        <w:rPr>
          <w:rFonts w:cs="Arial"/>
          <w:i/>
          <w:iCs/>
          <w:lang w:val="en-US"/>
        </w:rPr>
        <w:t>m</w:t>
      </w:r>
      <w:r w:rsidRPr="007B2CE1">
        <w:rPr>
          <w:rFonts w:cs="Arial"/>
          <w:lang w:val="en-US"/>
        </w:rPr>
        <w:t xml:space="preserve"> and 1% </w:t>
      </w:r>
      <w:r w:rsidRPr="007B2CE1">
        <w:rPr>
          <w:rFonts w:cs="Arial"/>
          <w:i/>
          <w:iCs/>
          <w:lang w:val="en-US"/>
        </w:rPr>
        <w:t>m</w:t>
      </w:r>
      <w:r w:rsidRPr="007B2CE1">
        <w:rPr>
          <w:rFonts w:cs="Arial"/>
          <w:lang w:val="en-US"/>
        </w:rPr>
        <w:t>/</w:t>
      </w:r>
      <w:r w:rsidRPr="007B2CE1">
        <w:rPr>
          <w:rFonts w:cs="Arial"/>
          <w:i/>
          <w:iCs/>
          <w:lang w:val="en-US"/>
        </w:rPr>
        <w:t>m</w:t>
      </w:r>
      <w:r w:rsidRPr="007B2CE1">
        <w:rPr>
          <w:rFonts w:cs="Arial"/>
          <w:lang w:val="en-US"/>
        </w:rPr>
        <w:t xml:space="preserve"> respectively). </w:t>
      </w:r>
    </w:p>
    <w:p w14:paraId="1EFADE5F" w14:textId="77777777" w:rsidR="00204776" w:rsidRPr="007B2CE1" w:rsidRDefault="00204776" w:rsidP="00204776">
      <w:pPr>
        <w:spacing w:after="0" w:line="480" w:lineRule="auto"/>
        <w:jc w:val="both"/>
        <w:rPr>
          <w:rFonts w:cs="Arial"/>
          <w:lang w:val="en-US"/>
        </w:rPr>
      </w:pPr>
      <w:r w:rsidRPr="007B2CE1">
        <w:rPr>
          <w:rFonts w:cs="Arial"/>
          <w:lang w:val="en-US"/>
        </w:rPr>
        <w:t xml:space="preserve">In every run, triplicates of the certified reference material (CRM) ERM-EC680m (low density polyethylene (LD-PE); JRC, Ispra, Italy) were digested to ensure a quantitative recovery. </w:t>
      </w:r>
    </w:p>
    <w:p w14:paraId="19319F9D" w14:textId="749B0970" w:rsidR="00204776" w:rsidRPr="007B2CE1" w:rsidRDefault="00204776" w:rsidP="00204776">
      <w:pPr>
        <w:pStyle w:val="Heading1"/>
      </w:pPr>
      <w:bookmarkStart w:id="8" w:name="_Toc161066329"/>
      <w:r w:rsidRPr="007B2CE1">
        <w:t>Text S8 – Details on the ICP-MS/MS data evaluation</w:t>
      </w:r>
      <w:bookmarkEnd w:id="8"/>
      <w:r w:rsidRPr="007B2CE1">
        <w:t xml:space="preserve"> </w:t>
      </w:r>
    </w:p>
    <w:p w14:paraId="1FC50DF6" w14:textId="77777777" w:rsidR="00204776" w:rsidRPr="007B2CE1" w:rsidRDefault="00204776" w:rsidP="00204776">
      <w:pPr>
        <w:spacing w:after="0" w:line="480" w:lineRule="auto"/>
        <w:jc w:val="both"/>
        <w:rPr>
          <w:rFonts w:cs="Arial"/>
          <w:lang w:val="en-US"/>
        </w:rPr>
      </w:pPr>
      <w:r w:rsidRPr="007B2CE1">
        <w:rPr>
          <w:rFonts w:cs="Arial"/>
          <w:lang w:val="en-US"/>
        </w:rPr>
        <w:t xml:space="preserve">The instrument settings, measured isotopes and chosen measurement modes were very similar to Hildebrandt et al. (2020) </w:t>
      </w:r>
      <w:r w:rsidRPr="007B2CE1">
        <w:rPr>
          <w:rFonts w:cs="Arial"/>
          <w:lang w:val="en-US"/>
        </w:rPr>
        <w:fldChar w:fldCharType="begin"/>
      </w:r>
      <w:r w:rsidRPr="007B2CE1">
        <w:rPr>
          <w:rFonts w:cs="Arial"/>
          <w:lang w:val="en-US"/>
        </w:rPr>
        <w:instrText xml:space="preserve"> ADDIN ZOTERO_ITEM CSL_CITATION {"citationID":"ekEC9HNv","properties":{"formattedCitation":"[5]","plainCitation":"[5]","noteIndex":0},"citationItems":[{"id":4883,"uris":["http://zotero.org/users/3621315/items/8AZRW4GI"],"itemData":{"id":4883,"type":"article-journal","abstract":"The presence of microplastic (MP) particles in aquatic environments raised concern about possible enrichment of organic and inorganic pollutants due to their specific surface and chemical properties. In particular the role of metals within this context is still poorly understood. Therefore, the aim of this work was to develop a fully validated acid digestion protocol for metal analysis in different polymers, which is a prerequisite to study such interactions. The proposed digestion protocol was validated using six different certified reference materials in the microplastic size range consisting of polyethylene, polypropylene, acrylonitrile butadiene styrene and polyvinyl chloride. As ICP-MS/MS enabled time-efficient, sensitive and robust analysis of 56 metals in one measurement, the method was suitable to provide mass fractions for a multitude of other elements beside the certified ones (As, Cd, Cr, Hg, Pb, Sb, Sn and Zn). Three different microwaves, different acid mixtures as well as different temperatures in combination with different hold times were tested for optimization purposes. With the exception of Cr in acrylonitrile butadiene styrene, recovery rates obtained using the optimized protocol for all six certified reference materials fell within a range from 95.9% ± 2.7% to 112% ± 7%. Subsequent optimization further enhanced both precision and recoveries ranging from 103% ± 5% to 107 ± 4% (U; k = 2 (n = 3)) for all certified metals (incl. Cr) in acrylonitrile butadiene styrene. The results clearly show the analytical challenges that come along with metal analysis in chemically resistant plastics. Addressing specific analysis tools for different sorption scenarios and processes as well as the underlying kinetics was beyond this study’s scope. However, the future application of the two recommended thoroughly validated total acid digestion protocols as a first step in the direction of harmonization of metal analysis in/on MP will enhance the significance and comparability of the generated data. It will contribute to a better understanding of the role of MP as vector for trace metals in the environment.","container-title":"PLOS ONE","DOI":"10.1371/journal.pone.0236120","ISSN":"1932-6203","issue":"7","journalAbbreviation":"PLOS ONE","language":"en","note":"publisher: Public Library of Science","page":"e0236120","source":"PLoS Journals","title":"A metrologically traceable protocol for the quantification of trace metals in different types of microplastic","volume":"15","author":[{"family":"Hildebrandt","given":"Lars"},{"family":"Au","given":"Marcus","dropping-particle":"von der"},{"family":"Zimmermann","given":"Tristan"},{"family":"Reese","given":"Anna"},{"family":"Ludwig","given":"Jannis"},{"family":"Pröfrock","given":"Daniel"}],"issued":{"date-parts":[["2020",7,20]]},"citation-key":"Hildebrandt2020MetrologicallyTraceableProtocol"}}],"schema":"https://github.com/citation-style-language/schema/raw/master/csl-citation.json"} </w:instrText>
      </w:r>
      <w:r w:rsidRPr="007B2CE1">
        <w:rPr>
          <w:rFonts w:cs="Arial"/>
          <w:lang w:val="en-US"/>
        </w:rPr>
        <w:fldChar w:fldCharType="separate"/>
      </w:r>
      <w:r w:rsidRPr="007B2CE1">
        <w:rPr>
          <w:rFonts w:ascii="Arial" w:hAnsi="Arial" w:cs="Arial"/>
        </w:rPr>
        <w:t>[5]</w:t>
      </w:r>
      <w:r w:rsidRPr="007B2CE1">
        <w:rPr>
          <w:rFonts w:cs="Arial"/>
          <w:lang w:val="en-US"/>
        </w:rPr>
        <w:fldChar w:fldCharType="end"/>
      </w:r>
      <w:r w:rsidRPr="007B2CE1">
        <w:rPr>
          <w:rFonts w:cs="Arial"/>
          <w:lang w:val="en-US"/>
        </w:rPr>
        <w:t xml:space="preserve">. </w:t>
      </w:r>
      <w:r w:rsidRPr="007B2CE1">
        <w:rPr>
          <w:rFonts w:cs="Arial"/>
          <w:lang w:val="en-US"/>
        </w:rPr>
        <w:fldChar w:fldCharType="begin"/>
      </w:r>
      <w:r w:rsidRPr="007B2CE1">
        <w:rPr>
          <w:rFonts w:cs="Arial"/>
          <w:lang w:val="en-US"/>
        </w:rPr>
        <w:instrText xml:space="preserve"> ADDIN EN.CITE </w:instrText>
      </w:r>
      <w:r w:rsidRPr="007B2CE1">
        <w:rPr>
          <w:rFonts w:cs="Arial"/>
          <w:lang w:val="en-US"/>
        </w:rPr>
        <w:fldChar w:fldCharType="begin"/>
      </w:r>
      <w:r w:rsidRPr="007B2CE1">
        <w:rPr>
          <w:rFonts w:cs="Arial"/>
          <w:lang w:val="en-US"/>
        </w:rPr>
        <w:instrText xml:space="preserve"> ADDIN EN.CITE.DATA </w:instrText>
      </w:r>
      <w:r w:rsidRPr="007B2CE1">
        <w:rPr>
          <w:rFonts w:cs="Arial"/>
          <w:lang w:val="en-US"/>
        </w:rPr>
        <w:fldChar w:fldCharType="end"/>
      </w:r>
      <w:r w:rsidRPr="007B2CE1">
        <w:rPr>
          <w:rFonts w:cs="Arial"/>
          <w:lang w:val="en-US"/>
        </w:rPr>
        <w:fldChar w:fldCharType="end"/>
      </w:r>
      <w:r w:rsidRPr="007B2CE1">
        <w:rPr>
          <w:rFonts w:cs="Arial"/>
          <w:lang w:val="en-US"/>
        </w:rPr>
        <w:t>However, O</w:t>
      </w:r>
      <w:r w:rsidRPr="007B2CE1">
        <w:rPr>
          <w:rFonts w:cs="Arial"/>
          <w:vertAlign w:val="subscript"/>
          <w:lang w:val="en-US"/>
        </w:rPr>
        <w:t>2</w:t>
      </w:r>
      <w:r w:rsidRPr="007B2CE1">
        <w:rPr>
          <w:rFonts w:cs="Arial"/>
          <w:lang w:val="en-US"/>
        </w:rPr>
        <w:t xml:space="preserve"> was replaced by N</w:t>
      </w:r>
      <w:r w:rsidRPr="007B2CE1">
        <w:rPr>
          <w:rFonts w:cs="Arial"/>
          <w:vertAlign w:val="subscript"/>
          <w:lang w:val="en-US"/>
        </w:rPr>
        <w:t>2</w:t>
      </w:r>
      <w:r w:rsidRPr="007B2CE1">
        <w:rPr>
          <w:rFonts w:cs="Arial"/>
          <w:lang w:val="en-US"/>
        </w:rPr>
        <w:t xml:space="preserve">O as reaction gas according to </w:t>
      </w:r>
      <w:r w:rsidRPr="007B2CE1">
        <w:rPr>
          <w:rFonts w:cs="Arial"/>
          <w:lang w:val="en-US"/>
        </w:rPr>
        <w:fldChar w:fldCharType="begin"/>
      </w:r>
      <w:r w:rsidRPr="007B2CE1">
        <w:rPr>
          <w:rFonts w:cs="Arial"/>
          <w:lang w:val="en-US"/>
        </w:rPr>
        <w:instrText xml:space="preserve"> ADDIN ZOTERO_ITEM CSL_CITATION {"citationID":"2T4ynBTx","properties":{"formattedCitation":"(Klein et al., 2021)","plainCitation":"(Klein et al., 2021)","dontUpdate":true,"noteIndex":0},"citationItems":[{"id":4885,"uris":["http://zotero.org/users/3621315/items/SD6UE5UN"],"itemData":{"id":4885,"type":"article-journal","abstract":"The investigation of technologically critical elements (TCEs) as emerging pollutants is a constantly growing field of environmental research and societal concern. Nevertheless, existing data for most TCEs are still unsatisfactory for an accurate assessment of their potential (eco)toxicological effects on humans and the environment. The limited availability of data mainly results from the technically challenging analysis of selected TCEs. Low concentrations of TCEs in environmental matrices (μg kg−1 or lower) and the associated complex and time-consuming sample preparation pose the greatest challenges. This work aims at developing a new ICP-MS/MS-based multi-elemental approach targeting the analysis of all major TCEs (Sc, Ga, Ge, Nb, In, Te, La, Ce, Pr, Nd, Sm, Eu, Gd, Tb, Dy, Yb, Lu, and Ta) in sediment, which represents one of the most important matrices for environmental research. N2O is applied as a reaction gas to overcome possible spectral interferences during ICP-MS/MS analysis. The use of N2O as a reaction gas for ICP-MS/MS analysis enabled higher oxide-product ion yields for many TCEs in comparison to the frequently used O2 cell gas. Hence, the selectivity and sensitivity of the method were improved. The presented multi-element method using N2O as a reaction gas achieved LODs between 0.00023 μg L−1 (Eu) and 0.13 μg L−1 (Te) for all analyzed TCEs. Likewise, for all analyzed elements, except for Te, recoveries between 80% and 112% were obtained for at least one of the analyzed reference materials (GBW 07313, GBW 07311, and BCR-2).","container-title":"Journal of Analytical Atomic Spectrometry","DOI":"10.1039/D1JA00088H","ISSN":"1364-5544","issue":"7","journalAbbreviation":"J. Anal. At. Spectrom.","language":"en","note":"publisher: The Royal Society of Chemistry","page":"1524-1532","source":"pubs.rsc.org","title":"Improved determination of technologically critical elements in sediment digests by ICP-MS/MS using N2O as a reaction gas","volume":"36","author":[{"family":"Klein","given":"Ole"},{"family":"Zimmermann","given":"Tristan"},{"family":"Pröfrock","given":"Daniel"}],"issued":{"date-parts":[["2021",7,7]]},"citation-key":"Klein2021ImprovedDeterminationTechnologically"}}],"schema":"https://github.com/citation-style-language/schema/raw/master/csl-citation.json"} </w:instrText>
      </w:r>
      <w:r w:rsidRPr="007B2CE1">
        <w:rPr>
          <w:rFonts w:cs="Arial"/>
          <w:lang w:val="en-US"/>
        </w:rPr>
        <w:fldChar w:fldCharType="separate"/>
      </w:r>
      <w:r w:rsidRPr="007B2CE1">
        <w:rPr>
          <w:rFonts w:cs="Arial"/>
        </w:rPr>
        <w:t>Klein et al. (2021) [30]</w:t>
      </w:r>
      <w:r w:rsidRPr="007B2CE1">
        <w:rPr>
          <w:rFonts w:cs="Arial"/>
          <w:lang w:val="en-US"/>
        </w:rPr>
        <w:fldChar w:fldCharType="end"/>
      </w:r>
      <w:r w:rsidRPr="007B2CE1">
        <w:rPr>
          <w:rFonts w:cs="Arial"/>
          <w:lang w:val="en-US"/>
        </w:rPr>
        <w:t xml:space="preserve">. The instrument was tuned in a daily routine using a Li, Co, Y, Ce, Tl solution. Rh and Ir were used as internal normalization standards (Merck-Millipore). An in-house quality control multi-elemental standard solution (Inorganic Ventures, Christiansburg, USA) was rigorously measured at least five times during each measurement batch. Processing of the multi-element raw data was conducted using </w:t>
      </w:r>
      <w:proofErr w:type="spellStart"/>
      <w:r w:rsidRPr="007B2CE1">
        <w:rPr>
          <w:rFonts w:cs="Arial"/>
          <w:lang w:val="en-US"/>
        </w:rPr>
        <w:t>MassHunter</w:t>
      </w:r>
      <w:proofErr w:type="spellEnd"/>
      <w:r w:rsidRPr="007B2CE1">
        <w:rPr>
          <w:rFonts w:cs="Arial"/>
          <w:lang w:val="en-US"/>
        </w:rPr>
        <w:t xml:space="preserve"> version 4.4 (Agilent Technologies, Tokyo, Japan) in combination with a custom-written Excel© spreadsheet. Limits of detection (</w:t>
      </w:r>
      <w:r w:rsidRPr="007B2CE1">
        <w:rPr>
          <w:rFonts w:cs="Arial"/>
          <w:i/>
          <w:lang w:val="en-US"/>
        </w:rPr>
        <w:t>LOD</w:t>
      </w:r>
      <w:r w:rsidRPr="007B2CE1">
        <w:rPr>
          <w:rFonts w:cs="Arial"/>
          <w:lang w:val="en-US"/>
        </w:rPr>
        <w:t xml:space="preserve">s) (3×SD), as well as the limits of </w:t>
      </w:r>
      <w:r w:rsidRPr="007B2CE1">
        <w:rPr>
          <w:rFonts w:cs="Arial"/>
          <w:lang w:val="en-US"/>
        </w:rPr>
        <w:lastRenderedPageBreak/>
        <w:t>quantification, (</w:t>
      </w:r>
      <w:r w:rsidRPr="007B2CE1">
        <w:rPr>
          <w:rFonts w:cs="Arial"/>
          <w:i/>
          <w:lang w:val="en-US"/>
        </w:rPr>
        <w:t>LOQ</w:t>
      </w:r>
      <w:r w:rsidRPr="007B2CE1">
        <w:rPr>
          <w:rFonts w:cs="Arial"/>
          <w:lang w:val="en-US"/>
        </w:rPr>
        <w:t>s) (10×SD) of the method were calculated on the basis of procedural blanks (</w:t>
      </w:r>
      <w:r w:rsidRPr="007B2CE1">
        <w:rPr>
          <w:rFonts w:cs="Arial"/>
          <w:i/>
          <w:lang w:val="en-US"/>
        </w:rPr>
        <w:t>n </w:t>
      </w:r>
      <w:r w:rsidRPr="007B2CE1">
        <w:rPr>
          <w:rFonts w:cs="Arial"/>
          <w:lang w:val="en-US"/>
        </w:rPr>
        <w:t xml:space="preserve">= 6) </w:t>
      </w:r>
      <w:r w:rsidRPr="007B2CE1">
        <w:rPr>
          <w:rFonts w:cs="Arial"/>
          <w:lang w:val="en-US"/>
        </w:rPr>
        <w:fldChar w:fldCharType="begin"/>
      </w:r>
      <w:r w:rsidRPr="007B2CE1">
        <w:rPr>
          <w:rFonts w:cs="Arial"/>
          <w:lang w:val="en-US"/>
        </w:rPr>
        <w:instrText xml:space="preserve"> ADDIN ZOTERO_ITEM CSL_CITATION {"citationID":"jEMRewgF","properties":{"formattedCitation":"[7]","plainCitation":"[7]","noteIndex":0},"citationItems":[{"id":5341,"uris":["http://zotero.org/users/3621315/items/K9Y3C8TG"],"itemData":{"id":5341,"type":"article-journal","container-title":"Analytical Chemistry","DOI":"10.1021/ac50064a004","ISSN":"0003-2700","issue":"14","journalAbbreviation":"Anal. Chem.","note":"publisher: American Chemical Society","page":"2242-2249","source":"ACS Publications","title":"Guidelines for data acquisition and data quality evaluation in environmental chemistry","volume":"52","author":[{"family":"MacDougall","given":"Daniel."},{"family":"Crummett","given":"Warren B."},{"family":"al.","given":".","non-dropping-particle":"et"}],"issued":{"date-parts":[["1980",12,1]]},"citation-key":"MacDougall1980GuidelinesDataAcquisition"}}],"schema":"https://github.com/citation-style-language/schema/raw/master/csl-citation.json"} </w:instrText>
      </w:r>
      <w:r w:rsidRPr="007B2CE1">
        <w:rPr>
          <w:rFonts w:cs="Arial"/>
          <w:lang w:val="en-US"/>
        </w:rPr>
        <w:fldChar w:fldCharType="separate"/>
      </w:r>
      <w:r w:rsidRPr="007B2CE1">
        <w:rPr>
          <w:rFonts w:ascii="Arial" w:hAnsi="Arial" w:cs="Arial"/>
        </w:rPr>
        <w:t>[7]</w:t>
      </w:r>
      <w:r w:rsidRPr="007B2CE1">
        <w:rPr>
          <w:rFonts w:cs="Arial"/>
          <w:lang w:val="en-US"/>
        </w:rPr>
        <w:fldChar w:fldCharType="end"/>
      </w:r>
      <w:r w:rsidRPr="007B2CE1">
        <w:rPr>
          <w:rFonts w:cs="Arial"/>
          <w:lang w:val="en-US"/>
        </w:rPr>
        <w:t>. Furthermore, expanded uncertainties with a coverage factor of 2 (</w:t>
      </w:r>
      <w:r w:rsidRPr="007B2CE1">
        <w:rPr>
          <w:rFonts w:cs="Arial"/>
          <w:i/>
          <w:iCs/>
          <w:lang w:val="en-US"/>
        </w:rPr>
        <w:t>U</w:t>
      </w:r>
      <w:r w:rsidRPr="007B2CE1">
        <w:rPr>
          <w:rFonts w:cs="Arial"/>
          <w:lang w:val="en-US"/>
        </w:rPr>
        <w:t xml:space="preserve">, </w:t>
      </w:r>
      <w:r w:rsidRPr="007B2CE1">
        <w:rPr>
          <w:rFonts w:cs="Arial"/>
          <w:i/>
          <w:iCs/>
          <w:lang w:val="en-US"/>
        </w:rPr>
        <w:t>k</w:t>
      </w:r>
      <w:r w:rsidRPr="007B2CE1">
        <w:rPr>
          <w:rFonts w:cs="Arial"/>
          <w:lang w:val="en-US"/>
        </w:rPr>
        <w:t xml:space="preserve"> = 2) for each element were calculated using a simplified Kragten approach following Reese et al. (2019) </w:t>
      </w:r>
      <w:r w:rsidRPr="007B2CE1">
        <w:rPr>
          <w:rFonts w:cs="Arial"/>
          <w:lang w:val="en-US"/>
        </w:rPr>
        <w:fldChar w:fldCharType="begin"/>
      </w:r>
      <w:r w:rsidRPr="007B2CE1">
        <w:rPr>
          <w:rFonts w:cs="Arial"/>
          <w:lang w:val="en-US"/>
        </w:rPr>
        <w:instrText xml:space="preserve"> ADDIN ZOTERO_ITEM CSL_CITATION {"citationID":"a9tEv8WI","properties":{"formattedCitation":"[8,9]","plainCitation":"[8,9]","noteIndex":0},"citationItems":[{"id":5178,"uris":["http://zotero.org/users/3621315/items/BTG8LSJT"],"itemData":{"id":5178,"type":"article-journal","container-title":"The Analyst","DOI":"10.1039/an9941902161","ISSN":"0003-2654, 1364-5528","issue":"10","journalAbbreviation":"Analyst","language":"en","page":"2161","source":"DOI.org (Crossref)","title":"Tutorial review. Calculating standard deviations and confidence intervals with a universally applicable spreadsheet technique","volume":"119","author":[{"family":"Kragten","given":"J."}],"issued":{"date-parts":[["1994"]]},"citation-key":"Kragten1994TutorialReviewCalculating"}},{"id":5174,"uris":["http://zotero.org/users/3621315/items/XANLHUY8"],"itemData":{"id":5174,"type":"article-journal","abstract":"The Elbe River has been long considered as one of the most anthropogenically impacted rivers in Europe. Its estuary is characterized by strong tidal effects, continuous dredging and dumping of sediment, and intense ship traffic between the North Sea and the Port of Hamburg. The aim of this study was to elucidate if a combined multi-element fingerprinting and isotopic tracer approach represented a suitable tool to investigate transport and mixing processes of inorganic contaminants within a complex and highly dynamic estuarine environment. A total of 37 surface sediment samples from the tidal Elbe were characterized in a comprehensive survey by determining the mass fractions of 48 elements and the isotopic signatures of stable Sr, Nd and Pb. Statistical data analysis resolved four discrete clusters of sampling locations in the estuary: One cluster upstream of the city of Hamburg, two clusters within the mixing zone between Hamburg and the mouth of the Elbe Estuary and one cluster in the mouth of the Estuary. River sediment entering the estuary carry significantly higher loads of metals (e.g. Cu, Zn, Sb, Cd and Pb), which are rapidly “diluted” by lower elemental mass fractions in marine sediment on a remarkably small regional scale. The cluster within the mouth of the estuary is mainly characterized by extreme isotopic variations of n(208Pb)/n(204Pb) ranging from 38.67 ± 0.15 to 73.86 ± 0.29, beside high mass fractions of U, Th, and some rare-earth elements. Determined Pb isotope ratios are among the highest reported values for terrestrial materials. This study indicates the general potential of combined element fingerprinting and isotope tracer approaches to elucidate processes in complex river systems. Furthermore, it represents an initial characterization of the catchment area of the Elbe River as basis for future studies on river and harbor management.","container-title":"Science of The Total Environment","DOI":"10.1016/j.scitotenv.2019.02.401","ISSN":"0048-9697","journalAbbreviation":"Science of The Total Environment","page":"512-523","source":"ScienceDirect","title":"Extreme spatial variation of Sr, Nd and Pb isotopic signatures and 48 element mass fractions in surface sediment of the Elbe River Estuary - Suitable tracers for processes in dynamic environments?","volume":"668","author":[{"family":"Reese","given":"Anna"},{"family":"Zimmermann","given":"Tristan"},{"family":"Pröfrock","given":"Daniel"},{"family":"Irrgeher","given":"Johanna"}],"issued":{"date-parts":[["2019",6,10]]},"citation-key":"Reese2019ExtremeSpatialVariation"}}],"schema":"https://github.com/citation-style-language/schema/raw/master/csl-citation.json"} </w:instrText>
      </w:r>
      <w:r w:rsidRPr="007B2CE1">
        <w:rPr>
          <w:rFonts w:cs="Arial"/>
          <w:lang w:val="en-US"/>
        </w:rPr>
        <w:fldChar w:fldCharType="separate"/>
      </w:r>
      <w:r w:rsidRPr="007B2CE1">
        <w:rPr>
          <w:rFonts w:ascii="Arial" w:hAnsi="Arial" w:cs="Arial"/>
        </w:rPr>
        <w:t>[8,9]</w:t>
      </w:r>
      <w:r w:rsidRPr="007B2CE1">
        <w:rPr>
          <w:rFonts w:cs="Arial"/>
          <w:lang w:val="en-US"/>
        </w:rPr>
        <w:fldChar w:fldCharType="end"/>
      </w:r>
      <w:r w:rsidRPr="007B2CE1">
        <w:rPr>
          <w:rFonts w:cs="Arial"/>
          <w:lang w:val="en-US"/>
        </w:rPr>
        <w:t xml:space="preserve">. For this purpose, the measurement precision of the samples, as well as the reproducibility of multiple digests was considered (Table S1 in SI_B, </w:t>
      </w:r>
      <w:r w:rsidRPr="007B2CE1">
        <w:rPr>
          <w:rFonts w:cs="Arial"/>
          <w:i/>
          <w:iCs/>
          <w:lang w:val="en-US"/>
        </w:rPr>
        <w:t>LOD</w:t>
      </w:r>
      <w:r w:rsidRPr="007B2CE1">
        <w:rPr>
          <w:rFonts w:cs="Arial"/>
          <w:lang w:val="en-US"/>
        </w:rPr>
        <w:t xml:space="preserve">s and </w:t>
      </w:r>
      <w:r w:rsidRPr="007B2CE1">
        <w:rPr>
          <w:rFonts w:cs="Arial"/>
          <w:i/>
          <w:iCs/>
          <w:lang w:val="en-US"/>
        </w:rPr>
        <w:t>LOQ</w:t>
      </w:r>
      <w:r w:rsidRPr="007B2CE1">
        <w:rPr>
          <w:rFonts w:cs="Arial"/>
          <w:lang w:val="en-US"/>
        </w:rPr>
        <w:t xml:space="preserve">s also provided). </w:t>
      </w:r>
    </w:p>
    <w:p w14:paraId="65B54FDF" w14:textId="77777777" w:rsidR="00204776" w:rsidRPr="007B2CE1" w:rsidRDefault="00204776" w:rsidP="00204776">
      <w:pPr>
        <w:spacing w:after="0" w:line="480" w:lineRule="auto"/>
        <w:jc w:val="both"/>
        <w:rPr>
          <w:rFonts w:cs="Arial"/>
          <w:lang w:val="en-US"/>
        </w:rPr>
      </w:pPr>
      <w:r w:rsidRPr="007B2CE1">
        <w:rPr>
          <w:rFonts w:cs="Arial"/>
          <w:lang w:val="en-US"/>
        </w:rPr>
        <w:t xml:space="preserve">The best suitable detection modes and isotopes were chosen according to recoveries. </w:t>
      </w:r>
    </w:p>
    <w:p w14:paraId="77C61ABA" w14:textId="77777777" w:rsidR="00204776" w:rsidRPr="007B2CE1" w:rsidRDefault="00204776" w:rsidP="00204776">
      <w:pPr>
        <w:spacing w:after="0" w:line="480" w:lineRule="auto"/>
        <w:jc w:val="both"/>
        <w:rPr>
          <w:rFonts w:cs="Arial"/>
          <w:lang w:val="en-US"/>
        </w:rPr>
      </w:pPr>
      <w:r w:rsidRPr="007B2CE1">
        <w:rPr>
          <w:rFonts w:cs="Arial"/>
          <w:lang w:val="en-US"/>
        </w:rPr>
        <w:t xml:space="preserve">Sensitive and interference-minimized quantification of elements contained in the in-house quality control multi-element standard solution (Inorganic Ventures) and the analyzed reference materials was achieved </w:t>
      </w:r>
      <w:r w:rsidRPr="007B2CE1">
        <w:rPr>
          <w:rFonts w:cs="Arial"/>
          <w:lang w:val="en-US"/>
        </w:rPr>
        <w:fldChar w:fldCharType="begin"/>
      </w:r>
      <w:r w:rsidRPr="007B2CE1">
        <w:rPr>
          <w:rFonts w:cs="Arial"/>
          <w:lang w:val="en-US"/>
        </w:rPr>
        <w:instrText xml:space="preserve"> ADDIN ZOTERO_ITEM CSL_CITATION {"citationID":"CllFX3lS","properties":{"formattedCitation":"[5]","plainCitation":"[5]","noteIndex":0},"citationItems":[{"id":4883,"uris":["http://zotero.org/users/3621315/items/8AZRW4GI"],"itemData":{"id":4883,"type":"article-journal","abstract":"The presence of microplastic (MP) particles in aquatic environments raised concern about possible enrichment of organic and inorganic pollutants due to their specific surface and chemical properties. In particular the role of metals within this context is still poorly understood. Therefore, the aim of this work was to develop a fully validated acid digestion protocol for metal analysis in different polymers, which is a prerequisite to study such interactions. The proposed digestion protocol was validated using six different certified reference materials in the microplastic size range consisting of polyethylene, polypropylene, acrylonitrile butadiene styrene and polyvinyl chloride. As ICP-MS/MS enabled time-efficient, sensitive and robust analysis of 56 metals in one measurement, the method was suitable to provide mass fractions for a multitude of other elements beside the certified ones (As, Cd, Cr, Hg, Pb, Sb, Sn and Zn). Three different microwaves, different acid mixtures as well as different temperatures in combination with different hold times were tested for optimization purposes. With the exception of Cr in acrylonitrile butadiene styrene, recovery rates obtained using the optimized protocol for all six certified reference materials fell within a range from 95.9% ± 2.7% to 112% ± 7%. Subsequent optimization further enhanced both precision and recoveries ranging from 103% ± 5% to 107 ± 4% (U; k = 2 (n = 3)) for all certified metals (incl. Cr) in acrylonitrile butadiene styrene. The results clearly show the analytical challenges that come along with metal analysis in chemically resistant plastics. Addressing specific analysis tools for different sorption scenarios and processes as well as the underlying kinetics was beyond this study’s scope. However, the future application of the two recommended thoroughly validated total acid digestion protocols as a first step in the direction of harmonization of metal analysis in/on MP will enhance the significance and comparability of the generated data. It will contribute to a better understanding of the role of MP as vector for trace metals in the environment.","container-title":"PLOS ONE","DOI":"10.1371/journal.pone.0236120","ISSN":"1932-6203","issue":"7","journalAbbreviation":"PLOS ONE","language":"en","note":"publisher: Public Library of Science","page":"e0236120","source":"PLoS Journals","title":"A metrologically traceable protocol for the quantification of trace metals in different types of microplastic","volume":"15","author":[{"family":"Hildebrandt","given":"Lars"},{"family":"Au","given":"Marcus","dropping-particle":"von der"},{"family":"Zimmermann","given":"Tristan"},{"family":"Reese","given":"Anna"},{"family":"Ludwig","given":"Jannis"},{"family":"Pröfrock","given":"Daniel"}],"issued":{"date-parts":[["2020",7,20]]},"citation-key":"Hildebrandt2020MetrologicallyTraceableProtocol"}}],"schema":"https://github.com/citation-style-language/schema/raw/master/csl-citation.json"} </w:instrText>
      </w:r>
      <w:r w:rsidRPr="007B2CE1">
        <w:rPr>
          <w:rFonts w:cs="Arial"/>
          <w:lang w:val="en-US"/>
        </w:rPr>
        <w:fldChar w:fldCharType="separate"/>
      </w:r>
      <w:r w:rsidRPr="007B2CE1">
        <w:rPr>
          <w:rFonts w:ascii="Arial" w:hAnsi="Arial" w:cs="Arial"/>
        </w:rPr>
        <w:t>[5]</w:t>
      </w:r>
      <w:r w:rsidRPr="007B2CE1">
        <w:rPr>
          <w:rFonts w:cs="Arial"/>
          <w:lang w:val="en-US"/>
        </w:rPr>
        <w:fldChar w:fldCharType="end"/>
      </w:r>
      <w:r w:rsidRPr="007B2CE1">
        <w:rPr>
          <w:rFonts w:cs="Arial"/>
          <w:lang w:val="en-US"/>
        </w:rPr>
        <w:t>.</w:t>
      </w:r>
    </w:p>
    <w:p w14:paraId="13D8E48F" w14:textId="2DA2E038" w:rsidR="00076599" w:rsidRPr="007B2CE1" w:rsidRDefault="00076599" w:rsidP="00076599">
      <w:pPr>
        <w:pStyle w:val="Heading1"/>
      </w:pPr>
      <w:bookmarkStart w:id="9" w:name="_Toc161066332"/>
      <w:r w:rsidRPr="007B2CE1">
        <w:t>Text S9 – Results of the chemical characterization using HRMS for the individual consumer products</w:t>
      </w:r>
      <w:bookmarkEnd w:id="9"/>
    </w:p>
    <w:p w14:paraId="4FE6D5A6" w14:textId="6C0EA13F" w:rsidR="00076599" w:rsidRPr="007B2CE1" w:rsidRDefault="00076599" w:rsidP="00076599">
      <w:pPr>
        <w:spacing w:line="480" w:lineRule="auto"/>
        <w:jc w:val="both"/>
        <w:rPr>
          <w:rFonts w:eastAsia="Calibri" w:cs="Arial"/>
        </w:rPr>
      </w:pPr>
      <w:r w:rsidRPr="007B2CE1">
        <w:rPr>
          <w:rFonts w:eastAsia="Calibri" w:cs="Arial"/>
        </w:rPr>
        <w:t xml:space="preserve">Most features were detected in PE_1 (DC: 164; UV: 539), PE_2 (DC: 282, UV: 430), PET_2 (DC: 260; UV: 462) and PVC_1 (DC: 217; UV: 559). PE_1 and PE_2 </w:t>
      </w:r>
      <w:proofErr w:type="gramStart"/>
      <w:r w:rsidRPr="007B2CE1">
        <w:rPr>
          <w:rFonts w:eastAsia="Calibri" w:cs="Arial"/>
        </w:rPr>
        <w:t>are</w:t>
      </w:r>
      <w:proofErr w:type="gramEnd"/>
      <w:r w:rsidRPr="007B2CE1">
        <w:rPr>
          <w:rFonts w:eastAsia="Calibri" w:cs="Arial"/>
        </w:rPr>
        <w:t xml:space="preserve"> intended for outdoor use as greenhouse cover foil and </w:t>
      </w:r>
      <w:r w:rsidR="00B434B3" w:rsidRPr="007B2CE1">
        <w:rPr>
          <w:rFonts w:eastAsia="Calibri" w:cs="Arial"/>
        </w:rPr>
        <w:t>sun protection</w:t>
      </w:r>
      <w:r w:rsidRPr="007B2CE1">
        <w:rPr>
          <w:rFonts w:eastAsia="Calibri" w:cs="Arial"/>
        </w:rPr>
        <w:t xml:space="preserve"> cover, respectively. The increase of the number of features in the UV-treated samples could imply that the materials may fatigue easily when exposed to natural UV irradiation. This might pose a risk to the environment since degradation of polymers also increases the release of additives </w:t>
      </w:r>
      <w:r w:rsidRPr="007B2CE1">
        <w:rPr>
          <w:rFonts w:eastAsia="Calibri" w:cs="Arial"/>
        </w:rPr>
        <w:fldChar w:fldCharType="begin"/>
      </w:r>
      <w:r w:rsidRPr="007B2CE1">
        <w:rPr>
          <w:rFonts w:eastAsia="Calibri" w:cs="Arial"/>
        </w:rPr>
        <w:instrText xml:space="preserve"> ADDIN ZOTERO_ITEM CSL_CITATION {"citationID":"7IDOkcHX","properties":{"formattedCitation":"[62]","plainCitation":"[62]","noteIndex":0},"citationItems":[{"id":5371,"uris":["http://zotero.org/users/3621315/items/35GJSFWG"],"itemData":{"id":5371,"type":"article-journal","abstract":"Previous studies indicated that weathered conventional plastics and bioplastics pose ecotoxicological risks. Here, the effects of artificial and natural weathering on the ecotoxicity of three compostable bags and a conventional polyethylene (PE) bag are investigated. With that aim, a 21-day artificial indoor weathering experiment featuring UV light, UV-filtered light, and darkness was run simultaneously to a 120-day outdoor littoral mesocosm exposure featuring natural light, UV-filtered light, and shaded conditions. Acute toxicity of so-weathered plastic specimens was tested in vivo using the sensitive Paracentrotus lividus sea-urchin embryo test. PE was nontoxic from the beginning and did not gain toxicity due to UV weathering. In contrast, for bioplastics, dry artificial UV weathering increased toxicity in comparison to the dark control. Weathering in outdoor mesocosm led to a rapid loss of toxic properties due to leaching in rainwater. With a higher UV dosage, a plastic-type-dependent regain of toxicity was observed, most likely driven by enhanced availability or transformation of functional additives or due to bioplastic degradation products. PE showed moderate UV absorbance, while bioplastics showed high UV absorbance. This study highlights the potential of biodegradable plastics to pose enhanced ecotoxicological risk due to weathering under environmentally relevant conditions.","container-title":"Environmental Science &amp; Technology","DOI":"10.1021/acs.est.3c02193","ISSN":"0013-936X","issue":"40","journalAbbreviation":"Environ. Sci. Technol.","note":"publisher: American Chemical Society","page":"14807-14816","source":"ACS Publications","title":"UV Dosage Unveils Toxic Properties of Weathered Commercial Bioplastic Bags","volume":"57","author":[{"family":"Quade","given":"Jakob"},{"family":"López-Ibáñez","given":"Sara"},{"family":"Beiras","given":"Ricardo"}],"issued":{"date-parts":[["2023",10,10]]},"citation-key":"Quade2023UVDosageUnveils"}}],"schema":"https://github.com/citation-style-language/schema/raw/master/csl-citation.json"} </w:instrText>
      </w:r>
      <w:r w:rsidRPr="007B2CE1">
        <w:rPr>
          <w:rFonts w:eastAsia="Calibri" w:cs="Arial"/>
        </w:rPr>
        <w:fldChar w:fldCharType="separate"/>
      </w:r>
      <w:r w:rsidRPr="007B2CE1">
        <w:rPr>
          <w:rFonts w:ascii="Arial" w:hAnsi="Arial" w:cs="Arial"/>
        </w:rPr>
        <w:t>[62]</w:t>
      </w:r>
      <w:r w:rsidRPr="007B2CE1">
        <w:rPr>
          <w:rFonts w:eastAsia="Calibri" w:cs="Arial"/>
        </w:rPr>
        <w:fldChar w:fldCharType="end"/>
      </w:r>
      <w:r w:rsidRPr="007B2CE1">
        <w:rPr>
          <w:rFonts w:eastAsia="Calibri" w:cs="Arial"/>
        </w:rPr>
        <w:t xml:space="preserve">. Compared to PE_3 and PE_4, the materials seemed less stable towards water regarding the content of chemicals although very little microplastic formation occurred (see section </w:t>
      </w:r>
      <w:r w:rsidR="008B55CA" w:rsidRPr="007B2CE1">
        <w:rPr>
          <w:rFonts w:eastAsia="Calibri" w:cs="Arial"/>
        </w:rPr>
        <w:t>3.2 and Figure S3</w:t>
      </w:r>
      <w:r w:rsidRPr="007B2CE1">
        <w:rPr>
          <w:rFonts w:eastAsia="Calibri" w:cs="Arial"/>
        </w:rPr>
        <w:t xml:space="preserve">). PET_2 is probably a composite material made of a polyester and a glass fibre matrix (see section </w:t>
      </w:r>
      <w:r w:rsidR="008B55CA" w:rsidRPr="007B2CE1">
        <w:rPr>
          <w:rFonts w:eastAsia="Calibri" w:cs="Arial"/>
        </w:rPr>
        <w:t>S1</w:t>
      </w:r>
      <w:r w:rsidRPr="007B2CE1">
        <w:rPr>
          <w:rFonts w:eastAsia="Calibri" w:cs="Arial"/>
        </w:rPr>
        <w:t xml:space="preserve">). Apparently, this mixed material contained many water-soluble compounds and was relatively unstable towards UV irradiation, although it is advertised as “resistant against harsh environments”. As PET_2 is intended for industrial use, these rough environments might rather refer to, e.g., humidity or acidic fumes, which may also occur indoors, but not during outdoor application. The consumer product PVC_1 is intended to be applied as a cable housing, which implies required high safety standards and the use of flame retardants. Despite that the group of organic additives contains more than 10,000 different compounds </w:t>
      </w:r>
      <w:r w:rsidRPr="007B2CE1">
        <w:rPr>
          <w:rFonts w:eastAsia="Calibri" w:cs="Arial"/>
        </w:rPr>
        <w:fldChar w:fldCharType="begin"/>
      </w:r>
      <w:r w:rsidRPr="007B2CE1">
        <w:rPr>
          <w:rFonts w:eastAsia="Calibri" w:cs="Arial"/>
        </w:rPr>
        <w:instrText xml:space="preserve"> ADDIN ZOTERO_ITEM CSL_CITATION {"citationID":"qSZMFo0h","properties":{"formattedCitation":"[9]","plainCitation":"[9]","noteIndex":0},"citationItems":[{"id":1824,"uris":["http://zotero.org/users/3621315/items/9QDWZ6V8"],"itemData":{"id":1824,"type":"article-journal","abstract":"A variety of chemical substances used in plastic production may be released throughout the entire life cycle of the plastic, posing risks to human health, the environment, and recycling systems. Only a limited number of these substances have been widely studied. We systematically investigate plastic monomers, additives, and processing aids on the global market based on a review of 63 industrial, scientiﬁc, and regulatory data sources. In total, we identify more than 10'000 relevant substances and categorize them based on substance types, use patterns, and hazard classiﬁcations wherever possible. Over 2'400 substances are identiﬁed as substances of potential concern as they meet one or more of the persistence, bioaccumulation, and toxicity criteria in the European Union. Many of these substances are hardly studied according to SciFinder (266 substances), are not adequately regulated in many parts of the world (1'327 substances), or are even approved for use in food-contact plastics in some jurisdictions (901 substances). Substantial information gaps exist in the public domain, particularly on substance properties and use patterns. To transition to a sustainable circular plastic economy that avoids the use of hazardous chemicals, concerted eﬀorts by all stakeholders are needed, starting by increasing information accessibility.","container-title":"Environmental Science &amp; Technology","DOI":"10.1021/acs.est.1c00976","ISSN":"0013-936X, 1520-5851","issue":"13","journalAbbreviation":"Environ. Sci. Technol.","language":"en","page":"9339-9351","source":"DOI.org (Crossref)","title":"Deep Dive into Plastic Monomers, Additives, and Processing Aids","volume":"55","author":[{"family":"Wiesinger","given":"Helene"},{"family":"Wang","given":"Zhanyun"},{"family":"Hellweg","given":"Stefanie"}],"issued":{"date-parts":[["2021",7,6]]},"citation-key":"Wiesinger(2021)DeepDivePlastic"}}],"schema":"https://github.com/citation-style-language/schema/raw/master/csl-citation.json"} </w:instrText>
      </w:r>
      <w:r w:rsidRPr="007B2CE1">
        <w:rPr>
          <w:rFonts w:eastAsia="Calibri" w:cs="Arial"/>
        </w:rPr>
        <w:fldChar w:fldCharType="separate"/>
      </w:r>
      <w:r w:rsidRPr="007B2CE1">
        <w:rPr>
          <w:rFonts w:cs="Arial"/>
        </w:rPr>
        <w:t>[9]</w:t>
      </w:r>
      <w:r w:rsidRPr="007B2CE1">
        <w:rPr>
          <w:rFonts w:eastAsia="Calibri" w:cs="Arial"/>
        </w:rPr>
        <w:fldChar w:fldCharType="end"/>
      </w:r>
      <w:r w:rsidRPr="007B2CE1">
        <w:rPr>
          <w:rFonts w:eastAsia="Calibri" w:cs="Arial"/>
        </w:rPr>
        <w:t xml:space="preserve">, single formulations typically contain </w:t>
      </w:r>
      <w:r w:rsidR="00CF1586" w:rsidRPr="007B2CE1">
        <w:rPr>
          <w:rFonts w:eastAsia="Calibri" w:cs="Arial"/>
        </w:rPr>
        <w:t xml:space="preserve">only </w:t>
      </w:r>
      <w:r w:rsidRPr="007B2CE1">
        <w:rPr>
          <w:rFonts w:eastAsia="Calibri" w:cs="Arial"/>
        </w:rPr>
        <w:t xml:space="preserve">few functional </w:t>
      </w:r>
      <w:r w:rsidRPr="007B2CE1">
        <w:rPr>
          <w:rFonts w:eastAsia="Calibri" w:cs="Arial"/>
        </w:rPr>
        <w:lastRenderedPageBreak/>
        <w:t xml:space="preserve">additives. </w:t>
      </w:r>
      <w:r w:rsidR="00CF1586" w:rsidRPr="007B2CE1">
        <w:rPr>
          <w:rFonts w:eastAsia="Calibri" w:cs="Arial"/>
        </w:rPr>
        <w:t>Considering the numbers of characteristic features detected here, t</w:t>
      </w:r>
      <w:r w:rsidRPr="007B2CE1">
        <w:rPr>
          <w:rFonts w:eastAsia="Calibri" w:cs="Arial"/>
        </w:rPr>
        <w:t>his could imply substantial formation of transformation products in all studied materials.</w:t>
      </w:r>
    </w:p>
    <w:p w14:paraId="659F21CF" w14:textId="77777777" w:rsidR="00076599" w:rsidRPr="007B2CE1" w:rsidRDefault="00076599" w:rsidP="00076599">
      <w:pPr>
        <w:spacing w:after="240" w:line="480" w:lineRule="auto"/>
        <w:jc w:val="both"/>
        <w:rPr>
          <w:rFonts w:eastAsia="Calibri" w:cs="Arial"/>
        </w:rPr>
      </w:pPr>
      <w:r w:rsidRPr="007B2CE1">
        <w:rPr>
          <w:rFonts w:eastAsia="Calibri" w:cs="Arial"/>
        </w:rPr>
        <w:t xml:space="preserve">The least features were detected in leachates PET_1 (DC: 182, UV: 256) and PVC_2 (DC: 217, UV: 237). PET_1 was a product for electronic applications, which require extended material safety. Often this is realized by higher flame-retardant contents relative to other product groups </w:t>
      </w:r>
      <w:r w:rsidRPr="007B2CE1">
        <w:rPr>
          <w:rFonts w:eastAsia="Calibri" w:cs="Arial"/>
        </w:rPr>
        <w:fldChar w:fldCharType="begin"/>
      </w:r>
      <w:r w:rsidRPr="007B2CE1">
        <w:rPr>
          <w:rFonts w:eastAsia="Calibri" w:cs="Arial"/>
        </w:rPr>
        <w:instrText xml:space="preserve"> ADDIN ZOTERO_ITEM CSL_CITATION {"citationID":"cDsE1You","properties":{"formattedCitation":"[63,64]","plainCitation":"[63,64]","noteIndex":0},"citationItems":[{"id":5375,"uris":["http://zotero.org/users/3621315/items/PRREM5X9"],"itemData":{"id":5375,"type":"article-journal","abstract":"Plastic components of e-waste contain high levels of brominated flame retardants (BFRs), whose releases cause environmental and human health concerns. This study characterized the release kinetics of polybrominated diphenyl ethers (PBDEs) from millimeter-sized granules processed from the plastic exteriors of two scrap computer displays at environmentally relevant temperatures. The release rate of a substitute of PBDEs, 1,2-bis(2,4,6-tribromophenoxy)ethane (BTBPE), from the waste plastics, was reported for the first time. Deca-BDE was the most abundant PBDE congeners in both materials (87–89%), while BTBPE was also present at relatively high contents. The release kinetics of BFRs could be modeled as one-dimensional diffusion, while the temperature dependence of diffusion coefficients was well described by the Arrhenius equation. The diffusion coefficients of BFRs (at 30 °C) in the plastic matrices were estimated to be in the range of 10–27.16 to 10–19.96 m2·s–1, with apparent activation energies between 88.4 and 154.2 kJ·mol–1. The half-lives of BFR releases (i.e., 50% depletion) from the plastic granules ranged from thousands to tens of billions of years at ambient temperatures. These findings suggest that BFRs are released very slowly from the matrices of waste plastics through molecular diffusion, while their emissions can be significantly enhanced with wear-and-tear and pulverization.","container-title":"Environmental Science &amp; Technology","DOI":"10.1021/acs.est.6b04297","ISSN":"0013-936X","issue":"24","journalAbbreviation":"Environ. Sci. Technol.","note":"publisher: American Chemical Society","page":"13419-13427","source":"ACS Publications","title":"Kinetics of Brominated Flame Retardant (BFR) Releases from Granules of Waste Plastics","volume":"50","author":[{"family":"Sun","given":"Bingbing"},{"family":"Hu","given":"Yuanan"},{"family":"Cheng","given":"Hefa"},{"family":"Tao","given":"Shu"}],"issued":{"date-parts":[["2016",12,20]]},"citation-key":"Sun2016KineticsBrominatedFlame"}},{"id":5373,"uris":["http://zotero.org/users/3621315/items/LK6UKPGN"],"itemData":{"id":5373,"type":"article-journal","abstract":"In this study, we investigated the contents of several brominated compounds in TV molding plastics, as well as their leaching characteristics in the presence of DHM. The PBDE content was about 3% of the sample weight, and deca-BDE was the most abundant homologue, accounting for over 80% of the total amount. TBBPA, PBPs and PBBs content was 8100, 4700 and 250ng/g, respectively. Despite no detection of most of the lower brominated DEs in distilled water, most homologues could be detected in DHM solution, and their solubility increased according to the contact time; those of highly brominated compounds increased to 10 times their maximum solubility in distilled water. Especially, contrary to the relatively faster equilibrium in distilled water, BFR solubility in DHM solution was maintained even after 20 days. In addition, a modified first-order model adequately reflected rapid desorption for each compound in the initial period, but slow desorption afterwards. From an overall perspective, it is clear that hydrophobic BFRs can leach out to a great extent in the presence of DHM, which is a matter of great concern in E&amp;E waste as the potential contaminant source of BFRs, especially in landfills and open dump sites that provide the perfect conditions for exposure of BFRs to abundant DHM.","container-title":"Chemosphere","DOI":"10.1016/j.chemosphere.2008.08.030","ISSN":"0045-6535","issue":"3","journalAbbreviation":"Chemosphere","page":"460-466","source":"ScienceDirect","title":"Leaching of brominated flame retardants from TV housing plastics in the presence of dissolved humic matter","volume":"74","author":[{"family":"Choi","given":"Ki-In"},{"family":"Lee","given":"Suk-Hui"},{"family":"Osako","given":"Masahiro"}],"issued":{"date-parts":[["2009",1,1]]},"citation-key":"Choi2009LeachingBrominatedFlame"}}],"schema":"https://github.com/citation-style-language/schema/raw/master/csl-citation.json"} </w:instrText>
      </w:r>
      <w:r w:rsidRPr="007B2CE1">
        <w:rPr>
          <w:rFonts w:eastAsia="Calibri" w:cs="Arial"/>
        </w:rPr>
        <w:fldChar w:fldCharType="separate"/>
      </w:r>
      <w:r w:rsidRPr="007B2CE1">
        <w:rPr>
          <w:rFonts w:ascii="Arial" w:hAnsi="Arial" w:cs="Arial"/>
        </w:rPr>
        <w:t>[63,64]</w:t>
      </w:r>
      <w:r w:rsidRPr="007B2CE1">
        <w:rPr>
          <w:rFonts w:eastAsia="Calibri" w:cs="Arial"/>
        </w:rPr>
        <w:fldChar w:fldCharType="end"/>
      </w:r>
      <w:r w:rsidRPr="007B2CE1">
        <w:rPr>
          <w:rFonts w:eastAsia="Calibri" w:cs="Arial"/>
        </w:rPr>
        <w:t xml:space="preserve">. PVC_2 was a tubing for food applications, which demand for relatively clean materials. The UV treatment had minor effects on the number of features though PVC is known to contain high numbers of additives, which are needed as processing aids </w:t>
      </w:r>
      <w:r w:rsidRPr="007B2CE1">
        <w:rPr>
          <w:rFonts w:eastAsia="Calibri" w:cs="Arial"/>
        </w:rPr>
        <w:fldChar w:fldCharType="begin"/>
      </w:r>
      <w:r w:rsidRPr="007B2CE1">
        <w:rPr>
          <w:rFonts w:eastAsia="Calibri" w:cs="Arial"/>
        </w:rPr>
        <w:instrText xml:space="preserve"> ADDIN ZOTERO_ITEM CSL_CITATION {"citationID":"EsnbgU0s","properties":{"formattedCitation":"[65,66]","plainCitation":"[65,66]","noteIndex":0},"citationItems":[{"id":5379,"uris":["http://zotero.org/users/3621315/items/6P3WN3XG"],"itemData":{"id":5379,"type":"article-journal","abstract":"The plastics enterprise depends on a small number of commodity polymers to perform in diverse applications, requiring additives to produce desired properties and performance. Toxic effects and environmental persistence of certain additive chemicals impact the sustainability of the industry. Green chemistry has been and will continue to be applied to find solutions to these issues. This review focuses on alternatives to phthalate plasticizers and halogenated flame retardants, two categories that together account for a significant portion of the global additives market and the global dispersion of endocrine-disrupting chemicals. Small-molecule alternatives that exist in various stages of research and commercialization will be discussed, with emphasis on the use of renewable resources. The rise of biorefineries and new bio-based monomers may help overcome existing economic barriers to adoption of alternatives. Increasing the molecular weight of additives or covalently linking them to polymer backbones are two promising strategies for reducing both mobility and toxicity that will also be discussed. Finally, the design of new polymers that show desirable properties without the use of additives will be considered. The substances put forward as “green” alternatives have yet to receive the same level of scrutiny as diethylhexyl phthalate (DEHP, also known as dioctyl phthalate) or polybrominated diphenyl ethers (PBDEs). Cooperation between chemists, engineers, and the environmental health community will be critical to ensure the safety and sustainability of new technologies.","container-title":"Pure and Applied Chemistry","DOI":"10.1351/PAC-CON-12-08-08","ISSN":"1365-3075","issue":"8","language":"de","license":"De Gruyter expressly reserves the right to use all content for commercial text and data mining within the meaning of Section 44b of the German Copyright Act.","note":"publisher: De Gruyter","page":"1611-1624","source":"www.degruyter.com","title":"Plastics additives and green chemistry","volume":"85","author":[{"family":"Beach","given":"Evan S."},{"family":"Weeks","given":"Brian R."},{"family":"Stern","given":"Rebecca"},{"family":"Anastas","given":"Paul T."}],"issued":{"date-parts":[["2013",1,5]]},"citation-key":"Beach2013PlasticsAdditivesGreen"}},{"id":5377,"uris":["http://zotero.org/users/3621315/items/32XP7LNC"],"itemData":{"id":5377,"type":"article-journal","abstract":"PVC compounds account for the greatest volume of plastics additives. Ron Babinsky, director Additives &amp; Specialties with Townsend Polymers &amp; Information, reviews the global market for PVC additives.","container-title":"Plastics, Additives and Compounding","DOI":"10.1016/S1464-391X(06)70526-8","ISSN":"1464-391X","issue":"1","journalAbbreviation":"Plastics, Additives and Compounding","page":"38-40","source":"ScienceDirect","title":"PVC additives: a global review","title-short":"PVC additives","volume":"8","author":[{"family":"Babinsky","given":"Ron"}],"issued":{"date-parts":[["2006",1,1]]},"citation-key":"Babinsky2006PVCAdditivesGlobal"}}],"schema":"https://github.com/citation-style-language/schema/raw/master/csl-citation.json"} </w:instrText>
      </w:r>
      <w:r w:rsidRPr="007B2CE1">
        <w:rPr>
          <w:rFonts w:eastAsia="Calibri" w:cs="Arial"/>
        </w:rPr>
        <w:fldChar w:fldCharType="separate"/>
      </w:r>
      <w:r w:rsidRPr="007B2CE1">
        <w:rPr>
          <w:rFonts w:ascii="Arial" w:hAnsi="Arial" w:cs="Arial"/>
        </w:rPr>
        <w:t>[65,66]</w:t>
      </w:r>
      <w:r w:rsidRPr="007B2CE1">
        <w:rPr>
          <w:rFonts w:eastAsia="Calibri" w:cs="Arial"/>
        </w:rPr>
        <w:fldChar w:fldCharType="end"/>
      </w:r>
      <w:r w:rsidRPr="007B2CE1">
        <w:rPr>
          <w:rFonts w:eastAsia="Calibri" w:cs="Arial"/>
        </w:rPr>
        <w:t>.</w:t>
      </w:r>
    </w:p>
    <w:p w14:paraId="2679D961" w14:textId="11036916" w:rsidR="00CF1586" w:rsidRPr="007B2CE1" w:rsidRDefault="00CF1586" w:rsidP="00CF1586">
      <w:pPr>
        <w:spacing w:after="240" w:line="480" w:lineRule="auto"/>
        <w:jc w:val="both"/>
        <w:rPr>
          <w:rFonts w:eastAsia="Calibri" w:cs="Arial"/>
        </w:rPr>
      </w:pPr>
      <w:r w:rsidRPr="007B2CE1">
        <w:rPr>
          <w:rFonts w:eastAsia="Calibri" w:cs="Arial"/>
        </w:rPr>
        <w:t xml:space="preserve">The here discussed numbers of features match well values reported in literature. Klein et al. (2021) had found an increase of features in UV-treated samples (SPE-extracts) after aqueous leaching for 24 h; PVC pellets contained most features (DC: 618, UV: 2168), followed by PET (DC: 178, UV: 745) and LDPE (DC: 105, UV: 148) </w:t>
      </w:r>
      <w:r w:rsidRPr="007B2CE1">
        <w:rPr>
          <w:rFonts w:eastAsia="Calibri" w:cs="Arial"/>
        </w:rPr>
        <w:fldChar w:fldCharType="begin"/>
      </w:r>
      <w:r w:rsidRPr="007B2CE1">
        <w:rPr>
          <w:rFonts w:eastAsia="Calibri" w:cs="Arial"/>
        </w:rPr>
        <w:instrText xml:space="preserve"> ADDIN ZOTERO_ITEM CSL_CITATION {"citationID":"uMNbE8qF","properties":{"formattedCitation":"[67]","plainCitation":"[67]","noteIndex":0},"citationItems":[{"id":2735,"uris":["http://zotero.org/users/3621315/items/ZLBUIP79"],"itemData":{"id":2735,"type":"article-journal","container-title":"Water Research","DOI":"10.1016/j.watres.2021.117203","ISSN":"00431354","journalAbbreviation":"Water Research","language":"en","page":"117203","source":"DOI.org (Crossref)","title":"Enhanced in vitro toxicity of plastic leachates after UV irradiation","volume":"199","author":[{"family":"Klein","given":"Kristina"},{"family":"Hof","given":"Delia"},{"family":"Dombrowski","given":"Andrea"},{"family":"Schweyen","given":"Peter"},{"family":"Dierkes","given":"Georg"},{"family":"Ternes","given":"Thomas"},{"family":"Schulte-Oehlmann","given":"Ulrike"},{"family":"Oehlmann","given":"Jörg"}],"issued":{"date-parts":[["2021",7]]},"citation-key":"Klein(2021)EnhancedVitroToxicity"}}],"schema":"https://github.com/citation-style-language/schema/raw/master/csl-citation.json"} </w:instrText>
      </w:r>
      <w:r w:rsidRPr="007B2CE1">
        <w:rPr>
          <w:rFonts w:eastAsia="Calibri" w:cs="Arial"/>
        </w:rPr>
        <w:fldChar w:fldCharType="separate"/>
      </w:r>
      <w:r w:rsidRPr="007B2CE1">
        <w:rPr>
          <w:rFonts w:ascii="Arial" w:hAnsi="Arial" w:cs="Arial"/>
        </w:rPr>
        <w:t>[67]</w:t>
      </w:r>
      <w:r w:rsidRPr="007B2CE1">
        <w:rPr>
          <w:rFonts w:eastAsia="Calibri" w:cs="Arial"/>
        </w:rPr>
        <w:fldChar w:fldCharType="end"/>
      </w:r>
      <w:r w:rsidRPr="007B2CE1">
        <w:rPr>
          <w:rFonts w:eastAsia="Calibri" w:cs="Arial"/>
        </w:rPr>
        <w:t xml:space="preserve">. Other studies have also observed higher numbers of features for PVC products compared to PET products </w:t>
      </w:r>
      <w:r w:rsidRPr="007B2CE1">
        <w:rPr>
          <w:rFonts w:eastAsia="Calibri" w:cs="Arial"/>
        </w:rPr>
        <w:fldChar w:fldCharType="begin"/>
      </w:r>
      <w:r w:rsidRPr="007B2CE1">
        <w:rPr>
          <w:rFonts w:eastAsia="Calibri" w:cs="Arial"/>
        </w:rPr>
        <w:instrText xml:space="preserve"> ADDIN ZOTERO_ITEM CSL_CITATION {"citationID":"Qx8nemp7","properties":{"formattedCitation":"[68,69]","plainCitation":"[68,69]","noteIndex":0},"citationItems":[{"id":2933,"uris":["http://zotero.org/users/3621315/items/686IZBIU"],"itemData":{"id":2933,"type":"article-journal","abstract":"Organic components of microplastic leachates were investigated in an integrated non-targeted analysis study that included statistical analysis on leachates generated under different leaching scenarios. Leaching experiments were undertaken with simulated gastric fluid (SGF), river water, and seawater with common polymer types, including polyethylene, polypropylene, polyvinyl chloride, polyethylene terephthalate, and polyester fabrics comprising both raw and recycled materials. Totals of 111.0 ± 26.7, 98.5 ± 20.3, and 53.5 ± 4.7 different features were tentatively identified as compounds in SGF, freshwater, and seawater leachates, respectively, of which 5 compounds were confirmed by reference standards. The leaching capacities of the media were compared, and the clusters of structurally related features leached in the same medium were studied. For leachates generated from raw and recycled plastics, volcano plots and Pearson's Chi-squared tests were used to identify characteristic features. More characteristic features (3−20) had an average intensity across all recycled plastics that were significantly higher (p &lt; 0.05) than that (1–3) of raw plastics under different conditions. The results indicate that gastric solution is more likely to leach components from microplastics, and there exists the difference of leachate's organic composition between raw and recycled materials, providing new insights into understanding microplastic environmental effects.","container-title":"Science of The Total Environment","DOI":"10.1016/j.scitotenv.2021.151598","ISSN":"0048-9697","journalAbbreviation":"Science of The Total Environment","language":"en","page":"151598","source":"ScienceDirect","title":"Non-targeted analysis for organic components of microplastic leachates","volume":"816","author":[{"family":"Li","given":"Yubo"},{"family":"Lu","given":"Zhibo"},{"family":"Abrahamsson","given":"Dimitri Panagopoulos"},{"family":"Song","given":"Weihua"},{"family":"Yang","given":"Chao"},{"family":"Huang","given":"Qinghui"},{"family":"Wang","given":"Juan"}],"issued":{"date-parts":[["2022",4,10]]},"citation-key":"Li2022NontargetedAnalysisOrganic"}},{"id":2897,"uris":["http://zotero.org/users/3621315/items/4WRYCBUZ"],"itemData":{"id":2897,"type":"article-journal","abstract":"Synthetic polymer-based materials are ubiquitous in aquatic environments, where weathering processes lead to their progressive fragmentation and the leaching of additive chemicals. The current study assessed the chemical content of freshwater and marine leachates produced from car tire rubber (CTR), polypropylene (PP), polyethylene terephthalate (PET), polystyrene (PS) and polyvinyl chloride (PVC) microplastics, and their adverse effects on the microalgae Raphidocelis subcapitata (freshwater) and Skeletonema costatum (marine) and the Mediterranean mussel Mytilus galloprovincialis. A combination of non-target and target chemical analysis revealed a number of organic and metal compounds in the leachates, including representing plasticizers, antioxidants, antimicrobials, lubricants, and vulcanizers. CTR and PVC materials and their corresponding leachates had the highest content of tentatively identiﬁed organic additives, while PET had the lowest. The metal content varied both between polymer leachates and between freshwater and seawater. Notable additives identiﬁed in high concentrations were benzothiazole (CTR), phthalide (PVC), acetophenone (PP), cobalt (CTR, PET), zinc (CTR, PVC), lead (PP) and antimony (PET). All leachates, except PET, inhibited algal growth with EC50 values ranging from 0.5% (CTR) and 64% (PP) of the total leachate concentration. Leachates also affected mussel endpoints, including the lysosomal membrane stability and early stages endpoints as gamete fertilization, embryonic development and larvae motility and survival. Embryonic development was the most sensitive parameter in mussels, with EC50 values ranging from 0.8% (CTR) to 65% (PET) of the total leachate. The lowest impacts were induced on D-shell larvae survival, reﬂecting their ability to down-regulate motility and ﬁltration in the presence of chemical stressors. This study provides evidence of the relationship between chemical composition and toxicity of plastic/rubber leachates. Consistent with increasing contamination by organic and inorganic additives, the leachates ranged from slightly to highly toxic to mussels and algae, highlighting the need for a better understanding of the overall impact of plasticassociated chemicals on aquatic ecosystems.","container-title":"Water Research","DOI":"10.1016/j.watres.2019.115270","ISSN":"00431354","journalAbbreviation":"Water Research","language":"en","page":"115270","source":"DOI.org (Crossref)","title":"Chemical composition and ecotoxicity of plastic and car tire rubber leachates to aquatic organisms","volume":"169","author":[{"family":"Capolupo","given":"Marco"},{"family":"Sørensen","given":"Lisbet"},{"family":"Jayasena","given":"Kongalage Don Ranil"},{"family":"Booth","given":"Andy M."},{"family":"Fabbri","given":"Elena"}],"issued":{"date-parts":[["2020",2]]},"citation-key":"Capolupo(2020)ChemicalCompositionEcotoxicity"}}],"schema":"https://github.com/citation-style-language/schema/raw/master/csl-citation.json"} </w:instrText>
      </w:r>
      <w:r w:rsidRPr="007B2CE1">
        <w:rPr>
          <w:rFonts w:eastAsia="Calibri" w:cs="Arial"/>
        </w:rPr>
        <w:fldChar w:fldCharType="separate"/>
      </w:r>
      <w:r w:rsidRPr="007B2CE1">
        <w:rPr>
          <w:rFonts w:ascii="Arial" w:hAnsi="Arial" w:cs="Arial"/>
        </w:rPr>
        <w:t>[68,69]</w:t>
      </w:r>
      <w:r w:rsidRPr="007B2CE1">
        <w:rPr>
          <w:rFonts w:eastAsia="Calibri" w:cs="Arial"/>
        </w:rPr>
        <w:fldChar w:fldCharType="end"/>
      </w:r>
      <w:r w:rsidRPr="007B2CE1">
        <w:rPr>
          <w:rFonts w:eastAsia="Calibri" w:cs="Arial"/>
        </w:rPr>
        <w:t xml:space="preserve">. </w:t>
      </w:r>
      <w:r w:rsidRPr="007B2CE1">
        <w:t xml:space="preserve">This can indicate that PVC products tend to be more highly processed and more diverse materials. </w:t>
      </w:r>
      <w:r w:rsidRPr="007B2CE1">
        <w:rPr>
          <w:rFonts w:eastAsia="Calibri" w:cs="Arial"/>
        </w:rPr>
        <w:t xml:space="preserve">The generally higher number of features in the literature can likely be attributed to the fact that concentrated extracts were </w:t>
      </w:r>
      <w:r w:rsidRPr="007B2CE1">
        <w:rPr>
          <w:rFonts w:eastAsia="Calibri" w:cs="Arial"/>
          <w:lang w:val="en-US"/>
        </w:rPr>
        <w:t>analyzed</w:t>
      </w:r>
      <w:r w:rsidRPr="007B2CE1">
        <w:rPr>
          <w:rFonts w:eastAsia="Calibri" w:cs="Arial"/>
        </w:rPr>
        <w:t xml:space="preserve"> instead of directly injected leachates.</w:t>
      </w:r>
      <w:r w:rsidRPr="007B2CE1">
        <w:t xml:space="preserve"> In general, the experimental design and the selected analytical method strongly determine the number of detections.</w:t>
      </w:r>
      <w:r w:rsidRPr="007B2CE1">
        <w:rPr>
          <w:rFonts w:eastAsia="Calibri" w:cs="Arial"/>
        </w:rPr>
        <w:t xml:space="preserve"> However, up to two-fold the number of features could be detected, e.g., in PVC-extracts, derived with the same method </w:t>
      </w:r>
      <w:r w:rsidRPr="007B2CE1">
        <w:rPr>
          <w:rFonts w:eastAsia="Calibri" w:cs="Arial"/>
        </w:rPr>
        <w:fldChar w:fldCharType="begin"/>
      </w:r>
      <w:r w:rsidRPr="007B2CE1">
        <w:rPr>
          <w:rFonts w:eastAsia="Calibri" w:cs="Arial"/>
        </w:rPr>
        <w:instrText xml:space="preserve"> ADDIN ZOTERO_ITEM CSL_CITATION {"citationID":"4q2qKX50","properties":{"formattedCitation":"[70]","plainCitation":"[70]","noteIndex":0},"citationItems":[{"id":5381,"uris":["http://zotero.org/users/3621315/items/8QZ9AKLW"],"itemData":{"id":5381,"type":"article-journal","abstract":"The broad use of plastics and the persistence of the material results in plastic residues being found practically everywhere in the environment. If plastics remain in the (aquatic) environment, natural weathering leads to degradation processes and compounds may leach from plastic into the environment. To investigate the impact of degradation process on toxicity of leachates, different types of UV irradiation (UV-C, UV-A/B) were used to simulate weathering processes of different plastic material containing virgin as well as recyclate material and biodegradable polymers. The leached substances were investigated toxicologically using in-vitro bioassays. Cytotoxicity was determined by the MTT-assay, genotoxicity by using the p53-CALUX and Umu-assay, and estrogenic effects by the ERα-CALUX. Genotoxic as well as estrogenic effects were detected in different samples depending on the material and the irradiation type. In four leachates of 12 plastic species estrogenic effects were detected above the recommended safety level of 0.4 ng 17β-estradiol equivalents/L for surface water samples. In the p53-CALUX and in the Umu-assay leachates from three and two, respectively, of 12 plastic species were found to be genotoxic. The results of the chemical analysis show that plastic material releases a variety of known and unknown substances especially under UV radiation, leading to a complex mixture with potentially harmful effects. In order to investigate these aspects further and to be able to give recommendations for the use of additives in plastics, further effect-related investigations are advisable.","container-title":"PeerJ","DOI":"10.7717/peerj.15192","ISSN":"2167-8359","journalAbbreviation":"PeerJ","note":"PMID: 37065699\nPMCID: PMC10103695","page":"e15192","source":"PubMed Central","title":"Chemical and toxicological assessment of leachates from UV-degraded plastic materials using in-vitro bioassays","volume":"11","author":[{"family":"Schwarz","given":"Weike"},{"family":"Wegener","given":"Stina"},{"family":"Schertzinger","given":"Gerhard"},{"family":"Pannekens","given":"Helena"},{"family":"Schweyen","given":"Peter"},{"family":"Dierkes","given":"Georg"},{"family":"Klein","given":"Kristina"},{"family":"Ternes","given":"Thomas A."},{"family":"Oehlmann","given":"Jörg"},{"family":"Dopp","given":"Elke"}],"issued":{"date-parts":[["2023",4,11]]},"citation-key":"Schwarz2023ChemicalToxicologicalAssessment"}}],"schema":"https://github.com/citation-style-language/schema/raw/master/csl-citation.json"} </w:instrText>
      </w:r>
      <w:r w:rsidRPr="007B2CE1">
        <w:rPr>
          <w:rFonts w:eastAsia="Calibri" w:cs="Arial"/>
        </w:rPr>
        <w:fldChar w:fldCharType="separate"/>
      </w:r>
      <w:r w:rsidRPr="007B2CE1">
        <w:rPr>
          <w:rFonts w:ascii="Arial" w:hAnsi="Arial" w:cs="Arial"/>
        </w:rPr>
        <w:t>[70]</w:t>
      </w:r>
      <w:r w:rsidRPr="007B2CE1">
        <w:rPr>
          <w:rFonts w:eastAsia="Calibri" w:cs="Arial"/>
        </w:rPr>
        <w:fldChar w:fldCharType="end"/>
      </w:r>
      <w:r w:rsidRPr="007B2CE1">
        <w:rPr>
          <w:rFonts w:eastAsia="Calibri" w:cs="Arial"/>
        </w:rPr>
        <w:t>. Though pristine pellets were investigated, and the leaching period was relatively short, the complexity of plastic leachates is demonstrated.</w:t>
      </w:r>
    </w:p>
    <w:p w14:paraId="68B52FE2" w14:textId="77777777" w:rsidR="006B116C" w:rsidRPr="007B2CE1" w:rsidRDefault="006B116C" w:rsidP="006B116C">
      <w:pPr>
        <w:pStyle w:val="Heading1"/>
      </w:pPr>
      <w:bookmarkStart w:id="10" w:name="_Toc161066333"/>
      <w:r w:rsidRPr="007B2CE1">
        <w:t>Text S10 – Discussion on the results of the spiked mass-labelled standards</w:t>
      </w:r>
      <w:bookmarkEnd w:id="10"/>
    </w:p>
    <w:p w14:paraId="09FAD3A3" w14:textId="331E196B" w:rsidR="006B116C" w:rsidRPr="007B2CE1" w:rsidRDefault="006B116C" w:rsidP="006B116C">
      <w:pPr>
        <w:spacing w:after="0" w:line="480" w:lineRule="auto"/>
        <w:jc w:val="both"/>
        <w:rPr>
          <w:rFonts w:cs="Arial"/>
          <w:lang w:val="en-US"/>
        </w:rPr>
      </w:pPr>
      <w:r w:rsidRPr="007B2CE1">
        <w:rPr>
          <w:rFonts w:cs="Arial"/>
          <w:lang w:val="en-US"/>
        </w:rPr>
        <w:t xml:space="preserve">The results from the spiked mass-labelled standards indicated complex </w:t>
      </w:r>
      <w:r w:rsidR="444DFF4D" w:rsidRPr="007B2CE1">
        <w:rPr>
          <w:rFonts w:cs="Arial"/>
          <w:lang w:val="en-US"/>
        </w:rPr>
        <w:t xml:space="preserve">matrix related </w:t>
      </w:r>
      <w:r w:rsidRPr="007B2CE1">
        <w:rPr>
          <w:rFonts w:cs="Arial"/>
          <w:lang w:val="en-US"/>
        </w:rPr>
        <w:t>challenges for an accurate quantification (Figure S</w:t>
      </w:r>
      <w:r w:rsidR="00AC2770" w:rsidRPr="007B2CE1">
        <w:rPr>
          <w:rFonts w:cs="Arial"/>
          <w:lang w:val="en-US"/>
        </w:rPr>
        <w:t>22</w:t>
      </w:r>
      <w:r w:rsidRPr="007B2CE1">
        <w:rPr>
          <w:rFonts w:cs="Arial"/>
          <w:lang w:val="en-US"/>
        </w:rPr>
        <w:t xml:space="preserve"> in SI_A). The injection standards, which were added just before analysis, indicated matrix effects and/or instrument drift in positive electro-spray ionization (ESI) and </w:t>
      </w:r>
      <w:r w:rsidR="007B2CE1" w:rsidRPr="266F0345">
        <w:rPr>
          <w:rFonts w:cs="Arial"/>
          <w:lang w:val="en-US"/>
        </w:rPr>
        <w:lastRenderedPageBreak/>
        <w:t>no similar effects in negative ESI (results for BP-d10 and FOSA-</w:t>
      </w:r>
      <w:r w:rsidR="007B2CE1" w:rsidRPr="266F0345">
        <w:rPr>
          <w:rFonts w:cs="Arial"/>
          <w:vertAlign w:val="superscript"/>
          <w:lang w:val="en-US"/>
        </w:rPr>
        <w:t>13</w:t>
      </w:r>
      <w:r w:rsidR="007B2CE1" w:rsidRPr="266F0345">
        <w:rPr>
          <w:rFonts w:cs="Arial"/>
          <w:lang w:val="en-US"/>
        </w:rPr>
        <w:t>C</w:t>
      </w:r>
      <w:r w:rsidR="007B2CE1" w:rsidRPr="266F0345">
        <w:rPr>
          <w:rFonts w:cs="Arial"/>
          <w:vertAlign w:val="subscript"/>
          <w:lang w:val="en-US"/>
        </w:rPr>
        <w:t>8</w:t>
      </w:r>
      <w:r w:rsidR="007B2CE1" w:rsidRPr="266F0345">
        <w:rPr>
          <w:rFonts w:cs="Arial"/>
          <w:lang w:val="en-US"/>
        </w:rPr>
        <w:t xml:space="preserve">, respectively). They further indicated unreliable results for the UV-treated samples of PET_2 and PVC_1. In the blank samples, the results of the internal standards generally matched the results of the other samples of the same batch, which indicated </w:t>
      </w:r>
      <w:r w:rsidR="007B2CE1" w:rsidRPr="00691DB7">
        <w:rPr>
          <w:rFonts w:cs="Arial"/>
          <w:lang w:val="en-US"/>
        </w:rPr>
        <w:t xml:space="preserve">loss </w:t>
      </w:r>
      <w:r w:rsidR="007B2CE1" w:rsidRPr="00691DB7">
        <w:t>and/or matrix effects induced by the SPE procedure</w:t>
      </w:r>
      <w:r w:rsidR="007B2CE1" w:rsidRPr="00691DB7">
        <w:rPr>
          <w:rFonts w:cs="Arial"/>
          <w:lang w:val="en-US"/>
        </w:rPr>
        <w:t xml:space="preserve">. Any possible signal enhancement by the plastic leachate matrix was apparently outweighed, since signal intensities across all samples were reduced about equally. </w:t>
      </w:r>
      <w:r w:rsidRPr="00691DB7">
        <w:rPr>
          <w:rFonts w:cs="Arial"/>
          <w:lang w:val="en-US"/>
        </w:rPr>
        <w:t>The</w:t>
      </w:r>
      <w:r w:rsidRPr="007B2CE1">
        <w:rPr>
          <w:rFonts w:cs="Arial"/>
          <w:lang w:val="en-US"/>
        </w:rPr>
        <w:t xml:space="preserve"> results within the respective batches generally matched, so comparison between e.g. DC and UV-exposed samples of the same consumer product seemed appropriate. Some differences were observed between the different sample batches, with generally lower signal intensities in the first batch, followed by the second batch and then the third batch. This could be due to differences in sample storage or extraction, or instrument drift. These losses resulted in four of the 12 spiked internal standards not detected in most of the samples, which made quantification challenging. This was especially true for negative ESI, where all three internal standards were lost. It was, therefore, decided to only calculate absolute concentrations. To reduce risk of false positive reporting, concentrations were only reported when they exceeded the respective blank’s concentration by at least factor 10. </w:t>
      </w:r>
    </w:p>
    <w:p w14:paraId="7695C238" w14:textId="77777777" w:rsidR="006B116C" w:rsidRPr="007B2CE1" w:rsidRDefault="006B116C" w:rsidP="006B116C">
      <w:pPr>
        <w:spacing w:after="0" w:line="480" w:lineRule="auto"/>
        <w:jc w:val="both"/>
        <w:rPr>
          <w:rFonts w:cs="Arial"/>
          <w:noProof/>
          <w:lang w:val="en-US"/>
        </w:rPr>
      </w:pPr>
      <w:r w:rsidRPr="007B2CE1">
        <w:rPr>
          <w:rFonts w:cs="Arial"/>
          <w:lang w:val="en-US"/>
        </w:rPr>
        <w:t>In conclusion, the here reported results of the targeted analytes provide conservative estimates likely underestimating the true concentrations. Comparison of the DC and UV-exposed samples of a given consumer product appeared appropriate. The results were, thus, discussed accordingly.</w:t>
      </w:r>
    </w:p>
    <w:p w14:paraId="10A1A97F" w14:textId="449C18B5" w:rsidR="005A5500" w:rsidRPr="007B2CE1" w:rsidRDefault="005A5500" w:rsidP="005A5500">
      <w:pPr>
        <w:pStyle w:val="Heading1"/>
      </w:pPr>
      <w:bookmarkStart w:id="11" w:name="_Toc161066334"/>
      <w:r w:rsidRPr="007B2CE1">
        <w:t>Text S1</w:t>
      </w:r>
      <w:r w:rsidR="006B116C" w:rsidRPr="007B2CE1">
        <w:t>1</w:t>
      </w:r>
      <w:r w:rsidRPr="007B2CE1">
        <w:t xml:space="preserve"> – Results of the targeted analysis for the individual consumer products</w:t>
      </w:r>
      <w:bookmarkEnd w:id="11"/>
    </w:p>
    <w:p w14:paraId="70DBFB28" w14:textId="6F5C3C2A" w:rsidR="005A5500" w:rsidRPr="007B2CE1" w:rsidRDefault="005A5500" w:rsidP="005A5500">
      <w:pPr>
        <w:spacing w:before="240" w:after="0" w:line="480" w:lineRule="auto"/>
        <w:jc w:val="both"/>
        <w:rPr>
          <w:rFonts w:cs="Arial"/>
          <w:lang w:val="en-US"/>
        </w:rPr>
      </w:pPr>
      <w:r w:rsidRPr="007B2CE1">
        <w:rPr>
          <w:rFonts w:cs="Arial"/>
          <w:lang w:val="en-US"/>
        </w:rPr>
        <w:t>Four groups of leaching additives were detected, covering plasticizers (</w:t>
      </w:r>
      <w:r w:rsidRPr="007B2CE1">
        <w:rPr>
          <w:rFonts w:cs="Arial"/>
          <w:i/>
          <w:iCs/>
          <w:lang w:val="en-US"/>
        </w:rPr>
        <w:t>n</w:t>
      </w:r>
      <w:r w:rsidRPr="007B2CE1">
        <w:rPr>
          <w:rFonts w:cs="Arial"/>
          <w:lang w:val="en-US"/>
        </w:rPr>
        <w:t>=2), antioxidants (</w:t>
      </w:r>
      <w:r w:rsidRPr="007B2CE1">
        <w:rPr>
          <w:rFonts w:cs="Arial"/>
          <w:i/>
          <w:iCs/>
          <w:lang w:val="en-US"/>
        </w:rPr>
        <w:t>n</w:t>
      </w:r>
      <w:r w:rsidRPr="007B2CE1">
        <w:rPr>
          <w:rFonts w:cs="Arial"/>
          <w:lang w:val="en-US"/>
        </w:rPr>
        <w:t>=3), flame retardants (</w:t>
      </w:r>
      <w:r w:rsidRPr="007B2CE1">
        <w:rPr>
          <w:rFonts w:cs="Arial"/>
          <w:i/>
          <w:iCs/>
          <w:lang w:val="en-US"/>
        </w:rPr>
        <w:t>n</w:t>
      </w:r>
      <w:r w:rsidRPr="007B2CE1">
        <w:rPr>
          <w:rFonts w:cs="Arial"/>
          <w:lang w:val="en-US"/>
        </w:rPr>
        <w:t>=7) and UV stabilizers (</w:t>
      </w:r>
      <w:r w:rsidRPr="007B2CE1">
        <w:rPr>
          <w:rFonts w:cs="Arial"/>
          <w:i/>
          <w:iCs/>
          <w:lang w:val="en-US"/>
        </w:rPr>
        <w:t>n</w:t>
      </w:r>
      <w:r w:rsidRPr="007B2CE1">
        <w:rPr>
          <w:rFonts w:cs="Arial"/>
          <w:lang w:val="en-US"/>
        </w:rPr>
        <w:t xml:space="preserve">=3). PE_1, a transparent greenhouse cover foil with advertised UV-stability, was found to leach the antioxidant </w:t>
      </w:r>
      <w:proofErr w:type="spellStart"/>
      <w:r w:rsidRPr="007B2CE1">
        <w:rPr>
          <w:rFonts w:cs="Arial"/>
          <w:lang w:val="en-US"/>
        </w:rPr>
        <w:t>Cyanox</w:t>
      </w:r>
      <w:proofErr w:type="spellEnd"/>
      <w:r w:rsidRPr="007B2CE1">
        <w:rPr>
          <w:rFonts w:cs="Arial"/>
          <w:lang w:val="en-US"/>
        </w:rPr>
        <w:t xml:space="preserve"> 2246 and traces of the flame retardant trimethyl phosphate (TMP), but no targeted UV stabilizers were detected. PE_2, a protective cover for balcony furniture supposed to be weatherproof, leached the flame retardants </w:t>
      </w:r>
      <w:proofErr w:type="spellStart"/>
      <w:r w:rsidRPr="007B2CE1">
        <w:rPr>
          <w:rFonts w:cs="Arial"/>
          <w:lang w:val="en-US"/>
        </w:rPr>
        <w:t>diphenylphosphate</w:t>
      </w:r>
      <w:proofErr w:type="spellEnd"/>
      <w:r w:rsidRPr="007B2CE1">
        <w:rPr>
          <w:rFonts w:cs="Arial"/>
          <w:lang w:val="en-US"/>
        </w:rPr>
        <w:t xml:space="preserve"> (</w:t>
      </w:r>
      <w:proofErr w:type="spellStart"/>
      <w:r w:rsidRPr="007B2CE1">
        <w:rPr>
          <w:rFonts w:cs="Arial"/>
          <w:lang w:val="en-US"/>
        </w:rPr>
        <w:t>DPhP</w:t>
      </w:r>
      <w:proofErr w:type="spellEnd"/>
      <w:r w:rsidRPr="007B2CE1">
        <w:rPr>
          <w:rFonts w:cs="Arial"/>
          <w:lang w:val="en-US"/>
        </w:rPr>
        <w:t xml:space="preserve">) and </w:t>
      </w:r>
      <w:proofErr w:type="spellStart"/>
      <w:r w:rsidRPr="007B2CE1">
        <w:rPr>
          <w:rFonts w:cs="Arial"/>
          <w:lang w:val="en-US"/>
        </w:rPr>
        <w:t>tertrabromobisphenol</w:t>
      </w:r>
      <w:proofErr w:type="spellEnd"/>
      <w:r w:rsidRPr="007B2CE1">
        <w:rPr>
          <w:rFonts w:cs="Arial"/>
          <w:lang w:val="en-US"/>
        </w:rPr>
        <w:t xml:space="preserve">-A (TBBPA) and the antioxidant </w:t>
      </w:r>
      <w:proofErr w:type="spellStart"/>
      <w:r w:rsidRPr="007B2CE1">
        <w:rPr>
          <w:rFonts w:cs="Arial"/>
          <w:lang w:val="en-US"/>
        </w:rPr>
        <w:t>Irganox</w:t>
      </w:r>
      <w:proofErr w:type="spellEnd"/>
      <w:r w:rsidRPr="007B2CE1">
        <w:rPr>
          <w:rFonts w:cs="Arial"/>
          <w:lang w:val="en-US"/>
        </w:rPr>
        <w:t xml:space="preserve"> 1010. PE_3, a jerrycan </w:t>
      </w:r>
      <w:r w:rsidRPr="007B2CE1">
        <w:rPr>
          <w:rFonts w:cs="Arial"/>
          <w:lang w:val="en-US"/>
        </w:rPr>
        <w:lastRenderedPageBreak/>
        <w:t xml:space="preserve">advertised as durable and UV-protected, released the flame retardants </w:t>
      </w:r>
      <w:r w:rsidR="613245B9" w:rsidRPr="007B2CE1">
        <w:rPr>
          <w:rFonts w:cs="Arial"/>
          <w:lang w:val="en-US"/>
        </w:rPr>
        <w:t>t</w:t>
      </w:r>
      <w:r w:rsidRPr="007B2CE1">
        <w:rPr>
          <w:rFonts w:cs="Arial"/>
          <w:lang w:val="en-US"/>
        </w:rPr>
        <w:t>ri(</w:t>
      </w:r>
      <w:proofErr w:type="spellStart"/>
      <w:r w:rsidRPr="007B2CE1">
        <w:rPr>
          <w:rFonts w:cs="Arial"/>
          <w:lang w:val="en-US"/>
        </w:rPr>
        <w:t>butoxyethyl</w:t>
      </w:r>
      <w:proofErr w:type="spellEnd"/>
      <w:r w:rsidRPr="007B2CE1">
        <w:rPr>
          <w:rFonts w:cs="Arial"/>
          <w:lang w:val="en-US"/>
        </w:rPr>
        <w:t xml:space="preserve">)phosphate (TBEP) and TMP and the antioxidant </w:t>
      </w:r>
      <w:proofErr w:type="spellStart"/>
      <w:r w:rsidRPr="007B2CE1">
        <w:rPr>
          <w:rFonts w:cs="Arial"/>
          <w:lang w:val="en-US"/>
        </w:rPr>
        <w:t>Irgafos</w:t>
      </w:r>
      <w:proofErr w:type="spellEnd"/>
      <w:r w:rsidRPr="007B2CE1">
        <w:rPr>
          <w:rFonts w:cs="Arial"/>
          <w:lang w:val="en-US"/>
        </w:rPr>
        <w:t xml:space="preserve"> 126, however no targeted UV stabilizers were found. No leached additives were detected for PE_4, an agricultural foil. PET_1, a D-sub-case plug housing, leached the most diverse additives with five flame retardants (</w:t>
      </w:r>
      <w:proofErr w:type="spellStart"/>
      <w:r w:rsidRPr="007B2CE1">
        <w:rPr>
          <w:rFonts w:cs="Arial"/>
          <w:lang w:val="en-US"/>
        </w:rPr>
        <w:t>DPhP</w:t>
      </w:r>
      <w:proofErr w:type="spellEnd"/>
      <w:r w:rsidRPr="007B2CE1">
        <w:rPr>
          <w:rFonts w:cs="Arial"/>
          <w:lang w:val="en-US"/>
        </w:rPr>
        <w:t>, tris-(2-chloroethyl) phosphate (TCEP), triphenyl phosphate (</w:t>
      </w:r>
      <w:proofErr w:type="spellStart"/>
      <w:r w:rsidRPr="007B2CE1">
        <w:rPr>
          <w:rFonts w:cs="Arial"/>
          <w:lang w:val="en-US"/>
        </w:rPr>
        <w:t>TPhP</w:t>
      </w:r>
      <w:proofErr w:type="spellEnd"/>
      <w:r w:rsidRPr="007B2CE1">
        <w:rPr>
          <w:rFonts w:cs="Arial"/>
          <w:lang w:val="en-US"/>
        </w:rPr>
        <w:t>), bis(2-</w:t>
      </w:r>
      <w:proofErr w:type="gramStart"/>
      <w:r w:rsidRPr="007B2CE1">
        <w:rPr>
          <w:rFonts w:cs="Arial"/>
          <w:lang w:val="en-US"/>
        </w:rPr>
        <w:t>ethylhexyl)phosphate</w:t>
      </w:r>
      <w:proofErr w:type="gramEnd"/>
      <w:r w:rsidRPr="007B2CE1">
        <w:rPr>
          <w:rFonts w:cs="Arial"/>
          <w:lang w:val="en-US"/>
        </w:rPr>
        <w:t xml:space="preserve"> (HDEHP), TBBPA) and three UV stabilizers (</w:t>
      </w:r>
      <w:proofErr w:type="spellStart"/>
      <w:r w:rsidRPr="007B2CE1">
        <w:rPr>
          <w:rFonts w:cs="Arial"/>
          <w:lang w:val="en-US"/>
        </w:rPr>
        <w:t>Tinuvin</w:t>
      </w:r>
      <w:proofErr w:type="spellEnd"/>
      <w:r w:rsidRPr="007B2CE1">
        <w:rPr>
          <w:rFonts w:cs="Arial"/>
          <w:lang w:val="en-US"/>
        </w:rPr>
        <w:t xml:space="preserve"> 327, </w:t>
      </w:r>
      <w:proofErr w:type="spellStart"/>
      <w:r w:rsidRPr="007B2CE1">
        <w:rPr>
          <w:rFonts w:cs="Arial"/>
          <w:lang w:val="en-US"/>
        </w:rPr>
        <w:t>Tinuvin</w:t>
      </w:r>
      <w:proofErr w:type="spellEnd"/>
      <w:r w:rsidRPr="007B2CE1">
        <w:rPr>
          <w:rFonts w:cs="Arial"/>
          <w:lang w:val="en-US"/>
        </w:rPr>
        <w:t xml:space="preserve"> 329 and </w:t>
      </w:r>
      <w:proofErr w:type="spellStart"/>
      <w:r w:rsidRPr="007B2CE1">
        <w:rPr>
          <w:rFonts w:cs="Arial"/>
          <w:lang w:val="en-US"/>
        </w:rPr>
        <w:t>Tinuvin</w:t>
      </w:r>
      <w:proofErr w:type="spellEnd"/>
      <w:r w:rsidRPr="007B2CE1">
        <w:rPr>
          <w:rFonts w:cs="Arial"/>
          <w:lang w:val="en-US"/>
        </w:rPr>
        <w:t xml:space="preserve"> P) detected. PET_2, a thick case for various applications advertised as stable against chemicals, was found to leach the flame retardant HDEHP. PVC_1, a cable tube that was sold as self-extinguishing and as “pollutant free (phthalate 0.1%)”, released the plasticizer diisononylcyclohexane-1,2-dicarboxylate (DINCH) and the flame retardant TCEP. DINCH is a non-phthalate replacement plasticizer that was introduced globally in 2002 and has since been found at increasing rates together with its metabolites in e.g. human urine samples </w:t>
      </w:r>
      <w:r w:rsidRPr="007B2CE1">
        <w:rPr>
          <w:rFonts w:cs="Arial"/>
          <w:lang w:val="en-US"/>
        </w:rPr>
        <w:fldChar w:fldCharType="begin"/>
      </w:r>
      <w:r w:rsidRPr="007B2CE1">
        <w:rPr>
          <w:rFonts w:cs="Arial"/>
          <w:lang w:val="en-US"/>
        </w:rPr>
        <w:instrText xml:space="preserve"> ADDIN ZOTERO_ITEM CSL_CITATION {"citationID":"dGCsCpqH","properties":{"formattedCitation":"[87,88]","plainCitation":"[87,88]","noteIndex":0},"citationItems":[{"id":5252,"uris":["http://zotero.org/users/3621315/items/XC74H8FG"],"itemData":{"id":5252,"type":"article-journal","container-title":"International Journal of Hygiene and Environmental Health","DOI":"10.1016/j.ijheh.2013.08.004","ISSN":"14384639","issue":"2-3","journalAbbreviation":"International Journal of Hygiene and Environmental Health","language":"en","page":"421-426","source":"DOI.org (Crossref)","title":"Entering markets and bodies: Increasing levels of the novel plasticizer Hexamoll® DINCH® in 24h urine samples from the German Environmental Specimen Bank","title-short":"Entering markets and bodies","volume":"217","author":[{"family":"Schütze","given":"André"},{"family":"Kolossa-Gehring","given":"Marike"},{"family":"Apel","given":"Petra"},{"family":"Brüning","given":"Thomas"},{"family":"Koch","given":"Holger M."}],"issued":{"date-parts":[["2014",3]]},"citation-key":"Schutze2014EnteringMarketsBodies"}},{"id":5412,"uris":["http://zotero.org/users/3621315/items/7M45JDM7"],"itemData":{"id":5412,"type":"article-journal","abstract":"Dialkyl phthalate esters (phthalates) are ubiquitous chemicals used extensively as plasticizers, solvents and adhesives in a range of industrial and consumer products. 1,2-Cyclohexane dicarboxylic acid, diisononyl ester (DINCH) is a phthalate alternative introduced due to a more favourable toxicological profile, but exposure is largely uncharacterised. The aim of this study was to provide the first assessment of exposure to phthalates and DINCH in the general Australian population. De-identified urine specimens stratified by age and sex were obtained from a community-based pathology laboratory and pooled (n=24 pools of 100). Concentrations of free and total species were measured using online solid phase extraction isotope dilution high performance liquid chromatography tandem mass spectrometry. Concentrations ranged from 2.4 to 71.9ng/mL for metabolites of di(2-ethylhexyl)phthalate, and from &lt;0.5 to 775ng/mL for all other metabolites. Our data suggest that phthalate metabolites concentrations in Australia were at least two times higher than in the United States and Germany; and may be related to legislative differences among countries. DINCH metabolite concentrations were comparatively low and consistent with the limited data available. Ongoing biomonitoring among the general Australian population may help assess temporal trends in exposure and assess the effectiveness of actions aimed at reducing exposures.","container-title":"Environment International","DOI":"10.1016/j.envint.2015.12.016","ISSN":"0160-4120","journalAbbreviation":"Environment International","page":"179-186","source":"ScienceDirect","title":"Concentrations of phthalates and DINCH metabolites in pooled urine from Queensland, Australia","volume":"88","author":[{"family":"Gomez Ramos","given":"M. J."},{"family":"Heffernan","given":"A. L."},{"family":"Toms","given":"L. M. L."},{"family":"Calafat","given":"A. M."},{"family":"Ye","given":"X."},{"family":"Hobson","given":"P."},{"family":"Broomhall","given":"S."},{"family":"Mueller","given":"J. F."}],"issued":{"date-parts":[["2016",3,1]]},"citation-key":"GomezRamos2016ConcentrationsPhthalatesDINCH"}}],"schema":"https://github.com/citation-style-language/schema/raw/master/csl-citation.json"} </w:instrText>
      </w:r>
      <w:r w:rsidRPr="007B2CE1">
        <w:rPr>
          <w:rFonts w:cs="Arial"/>
          <w:lang w:val="en-US"/>
        </w:rPr>
        <w:fldChar w:fldCharType="separate"/>
      </w:r>
      <w:r w:rsidRPr="007B2CE1">
        <w:rPr>
          <w:rFonts w:ascii="Arial" w:hAnsi="Arial" w:cs="Arial"/>
        </w:rPr>
        <w:t>[87,88]</w:t>
      </w:r>
      <w:r w:rsidRPr="007B2CE1">
        <w:rPr>
          <w:rFonts w:cs="Arial"/>
          <w:lang w:val="en-US"/>
        </w:rPr>
        <w:fldChar w:fldCharType="end"/>
      </w:r>
      <w:r w:rsidRPr="007B2CE1">
        <w:rPr>
          <w:rFonts w:cs="Arial"/>
          <w:lang w:val="en-US"/>
        </w:rPr>
        <w:t xml:space="preserve">. PVC_2, a transparent tubing for transporting liquids, leached the plasticizer diisononyl phthalate (DINP). Leaching additives detected at high concentration levels far exceeding the calibration curve were the two plasticizers DINP and DINCH and the flame retardants TBBPA (PET_1) and </w:t>
      </w:r>
      <w:proofErr w:type="spellStart"/>
      <w:r w:rsidRPr="007B2CE1">
        <w:rPr>
          <w:rFonts w:cs="Arial"/>
          <w:lang w:val="en-US"/>
        </w:rPr>
        <w:t>DPhP</w:t>
      </w:r>
      <w:proofErr w:type="spellEnd"/>
      <w:r w:rsidRPr="007B2CE1">
        <w:rPr>
          <w:rFonts w:cs="Arial"/>
          <w:lang w:val="en-US"/>
        </w:rPr>
        <w:t xml:space="preserve"> (PET_1). Plasticizers are typically added to PVC products in high quantities </w:t>
      </w:r>
      <w:r w:rsidRPr="007B2CE1">
        <w:rPr>
          <w:rFonts w:cs="Arial"/>
          <w:lang w:val="en-US"/>
        </w:rPr>
        <w:fldChar w:fldCharType="begin"/>
      </w:r>
      <w:r w:rsidRPr="007B2CE1">
        <w:rPr>
          <w:rFonts w:cs="Arial"/>
          <w:lang w:val="en-US"/>
        </w:rPr>
        <w:instrText xml:space="preserve"> ADDIN ZOTERO_ITEM CSL_CITATION {"citationID":"oEL8Ug7x","properties":{"formattedCitation":"[83]","plainCitation":"[83]","noteIndex":0},"citationItems":[{"id":5179,"uris":["http://zotero.org/users/3621315/items/ACFXARNF"],"itemData":{"id":5179,"type":"webpage","container-title":"European Chemicals Agency (ECHA)","language":"en-GB","title":"Mapping exercise – Plastic additives initiative - ECHA","URL":"https://echa.europa.eu/mapping-exercise-plastic-additives-initiative","accessed":{"date-parts":[["2023",10,5]]},"issued":{"date-parts":[["2018"]]},"citation-key":"2018MappingExercisePlastic"}}],"schema":"https://github.com/citation-style-language/schema/raw/master/csl-citation.json"} </w:instrText>
      </w:r>
      <w:r w:rsidRPr="007B2CE1">
        <w:rPr>
          <w:rFonts w:cs="Arial"/>
          <w:lang w:val="en-US"/>
        </w:rPr>
        <w:fldChar w:fldCharType="separate"/>
      </w:r>
      <w:r w:rsidRPr="007B2CE1">
        <w:rPr>
          <w:rFonts w:ascii="Arial" w:hAnsi="Arial" w:cs="Arial"/>
        </w:rPr>
        <w:t>[83]</w:t>
      </w:r>
      <w:r w:rsidRPr="007B2CE1">
        <w:rPr>
          <w:rFonts w:cs="Arial"/>
          <w:lang w:val="en-US"/>
        </w:rPr>
        <w:fldChar w:fldCharType="end"/>
      </w:r>
      <w:r w:rsidRPr="007B2CE1">
        <w:rPr>
          <w:rFonts w:cs="Arial"/>
          <w:lang w:val="en-US"/>
        </w:rPr>
        <w:t xml:space="preserve">, so these results indicating high release potential of plasticizers from PVC products seem reasonable. Similarly, considerable leaching of flame retardants has been observed before </w:t>
      </w:r>
      <w:r w:rsidRPr="007B2CE1">
        <w:rPr>
          <w:rFonts w:cs="Arial"/>
          <w:lang w:val="en-US"/>
        </w:rPr>
        <w:fldChar w:fldCharType="begin"/>
      </w:r>
      <w:r w:rsidRPr="007B2CE1">
        <w:rPr>
          <w:rFonts w:cs="Arial"/>
          <w:lang w:val="en-US"/>
        </w:rPr>
        <w:instrText xml:space="preserve"> ADDIN ZOTERO_ITEM CSL_CITATION {"citationID":"wERSfZvW","properties":{"formattedCitation":"[85,89]","plainCitation":"[85,89]","noteIndex":0},"citationItems":[{"id":5235,"uris":["http://zotero.org/users/3621315/items/X27VDKP7"],"itemData":{"id":5235,"type":"article-journal","abstract":"The exposure to plastic debris and associated pollutants for wildlife is of urgent concern, but little attention has been paid on the transfer of plastic additives from plastic debris to organisms. In the present study, the leaching of incorporated flame retardants (FRs), including polybrominated diphenyl ethers (PBDEs), alternative brominated FRs (AFRs), and phosphate flame retardants (PFRs), from different sizes of recycled acrylonitrile-butadiene-styrene (ABS) polymer were investigated in avian digestive fluids. The impact of co-ingested sediment on the leaching of additive-derived FRs in digestive fluids was also explored. In the recycled ABS, BDE 209 (715 μg/g) and 1, 2-bis(2,4,6-tribromophenoxy) ethane (BTBPE, 1766 μg/g) had the highest concentrations among all target FRs. The leaching proportions of FRs were higher in finer sizes of ABS. The leaching proportions of FRs from recycled ABS increased with elevated logKOW of FRs. In the tests with coexisted ABS and sediment, hexa- to deca-BDEs, BTBPE, and decabromodiphenyl ethane (DBDPE) migrated from ABS to sediment, which resulted in the less bioaccessible fractions of these FRs in gut fluids. More lipophilic chemicals tended to be adsorbed by sediment from ABS. The results suggest the migration of additive-derived FRs from plastics to other indigestible materials in digestive fluids. The findings in this study provide insights into the transfer of additive-derived FRs from plastics to birds, and indicate the significant contribution of FR-incorporated plastics to bioaccumulation of highly lipophilic FRs.","collection-title":"SI: Recent advances in Environmental Sciences","container-title":"Journal of Environmental Sciences","DOI":"10.1016/j.jes.2019.06.013","ISSN":"1001-0742","journalAbbreviation":"Journal of Environmental Sciences","page":"200-207","source":"ScienceDirect","title":"The leaching of additive-derived flame retardants (FRs) from plastics in avian digestive fluids: The significant risk of highly lipophilic FRs","title-short":"The leaching of additive-derived flame retardants (FRs) from plastics in avian digestive fluids","volume":"85","author":[{"family":"Guo","given":"Huiying"},{"family":"Zheng","given":"Xiaobo"},{"family":"Ru","given":"Shuling"},{"family":"Luo","given":"Xiaojun"},{"family":"Mai","given":"Bixian"}],"issued":{"date-parts":[["2019",11,1]]},"citation-key":"Guo2019LeachingAdditivederivedFlame"}},{"id":3937,"uris":["http://zotero.org/users/3621315/items/JIC2HTVA"],"itemData":{"id":3937,"type":"article-journal","abstract":"A high proportion of the total microplastic (MP) load in the marine environment has been identiﬁed as microﬁbers (MFs), with polyester (PET) and polyamide (PA) typically found in the highest abundance. The potential for negative environmental impacts from MPs may be dependent on their degree of degradation in the environment, which is inﬂuenced by both intrinsic properties (polymer type, density, size, additive chemicals) and extrinsic environmental parameters. Most polymer products break down slowly through a combination of environmental processes, but UV degradation can be a signiﬁcant source of degradation. The current study aimed to investigate the effect of UV irradiance on the degradation of natural (wool) and synthetic (PET and PA) MFs. Degradation of MFs was conducted in seawater under environmentally relevant accelerated exposure conditions using simulated sunlight. After 56 days of UV exposure, PA primarily exhibited changes in surface morphology with no signiﬁcant fragmentation observed. PET and wool ﬁbers exhibited both changes in surface morphology and fragmentation into smaller particles. A range of molecular degradation products were identiﬁed in seawater leachates after UV exposure, with increasing abundance over the duration of the experiment. Furthermore, a variety of additive chemicals were shown to leach from the MFs into seawater. While some of these chemicals were also susceptible to UV degradation and some are expected to biodegrade rapidly, others may be persistent and contribute to the overall load of chemical pollution in the marine environment.","container-title":"Science of The Total Environment","DOI":"10.1016/j.scitotenv.2020.143170","ISSN":"00489697","journalAbbreviation":"Science of The Total Environment","language":"en","page":"143170","source":"DOI.org (Crossref)","title":"UV degradation of natural and synthetic microfibers causes fragmentation and release of polymer degradation products and chemical additives","volume":"755","author":[{"family":"Sørensen","given":"Lisbet"},{"family":"Groven","given":"Anette Synnøve"},{"family":"Hovsbakken","given":"Ingrid Alver"},{"family":"Del Puerto","given":"Oihane"},{"family":"Krause","given":"Daniel F."},{"family":"Sarno","given":"Antonio"},{"family":"Booth","given":"Andy M."}],"issued":{"date-parts":[["2021",2]]},"citation-key":"Sorensen2021UVDegradationNatural"}}],"schema":"https://github.com/citation-style-language/schema/raw/master/csl-citation.json"} </w:instrText>
      </w:r>
      <w:r w:rsidRPr="007B2CE1">
        <w:rPr>
          <w:rFonts w:cs="Arial"/>
          <w:lang w:val="en-US"/>
        </w:rPr>
        <w:fldChar w:fldCharType="separate"/>
      </w:r>
      <w:r w:rsidRPr="007B2CE1">
        <w:rPr>
          <w:rFonts w:ascii="Arial" w:hAnsi="Arial" w:cs="Arial"/>
        </w:rPr>
        <w:t>[85,89]</w:t>
      </w:r>
      <w:r w:rsidRPr="007B2CE1">
        <w:rPr>
          <w:rFonts w:cs="Arial"/>
          <w:lang w:val="en-US"/>
        </w:rPr>
        <w:fldChar w:fldCharType="end"/>
      </w:r>
      <w:r w:rsidRPr="007B2CE1">
        <w:rPr>
          <w:rFonts w:cs="Arial"/>
          <w:lang w:val="en-US"/>
        </w:rPr>
        <w:t>.</w:t>
      </w:r>
    </w:p>
    <w:p w14:paraId="490296C6" w14:textId="77777777" w:rsidR="00B0166F" w:rsidRPr="007B2CE1" w:rsidRDefault="00B0166F">
      <w:pPr>
        <w:rPr>
          <w:rFonts w:asciiTheme="majorHAnsi" w:eastAsiaTheme="majorEastAsia" w:hAnsiTheme="majorHAnsi" w:cstheme="majorBidi"/>
          <w:color w:val="2F5496" w:themeColor="accent1" w:themeShade="BF"/>
          <w:sz w:val="32"/>
          <w:szCs w:val="32"/>
        </w:rPr>
      </w:pPr>
      <w:bookmarkStart w:id="12" w:name="_Toc161066335"/>
      <w:r w:rsidRPr="007B2CE1">
        <w:br w:type="page"/>
      </w:r>
    </w:p>
    <w:p w14:paraId="08533065" w14:textId="5B117D59" w:rsidR="00D03CCE" w:rsidRPr="007B2CE1" w:rsidRDefault="00F94329" w:rsidP="00F94329">
      <w:pPr>
        <w:pStyle w:val="Heading1"/>
      </w:pPr>
      <w:r w:rsidRPr="007B2CE1">
        <w:lastRenderedPageBreak/>
        <w:t>Figures</w:t>
      </w:r>
      <w:bookmarkEnd w:id="12"/>
    </w:p>
    <w:p w14:paraId="5FF64158" w14:textId="77777777" w:rsidR="00B24289" w:rsidRPr="007B2CE1" w:rsidRDefault="00B24289" w:rsidP="00B24289">
      <w:pPr>
        <w:pStyle w:val="Caption"/>
        <w:keepNext/>
        <w:jc w:val="both"/>
        <w:rPr>
          <w:rFonts w:ascii="Arial" w:hAnsi="Arial" w:cs="Arial"/>
        </w:rPr>
      </w:pPr>
      <w:r w:rsidRPr="007B2CE1">
        <w:rPr>
          <w:rFonts w:ascii="Arial" w:hAnsi="Arial" w:cs="Arial"/>
          <w:noProof/>
        </w:rPr>
        <w:drawing>
          <wp:inline distT="0" distB="0" distL="0" distR="0" wp14:anchorId="2416F956" wp14:editId="39006569">
            <wp:extent cx="5731510" cy="1489075"/>
            <wp:effectExtent l="0" t="0" r="2540" b="0"/>
            <wp:docPr id="880262474" name="Grafik 1" descr="Ein Bild, das Grafiken, Cartoon,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262474" name="Grafik 1" descr="Ein Bild, das Grafiken, Cartoon, Kunst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1489075"/>
                    </a:xfrm>
                    <a:prstGeom prst="rect">
                      <a:avLst/>
                    </a:prstGeom>
                  </pic:spPr>
                </pic:pic>
              </a:graphicData>
            </a:graphic>
          </wp:inline>
        </w:drawing>
      </w:r>
    </w:p>
    <w:p w14:paraId="71D3D2AD" w14:textId="5CE46B3C" w:rsidR="00B24289" w:rsidRPr="007B2CE1" w:rsidRDefault="00B24289" w:rsidP="00B24289">
      <w:pPr>
        <w:pStyle w:val="Caption"/>
        <w:jc w:val="both"/>
        <w:rPr>
          <w:rFonts w:ascii="Arial" w:hAnsi="Arial" w:cs="Arial"/>
        </w:rPr>
      </w:pPr>
      <w:bookmarkStart w:id="13" w:name="_Toc161783282"/>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1424B6" w:rsidRPr="007B2CE1">
        <w:rPr>
          <w:rFonts w:ascii="Arial" w:hAnsi="Arial" w:cs="Arial"/>
          <w:noProof/>
        </w:rPr>
        <w:t>1</w:t>
      </w:r>
      <w:r w:rsidRPr="007B2CE1">
        <w:rPr>
          <w:rFonts w:ascii="Arial" w:hAnsi="Arial" w:cs="Arial"/>
        </w:rPr>
        <w:fldChar w:fldCharType="end"/>
      </w:r>
      <w:r w:rsidRPr="007B2CE1">
        <w:rPr>
          <w:rFonts w:ascii="Arial" w:hAnsi="Arial" w:cs="Arial"/>
        </w:rPr>
        <w:t xml:space="preserve"> </w:t>
      </w:r>
      <w:r w:rsidR="008F355F" w:rsidRPr="007B2CE1">
        <w:rPr>
          <w:rFonts w:ascii="Arial" w:hAnsi="Arial" w:cs="Arial"/>
        </w:rPr>
        <w:t>S</w:t>
      </w:r>
      <w:r w:rsidRPr="007B2CE1">
        <w:rPr>
          <w:rFonts w:ascii="Arial" w:hAnsi="Arial" w:cs="Arial"/>
        </w:rPr>
        <w:t xml:space="preserve">chematic </w:t>
      </w:r>
      <w:r w:rsidR="0028204B" w:rsidRPr="007B2CE1">
        <w:rPr>
          <w:rFonts w:ascii="Arial" w:hAnsi="Arial" w:cs="Arial"/>
        </w:rPr>
        <w:t>illustration</w:t>
      </w:r>
      <w:r w:rsidRPr="007B2CE1">
        <w:rPr>
          <w:rFonts w:ascii="Arial" w:hAnsi="Arial" w:cs="Arial"/>
        </w:rPr>
        <w:t xml:space="preserve"> of </w:t>
      </w:r>
      <w:r w:rsidR="0008310F" w:rsidRPr="007B2CE1">
        <w:rPr>
          <w:rFonts w:ascii="Arial" w:hAnsi="Arial" w:cs="Arial"/>
        </w:rPr>
        <w:t xml:space="preserve">the </w:t>
      </w:r>
      <w:r w:rsidRPr="007B2CE1">
        <w:rPr>
          <w:rFonts w:ascii="Arial" w:hAnsi="Arial" w:cs="Arial"/>
        </w:rPr>
        <w:t>UV-chamber</w:t>
      </w:r>
      <w:r w:rsidR="0008310F" w:rsidRPr="007B2CE1">
        <w:rPr>
          <w:rFonts w:ascii="Arial" w:hAnsi="Arial" w:cs="Arial"/>
        </w:rPr>
        <w:t>.</w:t>
      </w:r>
      <w:bookmarkEnd w:id="13"/>
    </w:p>
    <w:p w14:paraId="3C7CE676" w14:textId="77777777" w:rsidR="00A77984" w:rsidRPr="007B2CE1" w:rsidRDefault="00A77984" w:rsidP="00A77984">
      <w:pPr>
        <w:keepNext/>
        <w:rPr>
          <w:rFonts w:ascii="Arial" w:hAnsi="Arial" w:cs="Arial"/>
        </w:rPr>
      </w:pPr>
      <w:r w:rsidRPr="007B2CE1">
        <w:rPr>
          <w:rFonts w:ascii="Arial" w:hAnsi="Arial" w:cs="Arial"/>
          <w:noProof/>
          <w:lang w:val="de-DE" w:eastAsia="de-DE"/>
        </w:rPr>
        <w:drawing>
          <wp:inline distT="0" distB="0" distL="0" distR="0" wp14:anchorId="4D30D9B3" wp14:editId="22CC676F">
            <wp:extent cx="3948169" cy="6121276"/>
            <wp:effectExtent l="0" t="0" r="0" b="0"/>
            <wp:docPr id="26" name="Grafik 26" descr="aging_sample_ov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ging_sample_overview"/>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57013" cy="6134988"/>
                    </a:xfrm>
                    <a:prstGeom prst="rect">
                      <a:avLst/>
                    </a:prstGeom>
                    <a:noFill/>
                    <a:ln>
                      <a:noFill/>
                    </a:ln>
                  </pic:spPr>
                </pic:pic>
              </a:graphicData>
            </a:graphic>
          </wp:inline>
        </w:drawing>
      </w:r>
    </w:p>
    <w:p w14:paraId="1EA2234C" w14:textId="59CE5E7B" w:rsidR="00A77984" w:rsidRPr="007B2CE1" w:rsidRDefault="00A77984" w:rsidP="00A77984">
      <w:pPr>
        <w:pStyle w:val="Caption"/>
        <w:rPr>
          <w:rFonts w:ascii="Arial" w:hAnsi="Arial" w:cs="Arial"/>
        </w:rPr>
      </w:pPr>
      <w:bookmarkStart w:id="14" w:name="_Toc161783283"/>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2</w:t>
      </w:r>
      <w:r w:rsidRPr="007B2CE1">
        <w:rPr>
          <w:rFonts w:ascii="Arial" w:hAnsi="Arial" w:cs="Arial"/>
          <w:noProof/>
        </w:rPr>
        <w:fldChar w:fldCharType="end"/>
      </w:r>
      <w:r w:rsidRPr="007B2CE1">
        <w:rPr>
          <w:rFonts w:ascii="Arial" w:hAnsi="Arial" w:cs="Arial"/>
        </w:rPr>
        <w:t>. Pictures of c</w:t>
      </w:r>
      <w:proofErr w:type="spellStart"/>
      <w:r w:rsidRPr="007B2CE1">
        <w:rPr>
          <w:rFonts w:ascii="Arial" w:hAnsi="Arial" w:cs="Arial"/>
          <w:lang w:val="en-US"/>
        </w:rPr>
        <w:t>onsumer</w:t>
      </w:r>
      <w:proofErr w:type="spellEnd"/>
      <w:r w:rsidRPr="007B2CE1">
        <w:rPr>
          <w:rFonts w:ascii="Arial" w:hAnsi="Arial" w:cs="Arial"/>
          <w:lang w:val="en-US"/>
        </w:rPr>
        <w:t xml:space="preserve"> plastics after aging. Left: DC, right: UV-treated sample. A: PE_1. B: PVC_2. C: PVC_1. D: PE_2. E: PET_2. F: PET_1. G: PE_4. H: Blank. </w:t>
      </w:r>
      <w:r w:rsidRPr="007B2CE1">
        <w:rPr>
          <w:rFonts w:ascii="Arial" w:hAnsi="Arial" w:cs="Arial"/>
        </w:rPr>
        <w:t>I: PE_3</w:t>
      </w:r>
      <w:bookmarkEnd w:id="14"/>
    </w:p>
    <w:p w14:paraId="0037E2AB" w14:textId="77777777" w:rsidR="00A77984" w:rsidRPr="007B2CE1" w:rsidRDefault="00A77984" w:rsidP="00A77984"/>
    <w:p w14:paraId="310FB4DD" w14:textId="77777777" w:rsidR="00F04D67" w:rsidRPr="007B2CE1" w:rsidRDefault="00F04D67" w:rsidP="00F04D67">
      <w:pPr>
        <w:keepNext/>
      </w:pPr>
      <w:r w:rsidRPr="007B2CE1">
        <w:rPr>
          <w:rFonts w:cs="Arial"/>
          <w:b/>
          <w:noProof/>
          <w:sz w:val="32"/>
          <w:lang w:val="en-US"/>
        </w:rPr>
        <w:drawing>
          <wp:inline distT="0" distB="0" distL="0" distR="0" wp14:anchorId="2242BDC5" wp14:editId="32DE63F5">
            <wp:extent cx="3970580" cy="4954138"/>
            <wp:effectExtent l="0" t="0" r="0" b="0"/>
            <wp:docPr id="1936638098" name="Grafik 1936638098" descr="A comparison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638098" name="Grafik 1936638098" descr="A comparison of a graph&#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70894" cy="4954529"/>
                    </a:xfrm>
                    <a:prstGeom prst="rect">
                      <a:avLst/>
                    </a:prstGeom>
                    <a:noFill/>
                  </pic:spPr>
                </pic:pic>
              </a:graphicData>
            </a:graphic>
          </wp:inline>
        </w:drawing>
      </w:r>
    </w:p>
    <w:p w14:paraId="7A5837DF" w14:textId="3BC65A65" w:rsidR="00A77984" w:rsidRPr="007B2CE1" w:rsidRDefault="00F04D67" w:rsidP="00A77984">
      <w:pPr>
        <w:pStyle w:val="Caption"/>
        <w:rPr>
          <w:rFonts w:ascii="Arial" w:hAnsi="Arial" w:cs="Arial"/>
        </w:rPr>
      </w:pPr>
      <w:bookmarkStart w:id="15" w:name="_Toc161783284"/>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A77984" w:rsidRPr="007B2CE1">
        <w:rPr>
          <w:rFonts w:ascii="Arial" w:hAnsi="Arial" w:cs="Arial"/>
          <w:noProof/>
        </w:rPr>
        <w:t>3</w:t>
      </w:r>
      <w:r w:rsidRPr="007B2CE1">
        <w:rPr>
          <w:rFonts w:ascii="Arial" w:hAnsi="Arial" w:cs="Arial"/>
        </w:rPr>
        <w:fldChar w:fldCharType="end"/>
      </w:r>
      <w:r w:rsidRPr="007B2CE1">
        <w:rPr>
          <w:rFonts w:ascii="Arial" w:hAnsi="Arial" w:cs="Arial"/>
        </w:rPr>
        <w:t xml:space="preserve"> Size distribution of SAN and PET microplastics in leachates resulting from UV treatment.</w:t>
      </w:r>
      <w:r w:rsidR="008F355F" w:rsidRPr="007B2CE1">
        <w:rPr>
          <w:rFonts w:ascii="Arial" w:hAnsi="Arial" w:cs="Arial"/>
        </w:rPr>
        <w:t xml:space="preserve"> Non-equidistant size classes can lead to strong curve smoothing.</w:t>
      </w:r>
      <w:bookmarkEnd w:id="15"/>
      <w:r w:rsidR="00A77984" w:rsidRPr="007B2CE1">
        <w:rPr>
          <w:rFonts w:ascii="Arial" w:hAnsi="Arial" w:cs="Arial"/>
        </w:rPr>
        <w:t xml:space="preserve"> </w:t>
      </w:r>
    </w:p>
    <w:p w14:paraId="1101C212" w14:textId="77777777" w:rsidR="00CF1586" w:rsidRPr="007B2CE1" w:rsidRDefault="00CF1586" w:rsidP="00CF1586">
      <w:pPr>
        <w:pStyle w:val="Caption"/>
        <w:keepNext/>
        <w:jc w:val="both"/>
      </w:pPr>
      <w:r w:rsidRPr="007B2CE1">
        <w:rPr>
          <w:noProof/>
        </w:rPr>
        <w:drawing>
          <wp:inline distT="0" distB="0" distL="0" distR="0" wp14:anchorId="1CAEDA64" wp14:editId="7AFCEA1E">
            <wp:extent cx="5693434" cy="2514600"/>
            <wp:effectExtent l="0" t="0" r="0" b="0"/>
            <wp:docPr id="399208012" name="Picture 399208012" descr="A graph with numbers and a b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208012" name="Picture 399208012" descr="A graph with numbers and a bar&#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93434" cy="2514600"/>
                    </a:xfrm>
                    <a:prstGeom prst="rect">
                      <a:avLst/>
                    </a:prstGeom>
                  </pic:spPr>
                </pic:pic>
              </a:graphicData>
            </a:graphic>
          </wp:inline>
        </w:drawing>
      </w:r>
    </w:p>
    <w:p w14:paraId="45B0CBA0" w14:textId="19B166C0" w:rsidR="0028204B" w:rsidRPr="007B2CE1" w:rsidRDefault="00CF1586" w:rsidP="00CF1586">
      <w:pPr>
        <w:pStyle w:val="Caption"/>
        <w:jc w:val="both"/>
        <w:rPr>
          <w:rFonts w:ascii="Arial" w:hAnsi="Arial" w:cs="Arial"/>
        </w:rPr>
      </w:pPr>
      <w:bookmarkStart w:id="16" w:name="_Toc161783285"/>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A77984" w:rsidRPr="007B2CE1">
        <w:rPr>
          <w:rFonts w:ascii="Arial" w:hAnsi="Arial" w:cs="Arial"/>
          <w:noProof/>
        </w:rPr>
        <w:t>4</w:t>
      </w:r>
      <w:r w:rsidRPr="007B2CE1">
        <w:rPr>
          <w:rFonts w:ascii="Arial" w:hAnsi="Arial" w:cs="Arial"/>
        </w:rPr>
        <w:fldChar w:fldCharType="end"/>
      </w:r>
      <w:r w:rsidRPr="007B2CE1">
        <w:rPr>
          <w:rFonts w:ascii="Arial" w:hAnsi="Arial" w:cs="Arial"/>
        </w:rPr>
        <w:t>. Number of features detected in each leachate in the dark control (top) and UV-treated samples (bottom). Only features that exceeded the height of the respective blank by at least factor 10 were considered.</w:t>
      </w:r>
      <w:bookmarkEnd w:id="16"/>
    </w:p>
    <w:p w14:paraId="412B38BB" w14:textId="77777777" w:rsidR="00A77984" w:rsidRPr="007B2CE1" w:rsidRDefault="00A77984" w:rsidP="00A77984">
      <w:pPr>
        <w:keepNext/>
        <w:rPr>
          <w:rFonts w:ascii="Arial" w:hAnsi="Arial" w:cs="Arial"/>
        </w:rPr>
      </w:pPr>
      <w:r w:rsidRPr="007B2CE1">
        <w:rPr>
          <w:rFonts w:ascii="Arial" w:hAnsi="Arial" w:cs="Arial"/>
          <w:noProof/>
          <w:lang w:val="de-DE" w:eastAsia="de-DE"/>
        </w:rPr>
        <w:lastRenderedPageBreak/>
        <w:drawing>
          <wp:inline distT="0" distB="0" distL="0" distR="0" wp14:anchorId="248C7E41" wp14:editId="3CD4525D">
            <wp:extent cx="3960000" cy="3960000"/>
            <wp:effectExtent l="0" t="0" r="2540" b="2540"/>
            <wp:docPr id="24" name="Grafik 24" descr="P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E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60000" cy="3960000"/>
                    </a:xfrm>
                    <a:prstGeom prst="rect">
                      <a:avLst/>
                    </a:prstGeom>
                    <a:noFill/>
                    <a:ln>
                      <a:noFill/>
                    </a:ln>
                  </pic:spPr>
                </pic:pic>
              </a:graphicData>
            </a:graphic>
          </wp:inline>
        </w:drawing>
      </w:r>
    </w:p>
    <w:p w14:paraId="322C3514" w14:textId="7B71E601" w:rsidR="00A77984" w:rsidRPr="007B2CE1" w:rsidRDefault="00A77984" w:rsidP="00A77984">
      <w:pPr>
        <w:pStyle w:val="Caption"/>
        <w:rPr>
          <w:rFonts w:ascii="Arial" w:hAnsi="Arial" w:cs="Arial"/>
        </w:rPr>
      </w:pPr>
      <w:bookmarkStart w:id="17" w:name="_Toc161783286"/>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5</w:t>
      </w:r>
      <w:r w:rsidRPr="007B2CE1">
        <w:rPr>
          <w:rFonts w:ascii="Arial" w:hAnsi="Arial" w:cs="Arial"/>
          <w:noProof/>
        </w:rPr>
        <w:fldChar w:fldCharType="end"/>
      </w:r>
      <w:r w:rsidRPr="007B2CE1">
        <w:rPr>
          <w:rFonts w:ascii="Arial" w:hAnsi="Arial" w:cs="Arial"/>
        </w:rPr>
        <w:t>. Peak height of UV-treated sample vs dark control (PE_1). Red dots: Only detected in UV-sample. Blue squares: Only detected in dark control. Yellow triangles: Found in both samples.</w:t>
      </w:r>
      <w:bookmarkEnd w:id="17"/>
    </w:p>
    <w:p w14:paraId="64FCFD41" w14:textId="77777777" w:rsidR="00A77984" w:rsidRPr="007B2CE1" w:rsidRDefault="00A77984" w:rsidP="00A77984">
      <w:pPr>
        <w:keepNext/>
        <w:rPr>
          <w:rFonts w:ascii="Arial" w:hAnsi="Arial" w:cs="Arial"/>
        </w:rPr>
      </w:pPr>
      <w:r w:rsidRPr="007B2CE1">
        <w:rPr>
          <w:rFonts w:ascii="Arial" w:hAnsi="Arial" w:cs="Arial"/>
          <w:noProof/>
          <w:lang w:eastAsia="de-DE"/>
        </w:rPr>
        <w:drawing>
          <wp:inline distT="0" distB="0" distL="0" distR="0" wp14:anchorId="38688FF4" wp14:editId="1E675923">
            <wp:extent cx="3960000" cy="3960000"/>
            <wp:effectExtent l="0" t="0" r="2540" b="2540"/>
            <wp:docPr id="2" name="Grafik 2" descr="C:\Users\grodtke\AppData\Local\Microsoft\Windows\INetCache\Content.Word\P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C:\Users\grodtke\AppData\Local\Microsoft\Windows\INetCache\Content.Word\PE2.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60000" cy="3960000"/>
                    </a:xfrm>
                    <a:prstGeom prst="rect">
                      <a:avLst/>
                    </a:prstGeom>
                    <a:noFill/>
                    <a:ln>
                      <a:noFill/>
                    </a:ln>
                  </pic:spPr>
                </pic:pic>
              </a:graphicData>
            </a:graphic>
          </wp:inline>
        </w:drawing>
      </w:r>
    </w:p>
    <w:p w14:paraId="588CA145" w14:textId="5FD36008" w:rsidR="00A77984" w:rsidRPr="007B2CE1" w:rsidRDefault="00A77984" w:rsidP="00A77984">
      <w:pPr>
        <w:pStyle w:val="Caption"/>
        <w:rPr>
          <w:rFonts w:ascii="Arial" w:hAnsi="Arial" w:cs="Arial"/>
        </w:rPr>
      </w:pPr>
      <w:bookmarkStart w:id="18" w:name="_Toc161783287"/>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6</w:t>
      </w:r>
      <w:r w:rsidRPr="007B2CE1">
        <w:rPr>
          <w:rFonts w:ascii="Arial" w:hAnsi="Arial" w:cs="Arial"/>
          <w:noProof/>
        </w:rPr>
        <w:fldChar w:fldCharType="end"/>
      </w:r>
      <w:r w:rsidRPr="007B2CE1">
        <w:rPr>
          <w:rFonts w:ascii="Arial" w:hAnsi="Arial" w:cs="Arial"/>
        </w:rPr>
        <w:t>. Peak height of UV-treated sample vs dark control (PE_2). Red dots: Only detected in UV-sample. Blue squares: Only detected in dark control. Yellow triangles: Found in both samples.</w:t>
      </w:r>
      <w:bookmarkEnd w:id="18"/>
    </w:p>
    <w:p w14:paraId="2613BB2B" w14:textId="77777777" w:rsidR="00A77984" w:rsidRPr="007B2CE1" w:rsidRDefault="00A77984" w:rsidP="00A77984">
      <w:pPr>
        <w:keepNext/>
        <w:rPr>
          <w:rFonts w:ascii="Arial" w:hAnsi="Arial" w:cs="Arial"/>
        </w:rPr>
      </w:pPr>
      <w:r w:rsidRPr="007B2CE1">
        <w:rPr>
          <w:rFonts w:ascii="Arial" w:hAnsi="Arial" w:cs="Arial"/>
          <w:noProof/>
          <w:lang w:eastAsia="de-DE"/>
        </w:rPr>
        <w:lastRenderedPageBreak/>
        <w:drawing>
          <wp:inline distT="0" distB="0" distL="0" distR="0" wp14:anchorId="7DD350DA" wp14:editId="2ED1C3CA">
            <wp:extent cx="3960000" cy="3960000"/>
            <wp:effectExtent l="0" t="0" r="2540" b="2540"/>
            <wp:docPr id="1" name="Grafik 1" descr="C:\Users\grodtke\AppData\Local\Microsoft\Windows\INetCache\Content.Word\P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C:\Users\grodtke\AppData\Local\Microsoft\Windows\INetCache\Content.Word\PE3.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60000" cy="3960000"/>
                    </a:xfrm>
                    <a:prstGeom prst="rect">
                      <a:avLst/>
                    </a:prstGeom>
                    <a:noFill/>
                    <a:ln>
                      <a:noFill/>
                    </a:ln>
                  </pic:spPr>
                </pic:pic>
              </a:graphicData>
            </a:graphic>
          </wp:inline>
        </w:drawing>
      </w:r>
    </w:p>
    <w:p w14:paraId="5E003810" w14:textId="7387F1F3" w:rsidR="00A77984" w:rsidRPr="007B2CE1" w:rsidRDefault="00A77984" w:rsidP="00A77984">
      <w:pPr>
        <w:pStyle w:val="Caption"/>
        <w:rPr>
          <w:rFonts w:ascii="Arial" w:hAnsi="Arial" w:cs="Arial"/>
        </w:rPr>
      </w:pPr>
      <w:bookmarkStart w:id="19" w:name="_Toc161783288"/>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7</w:t>
      </w:r>
      <w:r w:rsidRPr="007B2CE1">
        <w:rPr>
          <w:rFonts w:ascii="Arial" w:hAnsi="Arial" w:cs="Arial"/>
          <w:noProof/>
        </w:rPr>
        <w:fldChar w:fldCharType="end"/>
      </w:r>
      <w:r w:rsidRPr="007B2CE1">
        <w:rPr>
          <w:rFonts w:ascii="Arial" w:hAnsi="Arial" w:cs="Arial"/>
        </w:rPr>
        <w:t>. Peak height of UV-treated sample vs dark control (PE_3). Red dots: Only detected in UV-sample. Blue squares: Only detected in dark control. Yellow triangles: Found in both samples.</w:t>
      </w:r>
      <w:bookmarkEnd w:id="19"/>
    </w:p>
    <w:p w14:paraId="497396AD" w14:textId="77777777" w:rsidR="00A77984" w:rsidRPr="007B2CE1" w:rsidRDefault="00A77984" w:rsidP="00A77984">
      <w:pPr>
        <w:keepNext/>
        <w:rPr>
          <w:rFonts w:ascii="Arial" w:hAnsi="Arial" w:cs="Arial"/>
        </w:rPr>
      </w:pPr>
      <w:r w:rsidRPr="007B2CE1">
        <w:rPr>
          <w:rFonts w:ascii="Arial" w:hAnsi="Arial" w:cs="Arial"/>
          <w:noProof/>
          <w:lang w:eastAsia="de-DE"/>
        </w:rPr>
        <w:drawing>
          <wp:inline distT="0" distB="0" distL="0" distR="0" wp14:anchorId="4050FB51" wp14:editId="7DC63195">
            <wp:extent cx="3960000" cy="3960000"/>
            <wp:effectExtent l="0" t="0" r="2540" b="2540"/>
            <wp:docPr id="4" name="Grafik 4" descr="C:\Users\grodtke\AppData\Local\Microsoft\Windows\INetCache\Content.Word\P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C:\Users\grodtke\AppData\Local\Microsoft\Windows\INetCache\Content.Word\PE4.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60000" cy="3960000"/>
                    </a:xfrm>
                    <a:prstGeom prst="rect">
                      <a:avLst/>
                    </a:prstGeom>
                    <a:noFill/>
                    <a:ln>
                      <a:noFill/>
                    </a:ln>
                  </pic:spPr>
                </pic:pic>
              </a:graphicData>
            </a:graphic>
          </wp:inline>
        </w:drawing>
      </w:r>
    </w:p>
    <w:p w14:paraId="72685505" w14:textId="70B6E6A5" w:rsidR="00A77984" w:rsidRPr="007B2CE1" w:rsidRDefault="00A77984" w:rsidP="00A77984">
      <w:pPr>
        <w:pStyle w:val="Caption"/>
        <w:rPr>
          <w:rFonts w:ascii="Arial" w:hAnsi="Arial" w:cs="Arial"/>
        </w:rPr>
      </w:pPr>
      <w:bookmarkStart w:id="20" w:name="_Toc161783289"/>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8</w:t>
      </w:r>
      <w:r w:rsidRPr="007B2CE1">
        <w:rPr>
          <w:rFonts w:ascii="Arial" w:hAnsi="Arial" w:cs="Arial"/>
          <w:noProof/>
        </w:rPr>
        <w:fldChar w:fldCharType="end"/>
      </w:r>
      <w:r w:rsidRPr="007B2CE1">
        <w:rPr>
          <w:rFonts w:ascii="Arial" w:hAnsi="Arial" w:cs="Arial"/>
        </w:rPr>
        <w:t>. Peak height of UV-treated sample vs dark control (PE_4). Red dots: Only detected in UV-sample. Blue squares: Only detected in dark control. Yellow triangles: Found in both samples.</w:t>
      </w:r>
      <w:bookmarkEnd w:id="20"/>
    </w:p>
    <w:p w14:paraId="2792896B" w14:textId="77777777" w:rsidR="00A77984" w:rsidRPr="007B2CE1" w:rsidRDefault="00A77984" w:rsidP="00A77984">
      <w:pPr>
        <w:keepNext/>
        <w:rPr>
          <w:rFonts w:ascii="Arial" w:hAnsi="Arial" w:cs="Arial"/>
        </w:rPr>
      </w:pPr>
      <w:r w:rsidRPr="007B2CE1">
        <w:rPr>
          <w:rFonts w:ascii="Arial" w:hAnsi="Arial" w:cs="Arial"/>
          <w:noProof/>
          <w:lang w:val="de-DE" w:eastAsia="de-DE"/>
        </w:rPr>
        <w:lastRenderedPageBreak/>
        <w:drawing>
          <wp:inline distT="0" distB="0" distL="0" distR="0" wp14:anchorId="37691532" wp14:editId="555EE093">
            <wp:extent cx="3960000" cy="3960000"/>
            <wp:effectExtent l="0" t="0" r="2540" b="2540"/>
            <wp:docPr id="23" name="Grafik 23" descr="PV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VC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60000" cy="3960000"/>
                    </a:xfrm>
                    <a:prstGeom prst="rect">
                      <a:avLst/>
                    </a:prstGeom>
                    <a:noFill/>
                    <a:ln>
                      <a:noFill/>
                    </a:ln>
                  </pic:spPr>
                </pic:pic>
              </a:graphicData>
            </a:graphic>
          </wp:inline>
        </w:drawing>
      </w:r>
    </w:p>
    <w:p w14:paraId="3BAE973A" w14:textId="7C4684C5" w:rsidR="00A77984" w:rsidRPr="007B2CE1" w:rsidRDefault="00A77984" w:rsidP="00A77984">
      <w:pPr>
        <w:pStyle w:val="Caption"/>
        <w:rPr>
          <w:rFonts w:ascii="Arial" w:hAnsi="Arial" w:cs="Arial"/>
        </w:rPr>
      </w:pPr>
      <w:bookmarkStart w:id="21" w:name="_Toc161783290"/>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9</w:t>
      </w:r>
      <w:r w:rsidRPr="007B2CE1">
        <w:rPr>
          <w:rFonts w:ascii="Arial" w:hAnsi="Arial" w:cs="Arial"/>
          <w:noProof/>
        </w:rPr>
        <w:fldChar w:fldCharType="end"/>
      </w:r>
      <w:r w:rsidRPr="007B2CE1">
        <w:rPr>
          <w:rFonts w:ascii="Arial" w:hAnsi="Arial" w:cs="Arial"/>
        </w:rPr>
        <w:t>. Peak height of UV-treated sample vs dark control (PVC_1). Red dots: Only detected in UV-sample. Blue squares: Only detected in dark control. Yellow triangles: Found in both samples.</w:t>
      </w:r>
      <w:bookmarkEnd w:id="21"/>
    </w:p>
    <w:p w14:paraId="33EC5F3E" w14:textId="77777777" w:rsidR="00A77984" w:rsidRPr="007B2CE1" w:rsidRDefault="00A77984" w:rsidP="00A77984">
      <w:pPr>
        <w:keepNext/>
        <w:rPr>
          <w:rFonts w:ascii="Arial" w:hAnsi="Arial" w:cs="Arial"/>
        </w:rPr>
      </w:pPr>
      <w:r w:rsidRPr="007B2CE1">
        <w:rPr>
          <w:rFonts w:ascii="Arial" w:hAnsi="Arial" w:cs="Arial"/>
          <w:noProof/>
          <w:lang w:val="de-DE" w:eastAsia="de-DE"/>
        </w:rPr>
        <w:drawing>
          <wp:inline distT="0" distB="0" distL="0" distR="0" wp14:anchorId="33DA5732" wp14:editId="5A4FF34D">
            <wp:extent cx="3960000" cy="3960000"/>
            <wp:effectExtent l="0" t="0" r="2540" b="2540"/>
            <wp:docPr id="22" name="Grafik 22" descr="PV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VC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60000" cy="3960000"/>
                    </a:xfrm>
                    <a:prstGeom prst="rect">
                      <a:avLst/>
                    </a:prstGeom>
                    <a:noFill/>
                    <a:ln>
                      <a:noFill/>
                    </a:ln>
                  </pic:spPr>
                </pic:pic>
              </a:graphicData>
            </a:graphic>
          </wp:inline>
        </w:drawing>
      </w:r>
    </w:p>
    <w:p w14:paraId="0E0E98D4" w14:textId="59019949" w:rsidR="00A77984" w:rsidRPr="007B2CE1" w:rsidRDefault="00A77984" w:rsidP="00A77984">
      <w:pPr>
        <w:pStyle w:val="Caption"/>
        <w:rPr>
          <w:rFonts w:ascii="Arial" w:hAnsi="Arial" w:cs="Arial"/>
        </w:rPr>
      </w:pPr>
      <w:bookmarkStart w:id="22" w:name="_Toc161783291"/>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10</w:t>
      </w:r>
      <w:r w:rsidRPr="007B2CE1">
        <w:rPr>
          <w:rFonts w:ascii="Arial" w:hAnsi="Arial" w:cs="Arial"/>
          <w:noProof/>
        </w:rPr>
        <w:fldChar w:fldCharType="end"/>
      </w:r>
      <w:r w:rsidRPr="007B2CE1">
        <w:rPr>
          <w:rFonts w:ascii="Arial" w:hAnsi="Arial" w:cs="Arial"/>
        </w:rPr>
        <w:t>. Peak height of UV-treated sample vs dark control (PVC_2). Red dots: Only detected in UV-sample. Blue squares: Only detected in dark control. Yellow triangles: Found in both samples.</w:t>
      </w:r>
      <w:bookmarkEnd w:id="22"/>
    </w:p>
    <w:p w14:paraId="6109C58B" w14:textId="77777777" w:rsidR="00A77984" w:rsidRPr="007B2CE1" w:rsidRDefault="00A77984" w:rsidP="00A77984">
      <w:pPr>
        <w:keepNext/>
        <w:rPr>
          <w:rFonts w:ascii="Arial" w:hAnsi="Arial" w:cs="Arial"/>
        </w:rPr>
      </w:pPr>
      <w:r w:rsidRPr="007B2CE1">
        <w:rPr>
          <w:rFonts w:ascii="Arial" w:hAnsi="Arial" w:cs="Arial"/>
          <w:noProof/>
          <w:lang w:val="de-DE" w:eastAsia="de-DE"/>
        </w:rPr>
        <w:lastRenderedPageBreak/>
        <w:drawing>
          <wp:inline distT="0" distB="0" distL="0" distR="0" wp14:anchorId="4835BE85" wp14:editId="50DABD39">
            <wp:extent cx="3960000" cy="3960000"/>
            <wp:effectExtent l="0" t="0" r="2540" b="2540"/>
            <wp:docPr id="21" name="Grafik 21" descr="PE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ET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960000" cy="3960000"/>
                    </a:xfrm>
                    <a:prstGeom prst="rect">
                      <a:avLst/>
                    </a:prstGeom>
                    <a:noFill/>
                    <a:ln>
                      <a:noFill/>
                    </a:ln>
                  </pic:spPr>
                </pic:pic>
              </a:graphicData>
            </a:graphic>
          </wp:inline>
        </w:drawing>
      </w:r>
    </w:p>
    <w:p w14:paraId="4EEC5F1B" w14:textId="2E1BD431" w:rsidR="00A77984" w:rsidRPr="007B2CE1" w:rsidRDefault="00A77984" w:rsidP="00A77984">
      <w:pPr>
        <w:pStyle w:val="Caption"/>
        <w:rPr>
          <w:rFonts w:ascii="Arial" w:hAnsi="Arial" w:cs="Arial"/>
        </w:rPr>
      </w:pPr>
      <w:bookmarkStart w:id="23" w:name="_Toc161783292"/>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11</w:t>
      </w:r>
      <w:r w:rsidRPr="007B2CE1">
        <w:rPr>
          <w:rFonts w:ascii="Arial" w:hAnsi="Arial" w:cs="Arial"/>
          <w:noProof/>
        </w:rPr>
        <w:fldChar w:fldCharType="end"/>
      </w:r>
      <w:r w:rsidRPr="007B2CE1">
        <w:rPr>
          <w:rFonts w:ascii="Arial" w:hAnsi="Arial" w:cs="Arial"/>
        </w:rPr>
        <w:t>. Peak height of UV-treated sample vs dark control (PET_1). Red dots: Only detected in UV-sample. Blue squares: Only detected in dark control. Yellow triangles: Found in both samples.</w:t>
      </w:r>
      <w:bookmarkEnd w:id="23"/>
    </w:p>
    <w:p w14:paraId="5D096114" w14:textId="77777777" w:rsidR="00A77984" w:rsidRPr="007B2CE1" w:rsidRDefault="00A77984" w:rsidP="00A77984">
      <w:pPr>
        <w:keepNext/>
        <w:rPr>
          <w:rFonts w:ascii="Arial" w:hAnsi="Arial" w:cs="Arial"/>
        </w:rPr>
      </w:pPr>
      <w:r w:rsidRPr="007B2CE1">
        <w:rPr>
          <w:rFonts w:ascii="Arial" w:hAnsi="Arial" w:cs="Arial"/>
          <w:noProof/>
          <w:lang w:val="de-DE" w:eastAsia="de-DE"/>
        </w:rPr>
        <w:drawing>
          <wp:inline distT="0" distB="0" distL="0" distR="0" wp14:anchorId="729A036E" wp14:editId="198276FE">
            <wp:extent cx="3960000" cy="3960000"/>
            <wp:effectExtent l="0" t="0" r="2540" b="2540"/>
            <wp:docPr id="20" name="Grafik 20" descr="PE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ET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60000" cy="3960000"/>
                    </a:xfrm>
                    <a:prstGeom prst="rect">
                      <a:avLst/>
                    </a:prstGeom>
                    <a:noFill/>
                    <a:ln>
                      <a:noFill/>
                    </a:ln>
                  </pic:spPr>
                </pic:pic>
              </a:graphicData>
            </a:graphic>
          </wp:inline>
        </w:drawing>
      </w:r>
    </w:p>
    <w:p w14:paraId="4BDE270A" w14:textId="1240E3DB" w:rsidR="00A77984" w:rsidRPr="007B2CE1" w:rsidRDefault="00A77984" w:rsidP="00A77984">
      <w:pPr>
        <w:pStyle w:val="Caption"/>
        <w:rPr>
          <w:rFonts w:ascii="Arial" w:hAnsi="Arial" w:cs="Arial"/>
          <w:lang w:val="en-US"/>
        </w:rPr>
      </w:pPr>
      <w:bookmarkStart w:id="24" w:name="_Toc161783293"/>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12</w:t>
      </w:r>
      <w:r w:rsidRPr="007B2CE1">
        <w:rPr>
          <w:rFonts w:ascii="Arial" w:hAnsi="Arial" w:cs="Arial"/>
          <w:noProof/>
        </w:rPr>
        <w:fldChar w:fldCharType="end"/>
      </w:r>
      <w:r w:rsidRPr="007B2CE1">
        <w:rPr>
          <w:rFonts w:ascii="Arial" w:hAnsi="Arial" w:cs="Arial"/>
        </w:rPr>
        <w:t>. Peak height of UV-treated sample vs dark control (PET_2). Red dots: Only detected in UV-sample. Blue squares: Only detected in dark control. Yellow triangles: Found in both samples.</w:t>
      </w:r>
      <w:bookmarkEnd w:id="24"/>
    </w:p>
    <w:p w14:paraId="57000027" w14:textId="77777777" w:rsidR="00A77984" w:rsidRPr="007B2CE1" w:rsidRDefault="00A77984" w:rsidP="00A77984"/>
    <w:p w14:paraId="2F2EA58E" w14:textId="77777777" w:rsidR="00A77984" w:rsidRPr="007B2CE1" w:rsidRDefault="00A77984" w:rsidP="00A77984">
      <w:pPr>
        <w:keepNext/>
        <w:rPr>
          <w:rFonts w:ascii="Arial" w:hAnsi="Arial" w:cs="Arial"/>
        </w:rPr>
      </w:pPr>
      <w:r w:rsidRPr="007B2CE1">
        <w:rPr>
          <w:rFonts w:ascii="Arial" w:hAnsi="Arial" w:cs="Arial"/>
          <w:noProof/>
          <w:lang w:val="de-DE" w:eastAsia="de-DE"/>
        </w:rPr>
        <w:drawing>
          <wp:inline distT="0" distB="0" distL="0" distR="0" wp14:anchorId="1EA8A7F6" wp14:editId="47404595">
            <wp:extent cx="5752465" cy="5752465"/>
            <wp:effectExtent l="0" t="0" r="635" b="635"/>
            <wp:docPr id="25" name="Grafik 25" descr="cmplxheat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mplxheatmap"/>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2465" cy="5752465"/>
                    </a:xfrm>
                    <a:prstGeom prst="rect">
                      <a:avLst/>
                    </a:prstGeom>
                    <a:noFill/>
                    <a:ln>
                      <a:noFill/>
                    </a:ln>
                  </pic:spPr>
                </pic:pic>
              </a:graphicData>
            </a:graphic>
          </wp:inline>
        </w:drawing>
      </w:r>
    </w:p>
    <w:p w14:paraId="2B9217D2" w14:textId="1D9D41DC" w:rsidR="00A77984" w:rsidRPr="007B2CE1" w:rsidRDefault="00A77984" w:rsidP="00A77984">
      <w:pPr>
        <w:pStyle w:val="Caption"/>
        <w:rPr>
          <w:rFonts w:ascii="Arial" w:hAnsi="Arial" w:cs="Arial"/>
          <w:lang w:val="en-US"/>
        </w:rPr>
      </w:pPr>
      <w:bookmarkStart w:id="25" w:name="_Toc161783294"/>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13</w:t>
      </w:r>
      <w:r w:rsidRPr="007B2CE1">
        <w:rPr>
          <w:rFonts w:ascii="Arial" w:hAnsi="Arial" w:cs="Arial"/>
          <w:noProof/>
        </w:rPr>
        <w:fldChar w:fldCharType="end"/>
      </w:r>
      <w:r w:rsidRPr="007B2CE1">
        <w:rPr>
          <w:rFonts w:ascii="Arial" w:hAnsi="Arial" w:cs="Arial"/>
        </w:rPr>
        <w:t>. Heatmap of feature height</w:t>
      </w:r>
      <w:r w:rsidR="00D145D8" w:rsidRPr="007B2CE1">
        <w:rPr>
          <w:rFonts w:ascii="Arial" w:hAnsi="Arial" w:cs="Arial"/>
        </w:rPr>
        <w:t>s</w:t>
      </w:r>
      <w:r w:rsidRPr="007B2CE1">
        <w:rPr>
          <w:rFonts w:ascii="Arial" w:hAnsi="Arial" w:cs="Arial"/>
        </w:rPr>
        <w:t>, sorted by sample. Color-codes represents logarithmic feature height.</w:t>
      </w:r>
      <w:bookmarkEnd w:id="25"/>
    </w:p>
    <w:p w14:paraId="60C0EC47" w14:textId="77777777" w:rsidR="00AC2770" w:rsidRPr="007B2CE1" w:rsidRDefault="00AC2770" w:rsidP="00AC2770">
      <w:pPr>
        <w:rPr>
          <w:rFonts w:ascii="Arial" w:hAnsi="Arial" w:cs="Arial"/>
          <w:lang w:val="en-US"/>
        </w:rPr>
      </w:pPr>
    </w:p>
    <w:p w14:paraId="64354A0A" w14:textId="77777777" w:rsidR="00AC2770" w:rsidRPr="007B2CE1" w:rsidRDefault="00AC2770" w:rsidP="00AC2770">
      <w:pPr>
        <w:keepNext/>
        <w:rPr>
          <w:rFonts w:ascii="Arial" w:hAnsi="Arial" w:cs="Arial"/>
        </w:rPr>
      </w:pPr>
      <w:r w:rsidRPr="007B2CE1">
        <w:rPr>
          <w:rFonts w:ascii="Arial" w:hAnsi="Arial" w:cs="Arial"/>
          <w:noProof/>
          <w:lang w:val="de-DE" w:eastAsia="de-DE"/>
        </w:rPr>
        <w:lastRenderedPageBreak/>
        <w:drawing>
          <wp:inline distT="0" distB="0" distL="0" distR="0" wp14:anchorId="27A01116" wp14:editId="42BC511C">
            <wp:extent cx="5337127" cy="3780000"/>
            <wp:effectExtent l="0" t="0" r="0" b="0"/>
            <wp:docPr id="19" name="Grafik 19" descr="PE1_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E1_r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37127" cy="3780000"/>
                    </a:xfrm>
                    <a:prstGeom prst="rect">
                      <a:avLst/>
                    </a:prstGeom>
                    <a:noFill/>
                    <a:ln>
                      <a:noFill/>
                    </a:ln>
                  </pic:spPr>
                </pic:pic>
              </a:graphicData>
            </a:graphic>
          </wp:inline>
        </w:drawing>
      </w:r>
    </w:p>
    <w:p w14:paraId="6B665133" w14:textId="10345D01" w:rsidR="00AC2770" w:rsidRPr="007B2CE1" w:rsidRDefault="00AC2770" w:rsidP="00AC2770">
      <w:pPr>
        <w:pStyle w:val="Caption"/>
        <w:rPr>
          <w:rFonts w:ascii="Arial" w:hAnsi="Arial" w:cs="Arial"/>
        </w:rPr>
      </w:pPr>
      <w:bookmarkStart w:id="26" w:name="_Toc161783295"/>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14</w:t>
      </w:r>
      <w:r w:rsidRPr="007B2CE1">
        <w:rPr>
          <w:rFonts w:ascii="Arial" w:hAnsi="Arial" w:cs="Arial"/>
          <w:noProof/>
        </w:rPr>
        <w:fldChar w:fldCharType="end"/>
      </w:r>
      <w:r w:rsidRPr="007B2CE1">
        <w:rPr>
          <w:rFonts w:ascii="Arial" w:hAnsi="Arial" w:cs="Arial"/>
        </w:rPr>
        <w:t>. Peak height of UV-treated sample and dark control sorted by retention time (PE_1). The bold line represents the mean retention time. The dashed lines show the standard deviation.</w:t>
      </w:r>
      <w:bookmarkEnd w:id="26"/>
    </w:p>
    <w:p w14:paraId="4F45FD20" w14:textId="77777777" w:rsidR="00AC2770" w:rsidRPr="007B2CE1" w:rsidRDefault="00AC2770" w:rsidP="00AC2770">
      <w:pPr>
        <w:keepNext/>
        <w:rPr>
          <w:rFonts w:ascii="Arial" w:hAnsi="Arial" w:cs="Arial"/>
        </w:rPr>
      </w:pPr>
      <w:r w:rsidRPr="007B2CE1">
        <w:rPr>
          <w:rFonts w:ascii="Arial" w:hAnsi="Arial" w:cs="Arial"/>
          <w:noProof/>
          <w:lang w:eastAsia="de-DE"/>
        </w:rPr>
        <w:drawing>
          <wp:inline distT="0" distB="0" distL="0" distR="0" wp14:anchorId="4D806A06" wp14:editId="527053A0">
            <wp:extent cx="5352787" cy="3780000"/>
            <wp:effectExtent l="0" t="0" r="635" b="0"/>
            <wp:docPr id="12" name="Grafik 12" descr="C:\Users\grodtke\AppData\Local\Microsoft\Windows\INetCache\Content.Word\PE2_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C:\Users\grodtke\AppData\Local\Microsoft\Windows\INetCache\Content.Word\PE2_rt.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52787" cy="3780000"/>
                    </a:xfrm>
                    <a:prstGeom prst="rect">
                      <a:avLst/>
                    </a:prstGeom>
                    <a:noFill/>
                    <a:ln>
                      <a:noFill/>
                    </a:ln>
                  </pic:spPr>
                </pic:pic>
              </a:graphicData>
            </a:graphic>
          </wp:inline>
        </w:drawing>
      </w:r>
    </w:p>
    <w:p w14:paraId="4B0C882B" w14:textId="32D36CE2" w:rsidR="00AC2770" w:rsidRPr="007B2CE1" w:rsidRDefault="00AC2770" w:rsidP="00AC2770">
      <w:pPr>
        <w:pStyle w:val="Caption"/>
        <w:rPr>
          <w:rFonts w:ascii="Arial" w:hAnsi="Arial" w:cs="Arial"/>
        </w:rPr>
      </w:pPr>
      <w:bookmarkStart w:id="27" w:name="_Toc161783296"/>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15</w:t>
      </w:r>
      <w:r w:rsidRPr="007B2CE1">
        <w:rPr>
          <w:rFonts w:ascii="Arial" w:hAnsi="Arial" w:cs="Arial"/>
          <w:noProof/>
        </w:rPr>
        <w:fldChar w:fldCharType="end"/>
      </w:r>
      <w:r w:rsidRPr="007B2CE1">
        <w:rPr>
          <w:rFonts w:ascii="Arial" w:hAnsi="Arial" w:cs="Arial"/>
        </w:rPr>
        <w:t>. Peak height of UV-treated sample and dark control sorted by retention time (PE_2). The bold line represents the mean retention time. The dashed lines show the standard deviation.</w:t>
      </w:r>
      <w:bookmarkEnd w:id="27"/>
    </w:p>
    <w:p w14:paraId="3AD0C7C4" w14:textId="77777777" w:rsidR="00AC2770" w:rsidRPr="007B2CE1" w:rsidRDefault="00AC2770" w:rsidP="00AC2770">
      <w:pPr>
        <w:keepNext/>
        <w:rPr>
          <w:rFonts w:ascii="Arial" w:hAnsi="Arial" w:cs="Arial"/>
        </w:rPr>
      </w:pPr>
      <w:r w:rsidRPr="007B2CE1">
        <w:rPr>
          <w:rFonts w:ascii="Arial" w:hAnsi="Arial" w:cs="Arial"/>
          <w:noProof/>
          <w:lang w:eastAsia="de-DE"/>
        </w:rPr>
        <w:lastRenderedPageBreak/>
        <w:drawing>
          <wp:inline distT="0" distB="0" distL="0" distR="0" wp14:anchorId="3A450D19" wp14:editId="0614481C">
            <wp:extent cx="5352787" cy="3780000"/>
            <wp:effectExtent l="0" t="0" r="635" b="0"/>
            <wp:docPr id="10" name="Grafik 10" descr="C:\Users\grodtke\AppData\Local\Microsoft\Windows\INetCache\Content.Word\PE3_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C:\Users\grodtke\AppData\Local\Microsoft\Windows\INetCache\Content.Word\PE3_rt.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52787" cy="3780000"/>
                    </a:xfrm>
                    <a:prstGeom prst="rect">
                      <a:avLst/>
                    </a:prstGeom>
                    <a:noFill/>
                    <a:ln>
                      <a:noFill/>
                    </a:ln>
                  </pic:spPr>
                </pic:pic>
              </a:graphicData>
            </a:graphic>
          </wp:inline>
        </w:drawing>
      </w:r>
    </w:p>
    <w:p w14:paraId="768C847D" w14:textId="67F94FFB" w:rsidR="00AC2770" w:rsidRPr="007B2CE1" w:rsidRDefault="00AC2770" w:rsidP="00AC2770">
      <w:pPr>
        <w:pStyle w:val="Caption"/>
        <w:rPr>
          <w:rFonts w:ascii="Arial" w:hAnsi="Arial" w:cs="Arial"/>
        </w:rPr>
      </w:pPr>
      <w:bookmarkStart w:id="28" w:name="_Toc161783297"/>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16</w:t>
      </w:r>
      <w:r w:rsidRPr="007B2CE1">
        <w:rPr>
          <w:rFonts w:ascii="Arial" w:hAnsi="Arial" w:cs="Arial"/>
          <w:noProof/>
        </w:rPr>
        <w:fldChar w:fldCharType="end"/>
      </w:r>
      <w:r w:rsidRPr="007B2CE1">
        <w:rPr>
          <w:rFonts w:ascii="Arial" w:hAnsi="Arial" w:cs="Arial"/>
        </w:rPr>
        <w:t>. Peak height of UV-treated sample and dark control sorted by retention time (PE_3). The bold line represents the mean retention time. The dashed lines show the standard deviation.</w:t>
      </w:r>
      <w:bookmarkEnd w:id="28"/>
    </w:p>
    <w:p w14:paraId="07C3AAE5" w14:textId="77777777" w:rsidR="00AC2770" w:rsidRPr="007B2CE1" w:rsidRDefault="00AC2770" w:rsidP="00AC2770">
      <w:pPr>
        <w:pStyle w:val="Caption"/>
        <w:rPr>
          <w:rFonts w:ascii="Arial" w:hAnsi="Arial" w:cs="Arial"/>
        </w:rPr>
      </w:pPr>
      <w:r w:rsidRPr="007B2CE1">
        <w:rPr>
          <w:rFonts w:ascii="Arial" w:hAnsi="Arial" w:cs="Arial"/>
          <w:noProof/>
          <w:lang w:eastAsia="de-DE"/>
        </w:rPr>
        <w:drawing>
          <wp:inline distT="0" distB="0" distL="0" distR="0" wp14:anchorId="531F0D59" wp14:editId="694FEB7E">
            <wp:extent cx="5352787" cy="3780000"/>
            <wp:effectExtent l="0" t="0" r="635" b="0"/>
            <wp:docPr id="8" name="Grafik 8" descr="C:\Users\grodtke\AppData\Local\Microsoft\Windows\INetCache\Content.Word\PE4_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C:\Users\grodtke\AppData\Local\Microsoft\Windows\INetCache\Content.Word\PE4_rt.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52787" cy="3780000"/>
                    </a:xfrm>
                    <a:prstGeom prst="rect">
                      <a:avLst/>
                    </a:prstGeom>
                    <a:noFill/>
                    <a:ln>
                      <a:noFill/>
                    </a:ln>
                  </pic:spPr>
                </pic:pic>
              </a:graphicData>
            </a:graphic>
          </wp:inline>
        </w:drawing>
      </w:r>
    </w:p>
    <w:p w14:paraId="787FD3DA" w14:textId="4FFBD621" w:rsidR="00AC2770" w:rsidRPr="007B2CE1" w:rsidRDefault="00AC2770" w:rsidP="00AC2770">
      <w:pPr>
        <w:pStyle w:val="Caption"/>
        <w:rPr>
          <w:rFonts w:ascii="Arial" w:hAnsi="Arial" w:cs="Arial"/>
        </w:rPr>
      </w:pPr>
      <w:bookmarkStart w:id="29" w:name="_Toc161783298"/>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17</w:t>
      </w:r>
      <w:r w:rsidRPr="007B2CE1">
        <w:rPr>
          <w:rFonts w:ascii="Arial" w:hAnsi="Arial" w:cs="Arial"/>
          <w:noProof/>
        </w:rPr>
        <w:fldChar w:fldCharType="end"/>
      </w:r>
      <w:r w:rsidRPr="007B2CE1">
        <w:rPr>
          <w:rFonts w:ascii="Arial" w:hAnsi="Arial" w:cs="Arial"/>
        </w:rPr>
        <w:t>. Peak height of UV-treated sample and dark control sorted by retention time (PE_4). The bold line represents the mean retention time. The dashed lines show the standard deviation.</w:t>
      </w:r>
      <w:bookmarkEnd w:id="29"/>
    </w:p>
    <w:p w14:paraId="5AEF4908" w14:textId="77777777" w:rsidR="00AC2770" w:rsidRPr="007B2CE1" w:rsidRDefault="00AC2770" w:rsidP="00AC2770">
      <w:pPr>
        <w:pStyle w:val="Caption"/>
        <w:rPr>
          <w:rFonts w:ascii="Arial" w:hAnsi="Arial" w:cs="Arial"/>
        </w:rPr>
      </w:pPr>
      <w:r w:rsidRPr="007B2CE1">
        <w:rPr>
          <w:rFonts w:ascii="Arial" w:hAnsi="Arial" w:cs="Arial"/>
          <w:noProof/>
          <w:lang w:val="de-DE" w:eastAsia="de-DE"/>
        </w:rPr>
        <w:lastRenderedPageBreak/>
        <w:drawing>
          <wp:inline distT="0" distB="0" distL="0" distR="0" wp14:anchorId="3A0A2AA6" wp14:editId="3312EF08">
            <wp:extent cx="5337129" cy="3780000"/>
            <wp:effectExtent l="0" t="0" r="0" b="0"/>
            <wp:docPr id="17" name="Grafik 17" descr="PVC1_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VC1_rt"/>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37129" cy="3780000"/>
                    </a:xfrm>
                    <a:prstGeom prst="rect">
                      <a:avLst/>
                    </a:prstGeom>
                    <a:noFill/>
                    <a:ln>
                      <a:noFill/>
                    </a:ln>
                  </pic:spPr>
                </pic:pic>
              </a:graphicData>
            </a:graphic>
          </wp:inline>
        </w:drawing>
      </w:r>
    </w:p>
    <w:p w14:paraId="28D1950B" w14:textId="3F337934" w:rsidR="00AC2770" w:rsidRPr="007B2CE1" w:rsidRDefault="00AC2770" w:rsidP="00AC2770">
      <w:pPr>
        <w:pStyle w:val="Caption"/>
        <w:rPr>
          <w:rFonts w:ascii="Arial" w:hAnsi="Arial" w:cs="Arial"/>
        </w:rPr>
      </w:pPr>
      <w:bookmarkStart w:id="30" w:name="_Toc161783299"/>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18</w:t>
      </w:r>
      <w:r w:rsidRPr="007B2CE1">
        <w:rPr>
          <w:rFonts w:ascii="Arial" w:hAnsi="Arial" w:cs="Arial"/>
          <w:noProof/>
        </w:rPr>
        <w:fldChar w:fldCharType="end"/>
      </w:r>
      <w:r w:rsidRPr="007B2CE1">
        <w:rPr>
          <w:rFonts w:ascii="Arial" w:hAnsi="Arial" w:cs="Arial"/>
        </w:rPr>
        <w:t>. Peak height of UV-treated sample and dark control sorted by retention time (PVC_1). The bold line represents the mean retention time. The dashed lines show the standard deviation.</w:t>
      </w:r>
      <w:bookmarkEnd w:id="30"/>
    </w:p>
    <w:p w14:paraId="0B4F985F" w14:textId="77777777" w:rsidR="00AC2770" w:rsidRPr="007B2CE1" w:rsidRDefault="00AC2770" w:rsidP="00AC2770">
      <w:pPr>
        <w:pStyle w:val="Caption"/>
        <w:rPr>
          <w:rFonts w:ascii="Arial" w:hAnsi="Arial" w:cs="Arial"/>
        </w:rPr>
      </w:pPr>
    </w:p>
    <w:p w14:paraId="07953208" w14:textId="77777777" w:rsidR="00AC2770" w:rsidRPr="007B2CE1" w:rsidRDefault="00AC2770" w:rsidP="00AC2770">
      <w:pPr>
        <w:keepNext/>
        <w:rPr>
          <w:rFonts w:ascii="Arial" w:hAnsi="Arial" w:cs="Arial"/>
        </w:rPr>
      </w:pPr>
      <w:r w:rsidRPr="007B2CE1">
        <w:rPr>
          <w:rFonts w:ascii="Arial" w:hAnsi="Arial" w:cs="Arial"/>
          <w:noProof/>
          <w:lang w:val="de-DE" w:eastAsia="de-DE"/>
        </w:rPr>
        <w:drawing>
          <wp:inline distT="0" distB="0" distL="0" distR="0" wp14:anchorId="7868DFBE" wp14:editId="6A5C740E">
            <wp:extent cx="5337129" cy="3780000"/>
            <wp:effectExtent l="0" t="0" r="0" b="0"/>
            <wp:docPr id="15" name="Grafik 15" descr="PVC2_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VC2_r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37129" cy="3780000"/>
                    </a:xfrm>
                    <a:prstGeom prst="rect">
                      <a:avLst/>
                    </a:prstGeom>
                    <a:noFill/>
                    <a:ln>
                      <a:noFill/>
                    </a:ln>
                  </pic:spPr>
                </pic:pic>
              </a:graphicData>
            </a:graphic>
          </wp:inline>
        </w:drawing>
      </w:r>
    </w:p>
    <w:p w14:paraId="01AD1542" w14:textId="04CA2C13" w:rsidR="00AC2770" w:rsidRPr="007B2CE1" w:rsidRDefault="00AC2770" w:rsidP="00AC2770">
      <w:pPr>
        <w:pStyle w:val="Caption"/>
        <w:rPr>
          <w:rFonts w:ascii="Arial" w:hAnsi="Arial" w:cs="Arial"/>
        </w:rPr>
      </w:pPr>
      <w:bookmarkStart w:id="31" w:name="_Toc161783300"/>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19</w:t>
      </w:r>
      <w:r w:rsidRPr="007B2CE1">
        <w:rPr>
          <w:rFonts w:ascii="Arial" w:hAnsi="Arial" w:cs="Arial"/>
          <w:noProof/>
        </w:rPr>
        <w:fldChar w:fldCharType="end"/>
      </w:r>
      <w:r w:rsidRPr="007B2CE1">
        <w:rPr>
          <w:rFonts w:ascii="Arial" w:hAnsi="Arial" w:cs="Arial"/>
        </w:rPr>
        <w:t>. Peak height of UV-treated sample and dark control sorted by retention time (PVC_2). The bold line represents the mean retention time. The dashed lines show the standard deviation.</w:t>
      </w:r>
      <w:bookmarkEnd w:id="31"/>
    </w:p>
    <w:p w14:paraId="681528DD" w14:textId="77777777" w:rsidR="00AC2770" w:rsidRPr="007B2CE1" w:rsidRDefault="00AC2770" w:rsidP="00AC2770">
      <w:pPr>
        <w:pStyle w:val="Caption"/>
        <w:rPr>
          <w:rFonts w:ascii="Arial" w:hAnsi="Arial" w:cs="Arial"/>
        </w:rPr>
      </w:pPr>
      <w:r w:rsidRPr="007B2CE1">
        <w:rPr>
          <w:rFonts w:ascii="Arial" w:hAnsi="Arial" w:cs="Arial"/>
          <w:noProof/>
          <w:lang w:eastAsia="de-DE"/>
        </w:rPr>
        <w:lastRenderedPageBreak/>
        <w:drawing>
          <wp:inline distT="0" distB="0" distL="0" distR="0" wp14:anchorId="77DD3CFC" wp14:editId="7D799212">
            <wp:extent cx="5352787" cy="3780000"/>
            <wp:effectExtent l="0" t="0" r="635" b="0"/>
            <wp:docPr id="5" name="Grafik 5" descr="C:\Users\grodtke\AppData\Local\Microsoft\Windows\INetCache\Content.Word\PET1_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grodtke\AppData\Local\Microsoft\Windows\INetCache\Content.Word\PET1_r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52787" cy="3780000"/>
                    </a:xfrm>
                    <a:prstGeom prst="rect">
                      <a:avLst/>
                    </a:prstGeom>
                    <a:noFill/>
                    <a:ln>
                      <a:noFill/>
                    </a:ln>
                  </pic:spPr>
                </pic:pic>
              </a:graphicData>
            </a:graphic>
          </wp:inline>
        </w:drawing>
      </w:r>
    </w:p>
    <w:p w14:paraId="0ECDA6B8" w14:textId="7ECDCEEE" w:rsidR="00AC2770" w:rsidRPr="007B2CE1" w:rsidRDefault="00AC2770" w:rsidP="00AC2770">
      <w:pPr>
        <w:pStyle w:val="Caption"/>
        <w:rPr>
          <w:rFonts w:ascii="Arial" w:hAnsi="Arial" w:cs="Arial"/>
        </w:rPr>
      </w:pPr>
      <w:bookmarkStart w:id="32" w:name="_Toc161783301"/>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20</w:t>
      </w:r>
      <w:r w:rsidRPr="007B2CE1">
        <w:rPr>
          <w:rFonts w:ascii="Arial" w:hAnsi="Arial" w:cs="Arial"/>
          <w:noProof/>
        </w:rPr>
        <w:fldChar w:fldCharType="end"/>
      </w:r>
      <w:r w:rsidRPr="007B2CE1">
        <w:rPr>
          <w:rFonts w:ascii="Arial" w:hAnsi="Arial" w:cs="Arial"/>
        </w:rPr>
        <w:t>. Peak height of UV-treated sample and dark control sorted by retention time (PET_1). The bold line represents the mean retention time. The dashed lines show the standard deviation.</w:t>
      </w:r>
      <w:bookmarkEnd w:id="32"/>
    </w:p>
    <w:p w14:paraId="028191B3" w14:textId="77777777" w:rsidR="00AC2770" w:rsidRPr="007B2CE1" w:rsidRDefault="00AC2770" w:rsidP="00AC2770">
      <w:pPr>
        <w:keepNext/>
        <w:rPr>
          <w:rFonts w:ascii="Arial" w:hAnsi="Arial" w:cs="Arial"/>
        </w:rPr>
      </w:pPr>
      <w:r w:rsidRPr="007B2CE1">
        <w:rPr>
          <w:rFonts w:ascii="Arial" w:hAnsi="Arial" w:cs="Arial"/>
          <w:noProof/>
          <w:lang w:val="de-DE" w:eastAsia="de-DE"/>
        </w:rPr>
        <w:drawing>
          <wp:inline distT="0" distB="0" distL="0" distR="0" wp14:anchorId="3BE5A690" wp14:editId="7433BD0C">
            <wp:extent cx="5337129" cy="3780000"/>
            <wp:effectExtent l="0" t="0" r="0" b="0"/>
            <wp:docPr id="13" name="Grafik 13" descr="PET2_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ET2_r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37129" cy="3780000"/>
                    </a:xfrm>
                    <a:prstGeom prst="rect">
                      <a:avLst/>
                    </a:prstGeom>
                    <a:noFill/>
                    <a:ln>
                      <a:noFill/>
                    </a:ln>
                  </pic:spPr>
                </pic:pic>
              </a:graphicData>
            </a:graphic>
          </wp:inline>
        </w:drawing>
      </w:r>
    </w:p>
    <w:p w14:paraId="3FBF43FD" w14:textId="3579D31E" w:rsidR="00AC2770" w:rsidRPr="007B2CE1" w:rsidRDefault="00AC2770" w:rsidP="00AC2770">
      <w:pPr>
        <w:pStyle w:val="Caption"/>
        <w:rPr>
          <w:rFonts w:ascii="Arial" w:hAnsi="Arial" w:cs="Arial"/>
        </w:rPr>
      </w:pPr>
      <w:bookmarkStart w:id="33" w:name="_Toc161783302"/>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Pr="007B2CE1">
        <w:rPr>
          <w:rFonts w:ascii="Arial" w:hAnsi="Arial" w:cs="Arial"/>
          <w:noProof/>
        </w:rPr>
        <w:t>21</w:t>
      </w:r>
      <w:r w:rsidRPr="007B2CE1">
        <w:rPr>
          <w:rFonts w:ascii="Arial" w:hAnsi="Arial" w:cs="Arial"/>
          <w:noProof/>
        </w:rPr>
        <w:fldChar w:fldCharType="end"/>
      </w:r>
      <w:r w:rsidRPr="007B2CE1">
        <w:rPr>
          <w:rFonts w:ascii="Arial" w:hAnsi="Arial" w:cs="Arial"/>
        </w:rPr>
        <w:t>. Peak height of UV-treated sample and dark control sorted by retention time (PET_2). The bold line represents the mean retention time. The dashed lines show the standard deviation.</w:t>
      </w:r>
      <w:bookmarkEnd w:id="33"/>
    </w:p>
    <w:p w14:paraId="72156538" w14:textId="77777777" w:rsidR="00A77984" w:rsidRPr="007B2CE1" w:rsidRDefault="00A77984" w:rsidP="00A77984"/>
    <w:p w14:paraId="406680C0" w14:textId="494EDF28" w:rsidR="00BC0F90" w:rsidRPr="007B2CE1" w:rsidRDefault="00A502F7" w:rsidP="00BC0F90">
      <w:pPr>
        <w:pStyle w:val="Caption"/>
        <w:keepNext/>
        <w:jc w:val="both"/>
        <w:rPr>
          <w:rFonts w:ascii="Arial" w:hAnsi="Arial" w:cs="Arial"/>
        </w:rPr>
      </w:pPr>
      <w:r w:rsidRPr="007B2CE1">
        <w:rPr>
          <w:rFonts w:ascii="Arial" w:hAnsi="Arial" w:cs="Arial"/>
          <w:noProof/>
          <w:lang w:val="de-DE" w:eastAsia="de-DE"/>
        </w:rPr>
        <w:lastRenderedPageBreak/>
        <w:drawing>
          <wp:inline distT="0" distB="0" distL="0" distR="0" wp14:anchorId="5847E2F8" wp14:editId="759FCAC6">
            <wp:extent cx="5731510" cy="2944495"/>
            <wp:effectExtent l="0" t="0" r="2540" b="8255"/>
            <wp:docPr id="2035383498" name="Picture 1" descr="A screen 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83498" name="Picture 1" descr="A screen shot of a graph&#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31510" cy="2944495"/>
                    </a:xfrm>
                    <a:prstGeom prst="rect">
                      <a:avLst/>
                    </a:prstGeom>
                    <a:noFill/>
                    <a:ln>
                      <a:noFill/>
                    </a:ln>
                  </pic:spPr>
                </pic:pic>
              </a:graphicData>
            </a:graphic>
          </wp:inline>
        </w:drawing>
      </w:r>
    </w:p>
    <w:p w14:paraId="4BCFDC6E" w14:textId="329FAD13" w:rsidR="007A1D8F" w:rsidRPr="007B2CE1" w:rsidRDefault="00BC0F90" w:rsidP="00AC2770">
      <w:pPr>
        <w:pStyle w:val="Caption"/>
        <w:jc w:val="both"/>
        <w:rPr>
          <w:rFonts w:ascii="Arial" w:eastAsiaTheme="majorEastAsia" w:hAnsi="Arial" w:cs="Arial"/>
          <w:color w:val="2F5496" w:themeColor="accent1" w:themeShade="BF"/>
          <w:sz w:val="32"/>
          <w:szCs w:val="32"/>
          <w:lang w:val="en-US"/>
        </w:rPr>
      </w:pPr>
      <w:bookmarkStart w:id="34" w:name="_Toc161783303"/>
      <w:r w:rsidRPr="007B2CE1">
        <w:rPr>
          <w:rFonts w:ascii="Arial" w:hAnsi="Arial" w:cs="Arial"/>
        </w:rPr>
        <w:t xml:space="preserve">Figure </w:t>
      </w:r>
      <w:r w:rsidR="00286080" w:rsidRPr="007B2CE1">
        <w:rPr>
          <w:rFonts w:ascii="Arial" w:hAnsi="Arial" w:cs="Arial"/>
        </w:rPr>
        <w:t>S</w:t>
      </w:r>
      <w:r w:rsidR="007A1D8F" w:rsidRPr="007B2CE1">
        <w:rPr>
          <w:rFonts w:ascii="Arial" w:hAnsi="Arial" w:cs="Arial"/>
          <w:noProof/>
        </w:rPr>
        <w:fldChar w:fldCharType="begin"/>
      </w:r>
      <w:r w:rsidR="007A1D8F" w:rsidRPr="007B2CE1">
        <w:rPr>
          <w:rFonts w:ascii="Arial" w:hAnsi="Arial" w:cs="Arial"/>
          <w:noProof/>
        </w:rPr>
        <w:instrText xml:space="preserve"> SEQ Figure \* ARABIC </w:instrText>
      </w:r>
      <w:r w:rsidR="007A1D8F" w:rsidRPr="007B2CE1">
        <w:rPr>
          <w:rFonts w:ascii="Arial" w:hAnsi="Arial" w:cs="Arial"/>
          <w:noProof/>
        </w:rPr>
        <w:fldChar w:fldCharType="separate"/>
      </w:r>
      <w:r w:rsidR="00AC2770" w:rsidRPr="007B2CE1">
        <w:rPr>
          <w:rFonts w:ascii="Arial" w:hAnsi="Arial" w:cs="Arial"/>
          <w:noProof/>
        </w:rPr>
        <w:t>22</w:t>
      </w:r>
      <w:r w:rsidR="007A1D8F" w:rsidRPr="007B2CE1">
        <w:rPr>
          <w:rFonts w:ascii="Arial" w:hAnsi="Arial" w:cs="Arial"/>
          <w:noProof/>
        </w:rPr>
        <w:fldChar w:fldCharType="end"/>
      </w:r>
      <w:r w:rsidR="00286080" w:rsidRPr="007B2CE1">
        <w:rPr>
          <w:rFonts w:ascii="Arial" w:hAnsi="Arial" w:cs="Arial"/>
        </w:rPr>
        <w:t xml:space="preserve">. </w:t>
      </w:r>
      <w:r w:rsidR="007A26E8" w:rsidRPr="007B2CE1">
        <w:rPr>
          <w:rFonts w:ascii="Arial" w:hAnsi="Arial" w:cs="Arial"/>
        </w:rPr>
        <w:t xml:space="preserve">Responses of </w:t>
      </w:r>
      <w:r w:rsidR="00FE03F8" w:rsidRPr="007B2CE1">
        <w:rPr>
          <w:rFonts w:ascii="Arial" w:hAnsi="Arial" w:cs="Arial"/>
        </w:rPr>
        <w:t>spiked</w:t>
      </w:r>
      <w:r w:rsidR="007A26E8" w:rsidRPr="007B2CE1">
        <w:rPr>
          <w:rFonts w:ascii="Arial" w:hAnsi="Arial" w:cs="Arial"/>
        </w:rPr>
        <w:t xml:space="preserve"> mass-labelled internal standards across samples normalized to the overall highest measured area of the respective standard.</w:t>
      </w:r>
      <w:r w:rsidR="00A502F7" w:rsidRPr="007B2CE1">
        <w:rPr>
          <w:rFonts w:ascii="Arial" w:hAnsi="Arial" w:cs="Arial"/>
        </w:rPr>
        <w:t xml:space="preserve"> Calibration points (Cali_) were followed by the different samples of batches three, two, and one (B3_, B2_, and B1_, respectively). Methanol (MeOH) injections marked red.</w:t>
      </w:r>
      <w:bookmarkEnd w:id="34"/>
    </w:p>
    <w:p w14:paraId="11BB785A" w14:textId="3DE4BC6D" w:rsidR="00B24289" w:rsidRPr="007B2CE1" w:rsidRDefault="00B24289" w:rsidP="00B24289">
      <w:pPr>
        <w:keepNext/>
        <w:rPr>
          <w:rFonts w:ascii="Arial" w:hAnsi="Arial" w:cs="Arial"/>
        </w:rPr>
      </w:pPr>
      <w:r w:rsidRPr="007B2CE1">
        <w:rPr>
          <w:rFonts w:ascii="Arial" w:hAnsi="Arial" w:cs="Arial"/>
          <w:noProof/>
        </w:rPr>
        <w:drawing>
          <wp:inline distT="0" distB="0" distL="0" distR="0" wp14:anchorId="4B92C4F8" wp14:editId="2D52E944">
            <wp:extent cx="5727700" cy="3493827"/>
            <wp:effectExtent l="0" t="0" r="6350" b="0"/>
            <wp:docPr id="1777477643" name="Grafik 1" descr="Ein Bild, das Text, Screenshot, Diagramm,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477643" name="Grafik 1" descr="Ein Bild, das Text, Screenshot, Diagramm, Rechteck enthält.&#10;&#10;Automatisch generierte Beschreibun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12706"/>
                    <a:stretch/>
                  </pic:blipFill>
                  <pic:spPr bwMode="auto">
                    <a:xfrm>
                      <a:off x="0" y="0"/>
                      <a:ext cx="5727700" cy="3493827"/>
                    </a:xfrm>
                    <a:prstGeom prst="rect">
                      <a:avLst/>
                    </a:prstGeom>
                    <a:noFill/>
                    <a:ln>
                      <a:noFill/>
                    </a:ln>
                    <a:extLst>
                      <a:ext uri="{53640926-AAD7-44D8-BBD7-CCE9431645EC}">
                        <a14:shadowObscured xmlns:a14="http://schemas.microsoft.com/office/drawing/2010/main"/>
                      </a:ext>
                    </a:extLst>
                  </pic:spPr>
                </pic:pic>
              </a:graphicData>
            </a:graphic>
          </wp:inline>
        </w:drawing>
      </w:r>
    </w:p>
    <w:p w14:paraId="6004CC5E" w14:textId="60EBB663" w:rsidR="00B24289" w:rsidRPr="007B2CE1" w:rsidRDefault="00B24289" w:rsidP="00B24289">
      <w:pPr>
        <w:pStyle w:val="Caption"/>
        <w:rPr>
          <w:rFonts w:ascii="Arial" w:hAnsi="Arial" w:cs="Arial"/>
        </w:rPr>
      </w:pPr>
      <w:bookmarkStart w:id="35" w:name="_Toc161783304"/>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E53A1C" w:rsidRPr="007B2CE1">
        <w:rPr>
          <w:rFonts w:ascii="Arial" w:hAnsi="Arial" w:cs="Arial"/>
          <w:noProof/>
        </w:rPr>
        <w:t>23</w:t>
      </w:r>
      <w:r w:rsidRPr="007B2CE1">
        <w:rPr>
          <w:rFonts w:ascii="Arial" w:hAnsi="Arial" w:cs="Arial"/>
          <w:noProof/>
        </w:rPr>
        <w:fldChar w:fldCharType="end"/>
      </w:r>
      <w:r w:rsidRPr="007B2CE1">
        <w:rPr>
          <w:rFonts w:ascii="Arial" w:hAnsi="Arial" w:cs="Arial"/>
        </w:rPr>
        <w:t xml:space="preserve"> </w:t>
      </w:r>
      <w:bookmarkStart w:id="36" w:name="_Hlk149210607"/>
      <w:r w:rsidRPr="007B2CE1">
        <w:rPr>
          <w:rFonts w:ascii="Arial" w:hAnsi="Arial" w:cs="Arial"/>
        </w:rPr>
        <w:t>Measured elemental mass fractions of Ba of all consumer plastic products together with the relative leached out share of the dark control and UV treated materials</w:t>
      </w:r>
      <w:bookmarkEnd w:id="35"/>
    </w:p>
    <w:bookmarkEnd w:id="36"/>
    <w:p w14:paraId="33210A6A" w14:textId="77777777" w:rsidR="00B24289" w:rsidRPr="007B2CE1" w:rsidRDefault="00B24289" w:rsidP="00B24289">
      <w:pPr>
        <w:keepNext/>
        <w:rPr>
          <w:rFonts w:ascii="Arial" w:hAnsi="Arial" w:cs="Arial"/>
        </w:rPr>
      </w:pPr>
      <w:r w:rsidRPr="007B2CE1">
        <w:rPr>
          <w:rFonts w:ascii="Arial" w:hAnsi="Arial" w:cs="Arial"/>
          <w:noProof/>
        </w:rPr>
        <w:lastRenderedPageBreak/>
        <w:drawing>
          <wp:inline distT="0" distB="0" distL="0" distR="0" wp14:anchorId="58FEDBFA" wp14:editId="7F346F05">
            <wp:extent cx="5727700" cy="3493827"/>
            <wp:effectExtent l="0" t="0" r="6350" b="0"/>
            <wp:docPr id="1064532643" name="Grafik 3" descr="Ein Bild, das Text, Screenshot, Diagramm,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532643" name="Grafik 3" descr="Ein Bild, das Text, Screenshot, Diagramm, Rechteck enthält.&#10;&#10;Automatisch generierte Beschreibun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b="12706"/>
                    <a:stretch/>
                  </pic:blipFill>
                  <pic:spPr bwMode="auto">
                    <a:xfrm>
                      <a:off x="0" y="0"/>
                      <a:ext cx="5727700" cy="3493827"/>
                    </a:xfrm>
                    <a:prstGeom prst="rect">
                      <a:avLst/>
                    </a:prstGeom>
                    <a:noFill/>
                    <a:ln>
                      <a:noFill/>
                    </a:ln>
                    <a:extLst>
                      <a:ext uri="{53640926-AAD7-44D8-BBD7-CCE9431645EC}">
                        <a14:shadowObscured xmlns:a14="http://schemas.microsoft.com/office/drawing/2010/main"/>
                      </a:ext>
                    </a:extLst>
                  </pic:spPr>
                </pic:pic>
              </a:graphicData>
            </a:graphic>
          </wp:inline>
        </w:drawing>
      </w:r>
    </w:p>
    <w:p w14:paraId="15995D4D" w14:textId="2B331CA5" w:rsidR="00B24289" w:rsidRPr="007B2CE1" w:rsidRDefault="00B24289" w:rsidP="00B24289">
      <w:pPr>
        <w:pStyle w:val="Caption"/>
        <w:rPr>
          <w:rFonts w:ascii="Arial" w:hAnsi="Arial" w:cs="Arial"/>
        </w:rPr>
      </w:pPr>
      <w:bookmarkStart w:id="37" w:name="_Toc161783305"/>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E53A1C" w:rsidRPr="007B2CE1">
        <w:rPr>
          <w:rFonts w:ascii="Arial" w:hAnsi="Arial" w:cs="Arial"/>
          <w:noProof/>
        </w:rPr>
        <w:t>24</w:t>
      </w:r>
      <w:r w:rsidRPr="007B2CE1">
        <w:rPr>
          <w:rFonts w:ascii="Arial" w:hAnsi="Arial" w:cs="Arial"/>
          <w:noProof/>
        </w:rPr>
        <w:fldChar w:fldCharType="end"/>
      </w:r>
      <w:r w:rsidRPr="007B2CE1">
        <w:rPr>
          <w:rFonts w:ascii="Arial" w:hAnsi="Arial" w:cs="Arial"/>
        </w:rPr>
        <w:t xml:space="preserve"> Measured elemental mass fractions of Cd of all consumer plastic products together with the relative leached out share of the dark control and UV treated materials</w:t>
      </w:r>
      <w:bookmarkEnd w:id="37"/>
    </w:p>
    <w:p w14:paraId="379D0FD1" w14:textId="77777777" w:rsidR="00B24289" w:rsidRPr="007B2CE1" w:rsidRDefault="00B24289" w:rsidP="00B24289">
      <w:pPr>
        <w:keepNext/>
        <w:rPr>
          <w:rFonts w:ascii="Arial" w:hAnsi="Arial" w:cs="Arial"/>
        </w:rPr>
      </w:pPr>
      <w:r w:rsidRPr="007B2CE1">
        <w:rPr>
          <w:rFonts w:ascii="Arial" w:hAnsi="Arial" w:cs="Arial"/>
          <w:noProof/>
        </w:rPr>
        <w:drawing>
          <wp:inline distT="0" distB="0" distL="0" distR="0" wp14:anchorId="6593F456" wp14:editId="78F15ED1">
            <wp:extent cx="5727700" cy="3534770"/>
            <wp:effectExtent l="0" t="0" r="6350" b="8890"/>
            <wp:docPr id="147111009" name="Grafik 6" descr="Ein Bild, das Text, Screenshot, Diagramm,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11009" name="Grafik 6" descr="Ein Bild, das Text, Screenshot, Diagramm, Rechteck enthält.&#10;&#10;Automatisch generierte Beschreibun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b="11684"/>
                    <a:stretch/>
                  </pic:blipFill>
                  <pic:spPr bwMode="auto">
                    <a:xfrm>
                      <a:off x="0" y="0"/>
                      <a:ext cx="5727700" cy="3534770"/>
                    </a:xfrm>
                    <a:prstGeom prst="rect">
                      <a:avLst/>
                    </a:prstGeom>
                    <a:noFill/>
                    <a:ln>
                      <a:noFill/>
                    </a:ln>
                    <a:extLst>
                      <a:ext uri="{53640926-AAD7-44D8-BBD7-CCE9431645EC}">
                        <a14:shadowObscured xmlns:a14="http://schemas.microsoft.com/office/drawing/2010/main"/>
                      </a:ext>
                    </a:extLst>
                  </pic:spPr>
                </pic:pic>
              </a:graphicData>
            </a:graphic>
          </wp:inline>
        </w:drawing>
      </w:r>
    </w:p>
    <w:p w14:paraId="1F748B49" w14:textId="20495074" w:rsidR="00B24289" w:rsidRPr="007B2CE1" w:rsidRDefault="00B24289" w:rsidP="00B24289">
      <w:pPr>
        <w:pStyle w:val="Caption"/>
        <w:rPr>
          <w:rFonts w:ascii="Arial" w:hAnsi="Arial" w:cs="Arial"/>
        </w:rPr>
      </w:pPr>
      <w:bookmarkStart w:id="38" w:name="_Toc161783306"/>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E53A1C" w:rsidRPr="007B2CE1">
        <w:rPr>
          <w:rFonts w:ascii="Arial" w:hAnsi="Arial" w:cs="Arial"/>
          <w:noProof/>
        </w:rPr>
        <w:t>25</w:t>
      </w:r>
      <w:r w:rsidRPr="007B2CE1">
        <w:rPr>
          <w:rFonts w:ascii="Arial" w:hAnsi="Arial" w:cs="Arial"/>
          <w:noProof/>
        </w:rPr>
        <w:fldChar w:fldCharType="end"/>
      </w:r>
      <w:r w:rsidRPr="007B2CE1">
        <w:rPr>
          <w:rFonts w:ascii="Arial" w:hAnsi="Arial" w:cs="Arial"/>
        </w:rPr>
        <w:t xml:space="preserve"> Measured elemental mass fractions of Cr of all consumer plastic products together with the relative leached out share of the dark control and UV treated materials</w:t>
      </w:r>
      <w:bookmarkEnd w:id="38"/>
    </w:p>
    <w:p w14:paraId="55103880" w14:textId="77777777" w:rsidR="00B24289" w:rsidRPr="007B2CE1" w:rsidRDefault="00B24289" w:rsidP="00B24289">
      <w:pPr>
        <w:keepNext/>
        <w:rPr>
          <w:rFonts w:ascii="Arial" w:hAnsi="Arial" w:cs="Arial"/>
        </w:rPr>
      </w:pPr>
      <w:r w:rsidRPr="007B2CE1">
        <w:rPr>
          <w:rFonts w:ascii="Arial" w:hAnsi="Arial" w:cs="Arial"/>
          <w:noProof/>
        </w:rPr>
        <w:lastRenderedPageBreak/>
        <w:drawing>
          <wp:inline distT="0" distB="0" distL="0" distR="0" wp14:anchorId="4DE2F302" wp14:editId="20FB30AD">
            <wp:extent cx="5730875" cy="3480179"/>
            <wp:effectExtent l="0" t="0" r="3175" b="6350"/>
            <wp:docPr id="600897028" name="Grafik 7" descr="Ein Bild, das Text, Screenshot, Diagramm,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897028" name="Grafik 7" descr="Ein Bild, das Text, Screenshot, Diagramm, Rechteck enthält.&#10;&#10;Automatisch generierte Beschreibun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b="12951"/>
                    <a:stretch/>
                  </pic:blipFill>
                  <pic:spPr bwMode="auto">
                    <a:xfrm>
                      <a:off x="0" y="0"/>
                      <a:ext cx="5730875" cy="3480179"/>
                    </a:xfrm>
                    <a:prstGeom prst="rect">
                      <a:avLst/>
                    </a:prstGeom>
                    <a:noFill/>
                    <a:ln>
                      <a:noFill/>
                    </a:ln>
                    <a:extLst>
                      <a:ext uri="{53640926-AAD7-44D8-BBD7-CCE9431645EC}">
                        <a14:shadowObscured xmlns:a14="http://schemas.microsoft.com/office/drawing/2010/main"/>
                      </a:ext>
                    </a:extLst>
                  </pic:spPr>
                </pic:pic>
              </a:graphicData>
            </a:graphic>
          </wp:inline>
        </w:drawing>
      </w:r>
    </w:p>
    <w:p w14:paraId="6A545D31" w14:textId="3A0D9A83" w:rsidR="00B24289" w:rsidRPr="007B2CE1" w:rsidRDefault="00B24289" w:rsidP="00B24289">
      <w:pPr>
        <w:pStyle w:val="Caption"/>
        <w:rPr>
          <w:rFonts w:ascii="Arial" w:hAnsi="Arial" w:cs="Arial"/>
        </w:rPr>
      </w:pPr>
      <w:bookmarkStart w:id="39" w:name="_Toc161783307"/>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E53A1C" w:rsidRPr="007B2CE1">
        <w:rPr>
          <w:rFonts w:ascii="Arial" w:hAnsi="Arial" w:cs="Arial"/>
          <w:noProof/>
        </w:rPr>
        <w:t>26</w:t>
      </w:r>
      <w:r w:rsidRPr="007B2CE1">
        <w:rPr>
          <w:rFonts w:ascii="Arial" w:hAnsi="Arial" w:cs="Arial"/>
          <w:noProof/>
        </w:rPr>
        <w:fldChar w:fldCharType="end"/>
      </w:r>
      <w:r w:rsidRPr="007B2CE1">
        <w:rPr>
          <w:rFonts w:ascii="Arial" w:hAnsi="Arial" w:cs="Arial"/>
        </w:rPr>
        <w:t xml:space="preserve"> Measured elemental mass fractions of Cu of all consumer plastic products together with the relative leached out share of the dark control and UV treated materials</w:t>
      </w:r>
      <w:bookmarkEnd w:id="39"/>
    </w:p>
    <w:p w14:paraId="418800B6" w14:textId="77777777" w:rsidR="00B24289" w:rsidRPr="007B2CE1" w:rsidRDefault="00B24289" w:rsidP="00B24289">
      <w:pPr>
        <w:keepNext/>
        <w:rPr>
          <w:rFonts w:ascii="Arial" w:hAnsi="Arial" w:cs="Arial"/>
        </w:rPr>
      </w:pPr>
      <w:r w:rsidRPr="007B2CE1">
        <w:rPr>
          <w:rFonts w:ascii="Arial" w:hAnsi="Arial" w:cs="Arial"/>
          <w:noProof/>
        </w:rPr>
        <w:drawing>
          <wp:inline distT="0" distB="0" distL="0" distR="0" wp14:anchorId="63A6AB09" wp14:editId="2512512E">
            <wp:extent cx="5730875" cy="3521122"/>
            <wp:effectExtent l="0" t="0" r="3175" b="3175"/>
            <wp:docPr id="1537246530" name="Grafik 8" descr="Ein Bild, das Text, Screenshot, Diagramm,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246530" name="Grafik 8" descr="Ein Bild, das Text, Screenshot, Diagramm, Rechteck enthält.&#10;&#10;Automatisch generierte Beschreibung"/>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b="11927"/>
                    <a:stretch/>
                  </pic:blipFill>
                  <pic:spPr bwMode="auto">
                    <a:xfrm>
                      <a:off x="0" y="0"/>
                      <a:ext cx="5730875" cy="3521122"/>
                    </a:xfrm>
                    <a:prstGeom prst="rect">
                      <a:avLst/>
                    </a:prstGeom>
                    <a:noFill/>
                    <a:ln>
                      <a:noFill/>
                    </a:ln>
                    <a:extLst>
                      <a:ext uri="{53640926-AAD7-44D8-BBD7-CCE9431645EC}">
                        <a14:shadowObscured xmlns:a14="http://schemas.microsoft.com/office/drawing/2010/main"/>
                      </a:ext>
                    </a:extLst>
                  </pic:spPr>
                </pic:pic>
              </a:graphicData>
            </a:graphic>
          </wp:inline>
        </w:drawing>
      </w:r>
    </w:p>
    <w:p w14:paraId="19900CC7" w14:textId="0A109E60" w:rsidR="00B24289" w:rsidRPr="007B2CE1" w:rsidRDefault="00B24289" w:rsidP="00B24289">
      <w:pPr>
        <w:pStyle w:val="Caption"/>
        <w:rPr>
          <w:rFonts w:ascii="Arial" w:hAnsi="Arial" w:cs="Arial"/>
        </w:rPr>
      </w:pPr>
      <w:bookmarkStart w:id="40" w:name="_Toc161783308"/>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E53A1C" w:rsidRPr="007B2CE1">
        <w:rPr>
          <w:rFonts w:ascii="Arial" w:hAnsi="Arial" w:cs="Arial"/>
          <w:noProof/>
        </w:rPr>
        <w:t>27</w:t>
      </w:r>
      <w:r w:rsidRPr="007B2CE1">
        <w:rPr>
          <w:rFonts w:ascii="Arial" w:hAnsi="Arial" w:cs="Arial"/>
          <w:noProof/>
        </w:rPr>
        <w:fldChar w:fldCharType="end"/>
      </w:r>
      <w:r w:rsidRPr="007B2CE1">
        <w:rPr>
          <w:rFonts w:ascii="Arial" w:hAnsi="Arial" w:cs="Arial"/>
        </w:rPr>
        <w:t xml:space="preserve"> Measured elemental mass fractions of Hg of all consumer plastic products together with the relative leached out share of the dark control and UV treated materials</w:t>
      </w:r>
      <w:bookmarkEnd w:id="40"/>
    </w:p>
    <w:p w14:paraId="4646ECC8" w14:textId="77777777" w:rsidR="00B24289" w:rsidRPr="007B2CE1" w:rsidRDefault="00B24289" w:rsidP="00B24289">
      <w:pPr>
        <w:keepNext/>
        <w:rPr>
          <w:rFonts w:ascii="Arial" w:hAnsi="Arial" w:cs="Arial"/>
        </w:rPr>
      </w:pPr>
      <w:r w:rsidRPr="007B2CE1">
        <w:rPr>
          <w:rFonts w:ascii="Arial" w:hAnsi="Arial" w:cs="Arial"/>
          <w:noProof/>
        </w:rPr>
        <w:lastRenderedPageBreak/>
        <w:drawing>
          <wp:inline distT="0" distB="0" distL="0" distR="0" wp14:anchorId="6E02DE82" wp14:editId="6BD2BF28">
            <wp:extent cx="5730875" cy="3480179"/>
            <wp:effectExtent l="0" t="0" r="3175" b="6350"/>
            <wp:docPr id="165607089" name="Grafik 10" descr="Ein Bild, das Text, Screenshot, Diagramm,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07089" name="Grafik 10" descr="Ein Bild, das Text, Screenshot, Diagramm, Reihe enthält.&#10;&#10;Automatisch generierte Beschreibun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b="12951"/>
                    <a:stretch/>
                  </pic:blipFill>
                  <pic:spPr bwMode="auto">
                    <a:xfrm>
                      <a:off x="0" y="0"/>
                      <a:ext cx="5730875" cy="3480179"/>
                    </a:xfrm>
                    <a:prstGeom prst="rect">
                      <a:avLst/>
                    </a:prstGeom>
                    <a:noFill/>
                    <a:ln>
                      <a:noFill/>
                    </a:ln>
                    <a:extLst>
                      <a:ext uri="{53640926-AAD7-44D8-BBD7-CCE9431645EC}">
                        <a14:shadowObscured xmlns:a14="http://schemas.microsoft.com/office/drawing/2010/main"/>
                      </a:ext>
                    </a:extLst>
                  </pic:spPr>
                </pic:pic>
              </a:graphicData>
            </a:graphic>
          </wp:inline>
        </w:drawing>
      </w:r>
    </w:p>
    <w:p w14:paraId="29F6A13B" w14:textId="2DDCDE37" w:rsidR="00B24289" w:rsidRPr="007B2CE1" w:rsidRDefault="00B24289" w:rsidP="00B24289">
      <w:pPr>
        <w:pStyle w:val="Caption"/>
        <w:rPr>
          <w:rFonts w:ascii="Arial" w:hAnsi="Arial" w:cs="Arial"/>
        </w:rPr>
      </w:pPr>
      <w:bookmarkStart w:id="41" w:name="_Toc161783309"/>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E53A1C" w:rsidRPr="007B2CE1">
        <w:rPr>
          <w:rFonts w:ascii="Arial" w:hAnsi="Arial" w:cs="Arial"/>
          <w:noProof/>
        </w:rPr>
        <w:t>28</w:t>
      </w:r>
      <w:r w:rsidRPr="007B2CE1">
        <w:rPr>
          <w:rFonts w:ascii="Arial" w:hAnsi="Arial" w:cs="Arial"/>
          <w:noProof/>
        </w:rPr>
        <w:fldChar w:fldCharType="end"/>
      </w:r>
      <w:r w:rsidRPr="007B2CE1">
        <w:rPr>
          <w:rFonts w:ascii="Arial" w:hAnsi="Arial" w:cs="Arial"/>
        </w:rPr>
        <w:t xml:space="preserve"> Measured elemental mass fractions of Sn of all consumer plastic products together with the relative leached out share of the dark control and UV treated materials</w:t>
      </w:r>
      <w:bookmarkEnd w:id="41"/>
    </w:p>
    <w:p w14:paraId="75940F79" w14:textId="77777777" w:rsidR="00B24289" w:rsidRPr="007B2CE1" w:rsidRDefault="00B24289" w:rsidP="00B24289">
      <w:pPr>
        <w:keepNext/>
        <w:rPr>
          <w:rFonts w:ascii="Arial" w:hAnsi="Arial" w:cs="Arial"/>
        </w:rPr>
      </w:pPr>
      <w:r w:rsidRPr="007B2CE1">
        <w:rPr>
          <w:rFonts w:ascii="Arial" w:hAnsi="Arial" w:cs="Arial"/>
          <w:noProof/>
        </w:rPr>
        <w:drawing>
          <wp:inline distT="0" distB="0" distL="0" distR="0" wp14:anchorId="666F606F" wp14:editId="453331F7">
            <wp:extent cx="5730875" cy="3507475"/>
            <wp:effectExtent l="0" t="0" r="3175" b="0"/>
            <wp:docPr id="1383941430" name="Grafik 11" descr="Ein Bild, das Text, Screenshot, Diagramm,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941430" name="Grafik 11" descr="Ein Bild, das Text, Screenshot, Diagramm, Rechteck enthält.&#10;&#10;Automatisch generierte Beschreibun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b="12268"/>
                    <a:stretch/>
                  </pic:blipFill>
                  <pic:spPr bwMode="auto">
                    <a:xfrm>
                      <a:off x="0" y="0"/>
                      <a:ext cx="5730875" cy="3507475"/>
                    </a:xfrm>
                    <a:prstGeom prst="rect">
                      <a:avLst/>
                    </a:prstGeom>
                    <a:noFill/>
                    <a:ln>
                      <a:noFill/>
                    </a:ln>
                    <a:extLst>
                      <a:ext uri="{53640926-AAD7-44D8-BBD7-CCE9431645EC}">
                        <a14:shadowObscured xmlns:a14="http://schemas.microsoft.com/office/drawing/2010/main"/>
                      </a:ext>
                    </a:extLst>
                  </pic:spPr>
                </pic:pic>
              </a:graphicData>
            </a:graphic>
          </wp:inline>
        </w:drawing>
      </w:r>
    </w:p>
    <w:p w14:paraId="4C229A41" w14:textId="35E0D6E3" w:rsidR="00B24289" w:rsidRPr="007B2CE1" w:rsidRDefault="00B24289" w:rsidP="00B24289">
      <w:pPr>
        <w:pStyle w:val="Caption"/>
        <w:rPr>
          <w:rFonts w:ascii="Arial" w:hAnsi="Arial" w:cs="Arial"/>
        </w:rPr>
      </w:pPr>
      <w:bookmarkStart w:id="42" w:name="_Toc161783310"/>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E53A1C" w:rsidRPr="007B2CE1">
        <w:rPr>
          <w:rFonts w:ascii="Arial" w:hAnsi="Arial" w:cs="Arial"/>
          <w:noProof/>
        </w:rPr>
        <w:t>29</w:t>
      </w:r>
      <w:r w:rsidRPr="007B2CE1">
        <w:rPr>
          <w:rFonts w:ascii="Arial" w:hAnsi="Arial" w:cs="Arial"/>
          <w:noProof/>
        </w:rPr>
        <w:fldChar w:fldCharType="end"/>
      </w:r>
      <w:r w:rsidRPr="007B2CE1">
        <w:rPr>
          <w:rFonts w:ascii="Arial" w:hAnsi="Arial" w:cs="Arial"/>
        </w:rPr>
        <w:t xml:space="preserve"> Measured elemental mass fractions of </w:t>
      </w:r>
      <w:r w:rsidR="00A758F0" w:rsidRPr="007B2CE1">
        <w:rPr>
          <w:rFonts w:ascii="Arial" w:hAnsi="Arial" w:cs="Arial"/>
        </w:rPr>
        <w:t>Ti</w:t>
      </w:r>
      <w:r w:rsidRPr="007B2CE1">
        <w:rPr>
          <w:rFonts w:ascii="Arial" w:hAnsi="Arial" w:cs="Arial"/>
        </w:rPr>
        <w:t xml:space="preserve"> of all consumer plastic products together with the relative leached out share of the dark control and UV treated materials</w:t>
      </w:r>
      <w:bookmarkEnd w:id="42"/>
    </w:p>
    <w:p w14:paraId="66848ED8" w14:textId="77777777" w:rsidR="00B24289" w:rsidRPr="007B2CE1" w:rsidRDefault="00B24289" w:rsidP="00B24289">
      <w:pPr>
        <w:keepNext/>
        <w:rPr>
          <w:rFonts w:ascii="Arial" w:hAnsi="Arial" w:cs="Arial"/>
        </w:rPr>
      </w:pPr>
      <w:r w:rsidRPr="007B2CE1">
        <w:rPr>
          <w:rFonts w:ascii="Arial" w:hAnsi="Arial" w:cs="Arial"/>
          <w:noProof/>
        </w:rPr>
        <w:lastRenderedPageBreak/>
        <w:drawing>
          <wp:inline distT="0" distB="0" distL="0" distR="0" wp14:anchorId="1DC57A73" wp14:editId="3EC38960">
            <wp:extent cx="5730875" cy="3521122"/>
            <wp:effectExtent l="0" t="0" r="3175" b="3175"/>
            <wp:docPr id="1737988232" name="Grafik 12" descr="Ein Bild, das Text, Screenshot, Diagramm,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988232" name="Grafik 12" descr="Ein Bild, das Text, Screenshot, Diagramm, Rechteck enthält.&#10;&#10;Automatisch generierte Beschreibung"/>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b="11927"/>
                    <a:stretch/>
                  </pic:blipFill>
                  <pic:spPr bwMode="auto">
                    <a:xfrm>
                      <a:off x="0" y="0"/>
                      <a:ext cx="5730875" cy="3521122"/>
                    </a:xfrm>
                    <a:prstGeom prst="rect">
                      <a:avLst/>
                    </a:prstGeom>
                    <a:noFill/>
                    <a:ln>
                      <a:noFill/>
                    </a:ln>
                    <a:extLst>
                      <a:ext uri="{53640926-AAD7-44D8-BBD7-CCE9431645EC}">
                        <a14:shadowObscured xmlns:a14="http://schemas.microsoft.com/office/drawing/2010/main"/>
                      </a:ext>
                    </a:extLst>
                  </pic:spPr>
                </pic:pic>
              </a:graphicData>
            </a:graphic>
          </wp:inline>
        </w:drawing>
      </w:r>
    </w:p>
    <w:p w14:paraId="0668EF81" w14:textId="1A7D672E" w:rsidR="00B24289" w:rsidRPr="007B2CE1" w:rsidRDefault="00B24289" w:rsidP="00B24289">
      <w:pPr>
        <w:pStyle w:val="Caption"/>
        <w:rPr>
          <w:rFonts w:ascii="Arial" w:hAnsi="Arial" w:cs="Arial"/>
        </w:rPr>
      </w:pPr>
      <w:bookmarkStart w:id="43" w:name="_Toc161783311"/>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E53A1C" w:rsidRPr="007B2CE1">
        <w:rPr>
          <w:rFonts w:ascii="Arial" w:hAnsi="Arial" w:cs="Arial"/>
          <w:noProof/>
        </w:rPr>
        <w:t>30</w:t>
      </w:r>
      <w:r w:rsidRPr="007B2CE1">
        <w:rPr>
          <w:rFonts w:ascii="Arial" w:hAnsi="Arial" w:cs="Arial"/>
          <w:noProof/>
        </w:rPr>
        <w:fldChar w:fldCharType="end"/>
      </w:r>
      <w:r w:rsidRPr="007B2CE1">
        <w:rPr>
          <w:rFonts w:ascii="Arial" w:hAnsi="Arial" w:cs="Arial"/>
        </w:rPr>
        <w:t xml:space="preserve"> Measured elemental mass fractions of U of all consumer plastic products together with the relative leached out share of the dark control and UV treated materials</w:t>
      </w:r>
      <w:bookmarkEnd w:id="43"/>
    </w:p>
    <w:p w14:paraId="02B8E515" w14:textId="77777777" w:rsidR="00B24289" w:rsidRPr="007B2CE1" w:rsidRDefault="00B24289" w:rsidP="00B24289">
      <w:pPr>
        <w:keepNext/>
        <w:rPr>
          <w:rFonts w:ascii="Arial" w:hAnsi="Arial" w:cs="Arial"/>
        </w:rPr>
      </w:pPr>
      <w:r w:rsidRPr="007B2CE1">
        <w:rPr>
          <w:rFonts w:ascii="Arial" w:hAnsi="Arial" w:cs="Arial"/>
          <w:noProof/>
        </w:rPr>
        <w:drawing>
          <wp:inline distT="0" distB="0" distL="0" distR="0" wp14:anchorId="174FEF22" wp14:editId="1364D0F5">
            <wp:extent cx="5730875" cy="3521122"/>
            <wp:effectExtent l="0" t="0" r="3175" b="3175"/>
            <wp:docPr id="1081212792" name="Grafik 13" descr="Ein Bild, das Text, Screenshot, Diagramm,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212792" name="Grafik 13" descr="Ein Bild, das Text, Screenshot, Diagramm, Rechteck enthält.&#10;&#10;Automatisch generierte Beschreibung"/>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b="11927"/>
                    <a:stretch/>
                  </pic:blipFill>
                  <pic:spPr bwMode="auto">
                    <a:xfrm>
                      <a:off x="0" y="0"/>
                      <a:ext cx="5730875" cy="3521122"/>
                    </a:xfrm>
                    <a:prstGeom prst="rect">
                      <a:avLst/>
                    </a:prstGeom>
                    <a:noFill/>
                    <a:ln>
                      <a:noFill/>
                    </a:ln>
                    <a:extLst>
                      <a:ext uri="{53640926-AAD7-44D8-BBD7-CCE9431645EC}">
                        <a14:shadowObscured xmlns:a14="http://schemas.microsoft.com/office/drawing/2010/main"/>
                      </a:ext>
                    </a:extLst>
                  </pic:spPr>
                </pic:pic>
              </a:graphicData>
            </a:graphic>
          </wp:inline>
        </w:drawing>
      </w:r>
    </w:p>
    <w:p w14:paraId="0A391978" w14:textId="79E9485F" w:rsidR="00B24289" w:rsidRPr="007B2CE1" w:rsidRDefault="00B24289" w:rsidP="00B24289">
      <w:pPr>
        <w:pStyle w:val="Caption"/>
        <w:rPr>
          <w:rFonts w:ascii="Arial" w:hAnsi="Arial" w:cs="Arial"/>
        </w:rPr>
      </w:pPr>
      <w:bookmarkStart w:id="44" w:name="_Toc161783312"/>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E53A1C" w:rsidRPr="007B2CE1">
        <w:rPr>
          <w:rFonts w:ascii="Arial" w:hAnsi="Arial" w:cs="Arial"/>
          <w:noProof/>
        </w:rPr>
        <w:t>31</w:t>
      </w:r>
      <w:r w:rsidRPr="007B2CE1">
        <w:rPr>
          <w:rFonts w:ascii="Arial" w:hAnsi="Arial" w:cs="Arial"/>
          <w:noProof/>
        </w:rPr>
        <w:fldChar w:fldCharType="end"/>
      </w:r>
      <w:r w:rsidRPr="007B2CE1">
        <w:rPr>
          <w:rFonts w:ascii="Arial" w:hAnsi="Arial" w:cs="Arial"/>
        </w:rPr>
        <w:t xml:space="preserve"> Measured elemental mass fractions of V of all consumer plastic products together with the relative leached out share of the dark control and UV treated materials</w:t>
      </w:r>
      <w:bookmarkEnd w:id="44"/>
    </w:p>
    <w:p w14:paraId="0A541411" w14:textId="77777777" w:rsidR="009878CB" w:rsidRPr="007B2CE1" w:rsidRDefault="009878CB" w:rsidP="009878CB"/>
    <w:p w14:paraId="02295C1C" w14:textId="77777777" w:rsidR="00E94150" w:rsidRPr="007B2CE1" w:rsidRDefault="00E94150" w:rsidP="009878CB"/>
    <w:p w14:paraId="3025EE2B" w14:textId="4DA13242" w:rsidR="009878CB" w:rsidRPr="007B2CE1" w:rsidRDefault="00E94150" w:rsidP="009878CB">
      <w:r w:rsidRPr="007B2CE1">
        <w:rPr>
          <w:noProof/>
        </w:rPr>
        <w:lastRenderedPageBreak/>
        <w:drawing>
          <wp:inline distT="0" distB="0" distL="0" distR="0" wp14:anchorId="0D742BCC" wp14:editId="425E7ED4">
            <wp:extent cx="5515486" cy="4412511"/>
            <wp:effectExtent l="0" t="0" r="0" b="7620"/>
            <wp:docPr id="161424320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243206" name="Picture 1614243206"/>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519794" cy="4415957"/>
                    </a:xfrm>
                    <a:prstGeom prst="rect">
                      <a:avLst/>
                    </a:prstGeom>
                  </pic:spPr>
                </pic:pic>
              </a:graphicData>
            </a:graphic>
          </wp:inline>
        </w:drawing>
      </w:r>
    </w:p>
    <w:p w14:paraId="7E4DA998" w14:textId="0DE63013" w:rsidR="009878CB" w:rsidRPr="007B2CE1" w:rsidRDefault="006207F1" w:rsidP="007B61D2">
      <w:pPr>
        <w:pStyle w:val="Caption"/>
        <w:rPr>
          <w:rFonts w:ascii="Arial" w:hAnsi="Arial" w:cs="Arial"/>
        </w:rPr>
      </w:pPr>
      <w:bookmarkStart w:id="45" w:name="_Toc161783313"/>
      <w:r w:rsidRPr="007B2CE1">
        <w:rPr>
          <w:rFonts w:ascii="Arial" w:hAnsi="Arial" w:cs="Arial"/>
        </w:rPr>
        <w:t>Figure 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AC2770" w:rsidRPr="007B2CE1">
        <w:rPr>
          <w:rFonts w:ascii="Arial" w:hAnsi="Arial" w:cs="Arial"/>
          <w:noProof/>
        </w:rPr>
        <w:t>32</w:t>
      </w:r>
      <w:r w:rsidRPr="007B2CE1">
        <w:rPr>
          <w:rFonts w:ascii="Arial" w:hAnsi="Arial" w:cs="Arial"/>
        </w:rPr>
        <w:fldChar w:fldCharType="end"/>
      </w:r>
      <w:r w:rsidR="00E94150" w:rsidRPr="007B2CE1">
        <w:rPr>
          <w:rFonts w:ascii="Arial" w:hAnsi="Arial" w:cs="Arial"/>
        </w:rPr>
        <w:t xml:space="preserve">: Maximum Contaminant Level (MCL) for metals Mercury (Hg), Cadmium (Cd), Antimony (Sb), Arsenic (As), Uranium (U), Chromium (Cr), Nickel (Ni), Copper (Cu), and Barium (Ba). The annotated values on the bars indicate the MCLs in µg/L, sourced from the </w:t>
      </w:r>
      <w:proofErr w:type="spellStart"/>
      <w:r w:rsidR="00E94150" w:rsidRPr="007B2CE1">
        <w:rPr>
          <w:rFonts w:ascii="Arial" w:hAnsi="Arial" w:cs="Arial"/>
        </w:rPr>
        <w:t>ToxVal</w:t>
      </w:r>
      <w:proofErr w:type="spellEnd"/>
      <w:r w:rsidR="00E94150" w:rsidRPr="007B2CE1">
        <w:rPr>
          <w:rFonts w:ascii="Arial" w:hAnsi="Arial" w:cs="Arial"/>
        </w:rPr>
        <w:t xml:space="preserve"> database, while the bars themselves depict the negative logarithm of the MCL in mol/L. The MCL is defined as the highest permissible level of a contaminant in drinking water, as regulated under the US EPA's National Primary Drinking Water Regulations, ensuring the safety and quality of drinking water.</w:t>
      </w:r>
      <w:bookmarkEnd w:id="45"/>
    </w:p>
    <w:p w14:paraId="271902B9" w14:textId="7C859041" w:rsidR="009878CB" w:rsidRPr="007B2CE1" w:rsidRDefault="009878CB" w:rsidP="009878CB"/>
    <w:p w14:paraId="5107B02E" w14:textId="3AA43A1D" w:rsidR="0092303A" w:rsidRPr="007B2CE1" w:rsidRDefault="0092303A" w:rsidP="009878CB"/>
    <w:p w14:paraId="49563B9B" w14:textId="561EDFA7" w:rsidR="0092303A" w:rsidRPr="007B2CE1" w:rsidRDefault="0092303A" w:rsidP="009878CB">
      <w:r w:rsidRPr="007B2CE1">
        <w:rPr>
          <w:noProof/>
        </w:rPr>
        <w:lastRenderedPageBreak/>
        <w:drawing>
          <wp:inline distT="0" distB="0" distL="0" distR="0" wp14:anchorId="7976E5C0" wp14:editId="480696E6">
            <wp:extent cx="5731510" cy="4585335"/>
            <wp:effectExtent l="0" t="0" r="254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toxcast_percent_active_plot.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731510" cy="4585335"/>
                    </a:xfrm>
                    <a:prstGeom prst="rect">
                      <a:avLst/>
                    </a:prstGeom>
                  </pic:spPr>
                </pic:pic>
              </a:graphicData>
            </a:graphic>
          </wp:inline>
        </w:drawing>
      </w:r>
    </w:p>
    <w:p w14:paraId="07759142" w14:textId="3252D0A3" w:rsidR="009878CB" w:rsidRPr="007B2CE1" w:rsidRDefault="001424B6" w:rsidP="007B61D2">
      <w:pPr>
        <w:pStyle w:val="Caption"/>
        <w:rPr>
          <w:rFonts w:ascii="Arial" w:hAnsi="Arial" w:cs="Arial"/>
        </w:rPr>
      </w:pPr>
      <w:bookmarkStart w:id="46" w:name="_Toc161783314"/>
      <w:r w:rsidRPr="007B2CE1">
        <w:rPr>
          <w:rFonts w:ascii="Arial" w:hAnsi="Arial" w:cs="Arial"/>
        </w:rPr>
        <w:t xml:space="preserve">Figure </w:t>
      </w:r>
      <w:r w:rsidR="005B06A4" w:rsidRPr="007B2CE1">
        <w:rPr>
          <w:rFonts w:ascii="Arial" w:hAnsi="Arial" w:cs="Arial"/>
        </w:rPr>
        <w:t>S</w:t>
      </w:r>
      <w:r w:rsidRPr="007B2CE1">
        <w:rPr>
          <w:rFonts w:ascii="Arial" w:hAnsi="Arial" w:cs="Arial"/>
        </w:rPr>
        <w:fldChar w:fldCharType="begin"/>
      </w:r>
      <w:r w:rsidRPr="007B2CE1">
        <w:rPr>
          <w:rFonts w:ascii="Arial" w:hAnsi="Arial" w:cs="Arial"/>
        </w:rPr>
        <w:instrText xml:space="preserve"> SEQ Figure \* ARABIC </w:instrText>
      </w:r>
      <w:r w:rsidRPr="007B2CE1">
        <w:rPr>
          <w:rFonts w:ascii="Arial" w:hAnsi="Arial" w:cs="Arial"/>
        </w:rPr>
        <w:fldChar w:fldCharType="separate"/>
      </w:r>
      <w:r w:rsidR="00AC2770" w:rsidRPr="007B2CE1">
        <w:rPr>
          <w:rFonts w:ascii="Arial" w:hAnsi="Arial" w:cs="Arial"/>
          <w:noProof/>
        </w:rPr>
        <w:t>33</w:t>
      </w:r>
      <w:r w:rsidRPr="007B2CE1">
        <w:rPr>
          <w:rFonts w:ascii="Arial" w:hAnsi="Arial" w:cs="Arial"/>
        </w:rPr>
        <w:fldChar w:fldCharType="end"/>
      </w:r>
      <w:r w:rsidRPr="007B2CE1">
        <w:rPr>
          <w:rFonts w:ascii="Arial" w:hAnsi="Arial" w:cs="Arial"/>
        </w:rPr>
        <w:t>: The in vitro bioactivity data for detected organic additives.</w:t>
      </w:r>
      <w:r w:rsidR="003B09FF" w:rsidRPr="007B2CE1">
        <w:rPr>
          <w:rFonts w:ascii="Arial" w:hAnsi="Arial" w:cs="Arial"/>
        </w:rPr>
        <w:t xml:space="preserve"> Out of the 15 detected organic additives, data for 12 were found in the </w:t>
      </w:r>
      <w:proofErr w:type="spellStart"/>
      <w:r w:rsidR="003B09FF" w:rsidRPr="007B2CE1">
        <w:rPr>
          <w:rFonts w:ascii="Arial" w:hAnsi="Arial" w:cs="Arial"/>
        </w:rPr>
        <w:t>ToxCast</w:t>
      </w:r>
      <w:proofErr w:type="spellEnd"/>
      <w:r w:rsidR="003B09FF" w:rsidRPr="007B2CE1">
        <w:rPr>
          <w:rFonts w:ascii="Arial" w:hAnsi="Arial" w:cs="Arial"/>
        </w:rPr>
        <w:t xml:space="preserve"> assay database. </w:t>
      </w:r>
      <w:r w:rsidRPr="007B2CE1">
        <w:rPr>
          <w:rFonts w:ascii="Arial" w:hAnsi="Arial" w:cs="Arial"/>
        </w:rPr>
        <w:t xml:space="preserve">This includes diisononyl phthalate (DINP), diisononylcyclohexane-1,2-dicarboxylate (DINCH), </w:t>
      </w:r>
      <w:proofErr w:type="spellStart"/>
      <w:r w:rsidRPr="007B2CE1">
        <w:rPr>
          <w:rFonts w:ascii="Arial" w:hAnsi="Arial" w:cs="Arial"/>
        </w:rPr>
        <w:t>Irganox</w:t>
      </w:r>
      <w:proofErr w:type="spellEnd"/>
      <w:r w:rsidRPr="007B2CE1">
        <w:rPr>
          <w:rFonts w:ascii="Arial" w:hAnsi="Arial" w:cs="Arial"/>
        </w:rPr>
        <w:t xml:space="preserve"> 1010, </w:t>
      </w:r>
      <w:proofErr w:type="spellStart"/>
      <w:r w:rsidRPr="007B2CE1">
        <w:rPr>
          <w:rFonts w:ascii="Arial" w:hAnsi="Arial" w:cs="Arial"/>
        </w:rPr>
        <w:t>Cyanox</w:t>
      </w:r>
      <w:proofErr w:type="spellEnd"/>
      <w:r w:rsidRPr="007B2CE1">
        <w:rPr>
          <w:rFonts w:ascii="Arial" w:hAnsi="Arial" w:cs="Arial"/>
        </w:rPr>
        <w:t xml:space="preserve"> 2246, </w:t>
      </w:r>
      <w:proofErr w:type="spellStart"/>
      <w:r w:rsidRPr="007B2CE1">
        <w:rPr>
          <w:rFonts w:ascii="Arial" w:hAnsi="Arial" w:cs="Arial"/>
        </w:rPr>
        <w:t>tetrabromobisphenol</w:t>
      </w:r>
      <w:proofErr w:type="spellEnd"/>
      <w:r w:rsidRPr="007B2CE1">
        <w:rPr>
          <w:rFonts w:ascii="Arial" w:hAnsi="Arial" w:cs="Arial"/>
        </w:rPr>
        <w:t>-A (TBBPA), tris-(2-chloroethyl) phosphate (TCEP), triphenyl phosphate (</w:t>
      </w:r>
      <w:proofErr w:type="spellStart"/>
      <w:r w:rsidRPr="007B2CE1">
        <w:rPr>
          <w:rFonts w:ascii="Arial" w:hAnsi="Arial" w:cs="Arial"/>
        </w:rPr>
        <w:t>TPhP</w:t>
      </w:r>
      <w:proofErr w:type="spellEnd"/>
      <w:r w:rsidRPr="007B2CE1">
        <w:rPr>
          <w:rFonts w:ascii="Arial" w:hAnsi="Arial" w:cs="Arial"/>
        </w:rPr>
        <w:t>), trimethyl phosphate (TMP), tri(</w:t>
      </w:r>
      <w:proofErr w:type="spellStart"/>
      <w:r w:rsidRPr="007B2CE1">
        <w:rPr>
          <w:rFonts w:ascii="Arial" w:hAnsi="Arial" w:cs="Arial"/>
        </w:rPr>
        <w:t>butoxyethyl</w:t>
      </w:r>
      <w:proofErr w:type="spellEnd"/>
      <w:r w:rsidRPr="007B2CE1">
        <w:rPr>
          <w:rFonts w:ascii="Arial" w:hAnsi="Arial" w:cs="Arial"/>
        </w:rPr>
        <w:t xml:space="preserve">)phosphate (TBEP), bis(2-ethylhexyl)phosphate (HDEHP), Tinuvin-329 (UV-329), and </w:t>
      </w:r>
      <w:proofErr w:type="spellStart"/>
      <w:r w:rsidRPr="007B2CE1">
        <w:rPr>
          <w:rFonts w:ascii="Arial" w:hAnsi="Arial" w:cs="Arial"/>
        </w:rPr>
        <w:t>Tinuvin</w:t>
      </w:r>
      <w:proofErr w:type="spellEnd"/>
      <w:r w:rsidRPr="007B2CE1">
        <w:rPr>
          <w:rFonts w:ascii="Arial" w:hAnsi="Arial" w:cs="Arial"/>
        </w:rPr>
        <w:t>-</w:t>
      </w:r>
      <w:r w:rsidR="00CD1844" w:rsidRPr="007B2CE1">
        <w:rPr>
          <w:rFonts w:ascii="Arial" w:hAnsi="Arial" w:cs="Arial"/>
        </w:rPr>
        <w:t>P</w:t>
      </w:r>
      <w:r w:rsidRPr="007B2CE1">
        <w:rPr>
          <w:rFonts w:ascii="Arial" w:hAnsi="Arial" w:cs="Arial"/>
        </w:rPr>
        <w:t xml:space="preserve"> (UV-</w:t>
      </w:r>
      <w:r w:rsidR="00CD1844" w:rsidRPr="007B2CE1">
        <w:rPr>
          <w:rFonts w:ascii="Arial" w:hAnsi="Arial" w:cs="Arial"/>
        </w:rPr>
        <w:t>P</w:t>
      </w:r>
      <w:r w:rsidRPr="007B2CE1">
        <w:rPr>
          <w:rFonts w:ascii="Arial" w:hAnsi="Arial" w:cs="Arial"/>
        </w:rPr>
        <w:t xml:space="preserve">), as retrieved from the </w:t>
      </w:r>
      <w:proofErr w:type="spellStart"/>
      <w:r w:rsidRPr="007B2CE1">
        <w:rPr>
          <w:rFonts w:ascii="Arial" w:hAnsi="Arial" w:cs="Arial"/>
        </w:rPr>
        <w:t>ToxCast</w:t>
      </w:r>
      <w:proofErr w:type="spellEnd"/>
      <w:r w:rsidRPr="007B2CE1">
        <w:rPr>
          <w:rFonts w:ascii="Arial" w:hAnsi="Arial" w:cs="Arial"/>
        </w:rPr>
        <w:t xml:space="preserve"> assay database. </w:t>
      </w:r>
      <w:r w:rsidR="003B09FF" w:rsidRPr="007B2CE1">
        <w:rPr>
          <w:rFonts w:ascii="Arial" w:hAnsi="Arial" w:cs="Arial"/>
        </w:rPr>
        <w:t>Data for di(2-propylheptyl) phthalate (</w:t>
      </w:r>
      <w:proofErr w:type="spellStart"/>
      <w:r w:rsidR="003B09FF" w:rsidRPr="007B2CE1">
        <w:rPr>
          <w:rFonts w:ascii="Arial" w:hAnsi="Arial" w:cs="Arial"/>
        </w:rPr>
        <w:t>DPhP</w:t>
      </w:r>
      <w:proofErr w:type="spellEnd"/>
      <w:r w:rsidR="003B09FF" w:rsidRPr="007B2CE1">
        <w:rPr>
          <w:rFonts w:ascii="Arial" w:hAnsi="Arial" w:cs="Arial"/>
        </w:rPr>
        <w:t xml:space="preserve">), </w:t>
      </w:r>
      <w:proofErr w:type="spellStart"/>
      <w:r w:rsidR="003B09FF" w:rsidRPr="007B2CE1">
        <w:rPr>
          <w:rFonts w:ascii="Arial" w:hAnsi="Arial" w:cs="Arial"/>
        </w:rPr>
        <w:t>Irgafos</w:t>
      </w:r>
      <w:proofErr w:type="spellEnd"/>
      <w:r w:rsidR="003B09FF" w:rsidRPr="007B2CE1">
        <w:rPr>
          <w:rFonts w:ascii="Arial" w:hAnsi="Arial" w:cs="Arial"/>
        </w:rPr>
        <w:t xml:space="preserve"> 126, and Tinuvin-327 (UV-327) were not available in the database. </w:t>
      </w:r>
      <w:r w:rsidRPr="007B2CE1">
        <w:rPr>
          <w:rFonts w:ascii="Arial" w:hAnsi="Arial" w:cs="Arial"/>
        </w:rPr>
        <w:t>The y-axis displays the percentage of active assays out of the total tested assays. Each bar is annotated with the number of active assays out of the total assays conducted.</w:t>
      </w:r>
      <w:bookmarkEnd w:id="46"/>
    </w:p>
    <w:p w14:paraId="580F9A7B" w14:textId="77777777" w:rsidR="009878CB" w:rsidRPr="007B2CE1" w:rsidRDefault="009878CB" w:rsidP="009878CB">
      <w:pPr>
        <w:rPr>
          <w:rFonts w:ascii="Arial" w:hAnsi="Arial" w:cs="Arial"/>
          <w:color w:val="44546A" w:themeColor="text2"/>
        </w:rPr>
      </w:pPr>
    </w:p>
    <w:p w14:paraId="7B7CBB9B" w14:textId="7B362217" w:rsidR="00880FF7" w:rsidRPr="007B2CE1" w:rsidRDefault="00880FF7">
      <w:r w:rsidRPr="007B2CE1">
        <w:br w:type="page"/>
      </w:r>
    </w:p>
    <w:p w14:paraId="27C6D6B2" w14:textId="6EB3CD3A" w:rsidR="00F94329" w:rsidRPr="007B2CE1" w:rsidRDefault="00880FF7" w:rsidP="00880FF7">
      <w:pPr>
        <w:pStyle w:val="Heading1"/>
      </w:pPr>
      <w:bookmarkStart w:id="47" w:name="_Toc161066336"/>
      <w:r w:rsidRPr="007B2CE1">
        <w:lastRenderedPageBreak/>
        <w:t>T</w:t>
      </w:r>
      <w:r w:rsidR="00F94329" w:rsidRPr="007B2CE1">
        <w:t>ables</w:t>
      </w:r>
      <w:bookmarkEnd w:id="47"/>
    </w:p>
    <w:p w14:paraId="51750903" w14:textId="1ED8288B" w:rsidR="0028204B" w:rsidRPr="007B2CE1" w:rsidRDefault="0028204B" w:rsidP="0028204B">
      <w:pPr>
        <w:pStyle w:val="Caption"/>
        <w:keepNext/>
        <w:rPr>
          <w:rFonts w:ascii="Arial" w:hAnsi="Arial" w:cs="Arial"/>
          <w:lang w:val="en-US"/>
        </w:rPr>
      </w:pPr>
      <w:bookmarkStart w:id="48" w:name="_Toc161066682"/>
      <w:r w:rsidRPr="007B2CE1">
        <w:rPr>
          <w:rFonts w:ascii="Arial" w:hAnsi="Arial" w:cs="Arial"/>
          <w:lang w:val="en-US"/>
        </w:rPr>
        <w:t>Table S</w:t>
      </w:r>
      <w:r w:rsidRPr="007B2CE1">
        <w:rPr>
          <w:rFonts w:ascii="Arial" w:hAnsi="Arial" w:cs="Arial"/>
        </w:rPr>
        <w:fldChar w:fldCharType="begin"/>
      </w:r>
      <w:r w:rsidRPr="007B2CE1">
        <w:rPr>
          <w:rFonts w:ascii="Arial" w:hAnsi="Arial" w:cs="Arial"/>
          <w:lang w:val="en-US"/>
        </w:rPr>
        <w:instrText xml:space="preserve"> SEQ Table \* ARABIC </w:instrText>
      </w:r>
      <w:r w:rsidRPr="007B2CE1">
        <w:rPr>
          <w:rFonts w:ascii="Arial" w:hAnsi="Arial" w:cs="Arial"/>
        </w:rPr>
        <w:fldChar w:fldCharType="separate"/>
      </w:r>
      <w:r w:rsidR="001A2654" w:rsidRPr="007B2CE1">
        <w:rPr>
          <w:rFonts w:ascii="Arial" w:hAnsi="Arial" w:cs="Arial"/>
          <w:noProof/>
          <w:lang w:val="en-US"/>
        </w:rPr>
        <w:t>1</w:t>
      </w:r>
      <w:r w:rsidRPr="007B2CE1">
        <w:rPr>
          <w:rFonts w:ascii="Arial" w:hAnsi="Arial" w:cs="Arial"/>
        </w:rPr>
        <w:fldChar w:fldCharType="end"/>
      </w:r>
      <w:r w:rsidR="008609C2" w:rsidRPr="007B2CE1">
        <w:rPr>
          <w:rFonts w:ascii="Arial" w:hAnsi="Arial" w:cs="Arial"/>
        </w:rPr>
        <w:t>:</w:t>
      </w:r>
      <w:r w:rsidRPr="007B2CE1">
        <w:rPr>
          <w:rFonts w:ascii="Arial" w:hAnsi="Arial" w:cs="Arial"/>
          <w:lang w:val="en-US"/>
        </w:rPr>
        <w:t xml:space="preserve"> Weighed portions of plastic samples.</w:t>
      </w:r>
      <w:bookmarkEnd w:id="48"/>
    </w:p>
    <w:tbl>
      <w:tblPr>
        <w:tblStyle w:val="TableGrid"/>
        <w:tblW w:w="68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80"/>
        <w:gridCol w:w="1472"/>
        <w:gridCol w:w="1559"/>
        <w:gridCol w:w="1276"/>
        <w:gridCol w:w="1418"/>
      </w:tblGrid>
      <w:tr w:rsidR="0028204B" w:rsidRPr="007B2CE1" w14:paraId="3ED1C1B4" w14:textId="77777777" w:rsidTr="00BB644F">
        <w:trPr>
          <w:trHeight w:val="300"/>
        </w:trPr>
        <w:tc>
          <w:tcPr>
            <w:tcW w:w="1080" w:type="dxa"/>
            <w:tcBorders>
              <w:top w:val="single" w:sz="4" w:space="0" w:color="auto"/>
              <w:bottom w:val="single" w:sz="4" w:space="0" w:color="auto"/>
            </w:tcBorders>
            <w:hideMark/>
          </w:tcPr>
          <w:p w14:paraId="11E799A6" w14:textId="77777777" w:rsidR="0028204B" w:rsidRPr="007B2CE1" w:rsidRDefault="0028204B" w:rsidP="0092303A">
            <w:pPr>
              <w:rPr>
                <w:rFonts w:ascii="Arial" w:eastAsia="Times New Roman" w:hAnsi="Arial" w:cs="Arial"/>
                <w:b/>
                <w:color w:val="000000"/>
                <w:lang w:eastAsia="de-DE"/>
              </w:rPr>
            </w:pPr>
            <w:r w:rsidRPr="007B2CE1">
              <w:rPr>
                <w:rFonts w:ascii="Arial" w:eastAsia="Times New Roman" w:hAnsi="Arial" w:cs="Arial"/>
                <w:b/>
                <w:color w:val="000000"/>
                <w:lang w:eastAsia="de-DE"/>
              </w:rPr>
              <w:t>sample</w:t>
            </w:r>
          </w:p>
        </w:tc>
        <w:tc>
          <w:tcPr>
            <w:tcW w:w="1472" w:type="dxa"/>
            <w:tcBorders>
              <w:top w:val="single" w:sz="4" w:space="0" w:color="auto"/>
              <w:bottom w:val="single" w:sz="4" w:space="0" w:color="auto"/>
            </w:tcBorders>
            <w:hideMark/>
          </w:tcPr>
          <w:p w14:paraId="7CFE3BCF" w14:textId="77777777" w:rsidR="0028204B" w:rsidRPr="007B2CE1" w:rsidRDefault="0028204B" w:rsidP="0092303A">
            <w:pPr>
              <w:rPr>
                <w:rFonts w:ascii="Arial" w:eastAsia="Times New Roman" w:hAnsi="Arial" w:cs="Arial"/>
                <w:b/>
                <w:color w:val="000000"/>
                <w:lang w:eastAsia="de-DE"/>
              </w:rPr>
            </w:pPr>
            <w:r w:rsidRPr="007B2CE1">
              <w:rPr>
                <w:rFonts w:ascii="Arial" w:eastAsia="Times New Roman" w:hAnsi="Arial" w:cs="Arial"/>
                <w:b/>
                <w:color w:val="000000"/>
                <w:lang w:eastAsia="de-DE"/>
              </w:rPr>
              <w:t xml:space="preserve">m (plastic) / g </w:t>
            </w:r>
          </w:p>
        </w:tc>
        <w:tc>
          <w:tcPr>
            <w:tcW w:w="1559" w:type="dxa"/>
            <w:tcBorders>
              <w:top w:val="single" w:sz="4" w:space="0" w:color="auto"/>
              <w:bottom w:val="single" w:sz="4" w:space="0" w:color="auto"/>
            </w:tcBorders>
            <w:noWrap/>
            <w:hideMark/>
          </w:tcPr>
          <w:p w14:paraId="4049717B" w14:textId="77777777" w:rsidR="0028204B" w:rsidRPr="007B2CE1" w:rsidRDefault="0028204B" w:rsidP="0092303A">
            <w:pPr>
              <w:rPr>
                <w:rFonts w:ascii="Arial" w:eastAsia="Times New Roman" w:hAnsi="Arial" w:cs="Arial"/>
                <w:b/>
                <w:color w:val="000000"/>
                <w:lang w:eastAsia="de-DE"/>
              </w:rPr>
            </w:pPr>
            <w:r w:rsidRPr="007B2CE1">
              <w:rPr>
                <w:rFonts w:ascii="Arial" w:eastAsia="Times New Roman" w:hAnsi="Arial" w:cs="Arial"/>
                <w:b/>
                <w:color w:val="000000"/>
                <w:lang w:eastAsia="de-DE"/>
              </w:rPr>
              <w:t>m (water) / g</w:t>
            </w:r>
          </w:p>
        </w:tc>
        <w:tc>
          <w:tcPr>
            <w:tcW w:w="1276" w:type="dxa"/>
            <w:tcBorders>
              <w:top w:val="single" w:sz="4" w:space="0" w:color="auto"/>
              <w:bottom w:val="single" w:sz="4" w:space="0" w:color="auto"/>
            </w:tcBorders>
            <w:hideMark/>
          </w:tcPr>
          <w:p w14:paraId="5C934A22" w14:textId="77777777" w:rsidR="0028204B" w:rsidRPr="007B2CE1" w:rsidRDefault="0028204B" w:rsidP="0092303A">
            <w:pPr>
              <w:rPr>
                <w:rFonts w:ascii="Arial" w:eastAsia="Times New Roman" w:hAnsi="Arial" w:cs="Arial"/>
                <w:b/>
                <w:color w:val="000000"/>
                <w:lang w:eastAsia="de-DE"/>
              </w:rPr>
            </w:pPr>
            <w:r w:rsidRPr="007B2CE1">
              <w:rPr>
                <w:rFonts w:ascii="Arial" w:eastAsia="Times New Roman" w:hAnsi="Arial" w:cs="Arial"/>
                <w:b/>
                <w:color w:val="000000"/>
                <w:lang w:eastAsia="de-DE"/>
              </w:rPr>
              <w:t>treatment</w:t>
            </w:r>
          </w:p>
        </w:tc>
        <w:tc>
          <w:tcPr>
            <w:tcW w:w="1418" w:type="dxa"/>
            <w:tcBorders>
              <w:top w:val="single" w:sz="4" w:space="0" w:color="auto"/>
              <w:bottom w:val="single" w:sz="4" w:space="0" w:color="auto"/>
            </w:tcBorders>
          </w:tcPr>
          <w:p w14:paraId="198FDB03" w14:textId="77777777" w:rsidR="0028204B" w:rsidRPr="007B2CE1" w:rsidRDefault="0028204B" w:rsidP="0092303A">
            <w:pPr>
              <w:rPr>
                <w:rFonts w:ascii="Arial" w:eastAsia="Times New Roman" w:hAnsi="Arial" w:cs="Arial"/>
                <w:b/>
                <w:color w:val="000000"/>
                <w:lang w:eastAsia="de-DE"/>
              </w:rPr>
            </w:pPr>
            <w:r w:rsidRPr="007B2CE1">
              <w:rPr>
                <w:rFonts w:ascii="Arial" w:eastAsia="Times New Roman" w:hAnsi="Arial" w:cs="Arial"/>
                <w:b/>
                <w:color w:val="000000"/>
                <w:lang w:eastAsia="de-DE"/>
              </w:rPr>
              <w:t>Experiment</w:t>
            </w:r>
          </w:p>
        </w:tc>
      </w:tr>
      <w:tr w:rsidR="0028204B" w:rsidRPr="007B2CE1" w14:paraId="754D0C4C" w14:textId="77777777" w:rsidTr="00BB644F">
        <w:trPr>
          <w:trHeight w:val="300"/>
        </w:trPr>
        <w:tc>
          <w:tcPr>
            <w:tcW w:w="1080" w:type="dxa"/>
            <w:tcBorders>
              <w:top w:val="single" w:sz="4" w:space="0" w:color="auto"/>
            </w:tcBorders>
            <w:noWrap/>
            <w:hideMark/>
          </w:tcPr>
          <w:p w14:paraId="1000F866"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PE_1</w:t>
            </w:r>
          </w:p>
        </w:tc>
        <w:tc>
          <w:tcPr>
            <w:tcW w:w="1472" w:type="dxa"/>
            <w:tcBorders>
              <w:top w:val="single" w:sz="4" w:space="0" w:color="auto"/>
            </w:tcBorders>
            <w:noWrap/>
            <w:hideMark/>
          </w:tcPr>
          <w:p w14:paraId="10462B03"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25.2</w:t>
            </w:r>
          </w:p>
        </w:tc>
        <w:tc>
          <w:tcPr>
            <w:tcW w:w="1559" w:type="dxa"/>
            <w:tcBorders>
              <w:top w:val="single" w:sz="4" w:space="0" w:color="auto"/>
            </w:tcBorders>
            <w:noWrap/>
            <w:hideMark/>
          </w:tcPr>
          <w:p w14:paraId="6EECD047"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200.6</w:t>
            </w:r>
          </w:p>
        </w:tc>
        <w:tc>
          <w:tcPr>
            <w:tcW w:w="1276" w:type="dxa"/>
            <w:tcBorders>
              <w:top w:val="single" w:sz="4" w:space="0" w:color="auto"/>
            </w:tcBorders>
            <w:noWrap/>
            <w:hideMark/>
          </w:tcPr>
          <w:p w14:paraId="0DFF2ADB"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w:t>
            </w:r>
          </w:p>
        </w:tc>
        <w:tc>
          <w:tcPr>
            <w:tcW w:w="1418" w:type="dxa"/>
            <w:tcBorders>
              <w:top w:val="single" w:sz="4" w:space="0" w:color="auto"/>
            </w:tcBorders>
          </w:tcPr>
          <w:p w14:paraId="111BDF2A"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UVC1</w:t>
            </w:r>
          </w:p>
        </w:tc>
      </w:tr>
      <w:tr w:rsidR="0028204B" w:rsidRPr="007B2CE1" w14:paraId="16087489" w14:textId="77777777" w:rsidTr="00BB644F">
        <w:trPr>
          <w:trHeight w:val="300"/>
        </w:trPr>
        <w:tc>
          <w:tcPr>
            <w:tcW w:w="1080" w:type="dxa"/>
            <w:noWrap/>
            <w:hideMark/>
          </w:tcPr>
          <w:p w14:paraId="27DDA8BC"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PE_1</w:t>
            </w:r>
          </w:p>
        </w:tc>
        <w:tc>
          <w:tcPr>
            <w:tcW w:w="1472" w:type="dxa"/>
            <w:noWrap/>
            <w:hideMark/>
          </w:tcPr>
          <w:p w14:paraId="7D9F0823"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30.1</w:t>
            </w:r>
          </w:p>
        </w:tc>
        <w:tc>
          <w:tcPr>
            <w:tcW w:w="1559" w:type="dxa"/>
            <w:noWrap/>
            <w:hideMark/>
          </w:tcPr>
          <w:p w14:paraId="590830BB"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199.6</w:t>
            </w:r>
          </w:p>
        </w:tc>
        <w:tc>
          <w:tcPr>
            <w:tcW w:w="1276" w:type="dxa"/>
            <w:noWrap/>
            <w:hideMark/>
          </w:tcPr>
          <w:p w14:paraId="2A426641"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DC</w:t>
            </w:r>
          </w:p>
        </w:tc>
        <w:tc>
          <w:tcPr>
            <w:tcW w:w="1418" w:type="dxa"/>
          </w:tcPr>
          <w:p w14:paraId="505989CE"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UVC1</w:t>
            </w:r>
          </w:p>
        </w:tc>
      </w:tr>
      <w:tr w:rsidR="0028204B" w:rsidRPr="007B2CE1" w14:paraId="144E1F15" w14:textId="77777777" w:rsidTr="00BB644F">
        <w:trPr>
          <w:trHeight w:val="300"/>
        </w:trPr>
        <w:tc>
          <w:tcPr>
            <w:tcW w:w="1080" w:type="dxa"/>
            <w:noWrap/>
            <w:hideMark/>
          </w:tcPr>
          <w:p w14:paraId="5D6B774C"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PE_2</w:t>
            </w:r>
          </w:p>
        </w:tc>
        <w:tc>
          <w:tcPr>
            <w:tcW w:w="1472" w:type="dxa"/>
            <w:noWrap/>
            <w:hideMark/>
          </w:tcPr>
          <w:p w14:paraId="7ECC7C0B"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20.1</w:t>
            </w:r>
          </w:p>
        </w:tc>
        <w:tc>
          <w:tcPr>
            <w:tcW w:w="1559" w:type="dxa"/>
            <w:noWrap/>
            <w:hideMark/>
          </w:tcPr>
          <w:p w14:paraId="05BF9F3F"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200.6</w:t>
            </w:r>
          </w:p>
        </w:tc>
        <w:tc>
          <w:tcPr>
            <w:tcW w:w="1276" w:type="dxa"/>
            <w:noWrap/>
            <w:hideMark/>
          </w:tcPr>
          <w:p w14:paraId="234CE112"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w:t>
            </w:r>
          </w:p>
        </w:tc>
        <w:tc>
          <w:tcPr>
            <w:tcW w:w="1418" w:type="dxa"/>
          </w:tcPr>
          <w:p w14:paraId="57633752"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UVC2</w:t>
            </w:r>
          </w:p>
        </w:tc>
      </w:tr>
      <w:tr w:rsidR="0028204B" w:rsidRPr="007B2CE1" w14:paraId="387856E5" w14:textId="77777777" w:rsidTr="00BB644F">
        <w:trPr>
          <w:trHeight w:val="300"/>
        </w:trPr>
        <w:tc>
          <w:tcPr>
            <w:tcW w:w="1080" w:type="dxa"/>
            <w:noWrap/>
            <w:hideMark/>
          </w:tcPr>
          <w:p w14:paraId="140B1763"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PE_2</w:t>
            </w:r>
          </w:p>
        </w:tc>
        <w:tc>
          <w:tcPr>
            <w:tcW w:w="1472" w:type="dxa"/>
            <w:noWrap/>
            <w:hideMark/>
          </w:tcPr>
          <w:p w14:paraId="088CF1A2"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20.2</w:t>
            </w:r>
          </w:p>
        </w:tc>
        <w:tc>
          <w:tcPr>
            <w:tcW w:w="1559" w:type="dxa"/>
            <w:noWrap/>
            <w:hideMark/>
          </w:tcPr>
          <w:p w14:paraId="221E7DF7"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201.1</w:t>
            </w:r>
          </w:p>
        </w:tc>
        <w:tc>
          <w:tcPr>
            <w:tcW w:w="1276" w:type="dxa"/>
            <w:noWrap/>
            <w:hideMark/>
          </w:tcPr>
          <w:p w14:paraId="06D3235B"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DC</w:t>
            </w:r>
          </w:p>
        </w:tc>
        <w:tc>
          <w:tcPr>
            <w:tcW w:w="1418" w:type="dxa"/>
          </w:tcPr>
          <w:p w14:paraId="6D001D7E"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UVC2</w:t>
            </w:r>
          </w:p>
        </w:tc>
      </w:tr>
      <w:tr w:rsidR="0028204B" w:rsidRPr="007B2CE1" w14:paraId="47A85494" w14:textId="77777777" w:rsidTr="00BB644F">
        <w:trPr>
          <w:trHeight w:val="300"/>
        </w:trPr>
        <w:tc>
          <w:tcPr>
            <w:tcW w:w="1080" w:type="dxa"/>
            <w:noWrap/>
            <w:hideMark/>
          </w:tcPr>
          <w:p w14:paraId="7BAA6D39"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PE_3</w:t>
            </w:r>
          </w:p>
        </w:tc>
        <w:tc>
          <w:tcPr>
            <w:tcW w:w="1472" w:type="dxa"/>
            <w:noWrap/>
            <w:hideMark/>
          </w:tcPr>
          <w:p w14:paraId="542D2256"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30.1</w:t>
            </w:r>
          </w:p>
        </w:tc>
        <w:tc>
          <w:tcPr>
            <w:tcW w:w="1559" w:type="dxa"/>
            <w:noWrap/>
            <w:hideMark/>
          </w:tcPr>
          <w:p w14:paraId="628B162E"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199.6</w:t>
            </w:r>
          </w:p>
        </w:tc>
        <w:tc>
          <w:tcPr>
            <w:tcW w:w="1276" w:type="dxa"/>
            <w:noWrap/>
            <w:hideMark/>
          </w:tcPr>
          <w:p w14:paraId="0CDED3DB"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w:t>
            </w:r>
          </w:p>
        </w:tc>
        <w:tc>
          <w:tcPr>
            <w:tcW w:w="1418" w:type="dxa"/>
          </w:tcPr>
          <w:p w14:paraId="5B7236AC"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UVC3</w:t>
            </w:r>
          </w:p>
        </w:tc>
      </w:tr>
      <w:tr w:rsidR="0028204B" w:rsidRPr="007B2CE1" w14:paraId="2E167C3A" w14:textId="77777777" w:rsidTr="00BB644F">
        <w:trPr>
          <w:trHeight w:val="300"/>
        </w:trPr>
        <w:tc>
          <w:tcPr>
            <w:tcW w:w="1080" w:type="dxa"/>
            <w:noWrap/>
            <w:hideMark/>
          </w:tcPr>
          <w:p w14:paraId="1FC1816B"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PE_3</w:t>
            </w:r>
          </w:p>
        </w:tc>
        <w:tc>
          <w:tcPr>
            <w:tcW w:w="1472" w:type="dxa"/>
            <w:noWrap/>
            <w:hideMark/>
          </w:tcPr>
          <w:p w14:paraId="5D8E9C91"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29.9</w:t>
            </w:r>
          </w:p>
        </w:tc>
        <w:tc>
          <w:tcPr>
            <w:tcW w:w="1559" w:type="dxa"/>
            <w:noWrap/>
            <w:hideMark/>
          </w:tcPr>
          <w:p w14:paraId="43195771"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206.8</w:t>
            </w:r>
          </w:p>
        </w:tc>
        <w:tc>
          <w:tcPr>
            <w:tcW w:w="1276" w:type="dxa"/>
            <w:noWrap/>
            <w:hideMark/>
          </w:tcPr>
          <w:p w14:paraId="3E3C720D"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DC</w:t>
            </w:r>
          </w:p>
        </w:tc>
        <w:tc>
          <w:tcPr>
            <w:tcW w:w="1418" w:type="dxa"/>
          </w:tcPr>
          <w:p w14:paraId="2FF03B0F"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UVC3</w:t>
            </w:r>
          </w:p>
        </w:tc>
      </w:tr>
      <w:tr w:rsidR="0028204B" w:rsidRPr="007B2CE1" w14:paraId="476E087F" w14:textId="77777777" w:rsidTr="00BB644F">
        <w:trPr>
          <w:trHeight w:val="300"/>
        </w:trPr>
        <w:tc>
          <w:tcPr>
            <w:tcW w:w="1080" w:type="dxa"/>
            <w:noWrap/>
            <w:hideMark/>
          </w:tcPr>
          <w:p w14:paraId="2FA88561"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PE_4</w:t>
            </w:r>
          </w:p>
        </w:tc>
        <w:tc>
          <w:tcPr>
            <w:tcW w:w="1472" w:type="dxa"/>
            <w:noWrap/>
            <w:hideMark/>
          </w:tcPr>
          <w:p w14:paraId="6F119893"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23.7</w:t>
            </w:r>
          </w:p>
        </w:tc>
        <w:tc>
          <w:tcPr>
            <w:tcW w:w="1559" w:type="dxa"/>
            <w:noWrap/>
            <w:hideMark/>
          </w:tcPr>
          <w:p w14:paraId="11174467"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200.1</w:t>
            </w:r>
          </w:p>
        </w:tc>
        <w:tc>
          <w:tcPr>
            <w:tcW w:w="1276" w:type="dxa"/>
            <w:noWrap/>
            <w:hideMark/>
          </w:tcPr>
          <w:p w14:paraId="44A7E6C7"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w:t>
            </w:r>
          </w:p>
        </w:tc>
        <w:tc>
          <w:tcPr>
            <w:tcW w:w="1418" w:type="dxa"/>
          </w:tcPr>
          <w:p w14:paraId="784D4571"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UVC3</w:t>
            </w:r>
          </w:p>
        </w:tc>
      </w:tr>
      <w:tr w:rsidR="0028204B" w:rsidRPr="007B2CE1" w14:paraId="0D221C62" w14:textId="77777777" w:rsidTr="00BB644F">
        <w:trPr>
          <w:trHeight w:val="300"/>
        </w:trPr>
        <w:tc>
          <w:tcPr>
            <w:tcW w:w="1080" w:type="dxa"/>
            <w:noWrap/>
            <w:hideMark/>
          </w:tcPr>
          <w:p w14:paraId="6348C122"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PE_4</w:t>
            </w:r>
          </w:p>
        </w:tc>
        <w:tc>
          <w:tcPr>
            <w:tcW w:w="1472" w:type="dxa"/>
            <w:noWrap/>
            <w:hideMark/>
          </w:tcPr>
          <w:p w14:paraId="79261CC0"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23.6</w:t>
            </w:r>
          </w:p>
        </w:tc>
        <w:tc>
          <w:tcPr>
            <w:tcW w:w="1559" w:type="dxa"/>
            <w:noWrap/>
            <w:hideMark/>
          </w:tcPr>
          <w:p w14:paraId="4629E511"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205.3</w:t>
            </w:r>
          </w:p>
        </w:tc>
        <w:tc>
          <w:tcPr>
            <w:tcW w:w="1276" w:type="dxa"/>
            <w:noWrap/>
            <w:hideMark/>
          </w:tcPr>
          <w:p w14:paraId="504585A1"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DC</w:t>
            </w:r>
          </w:p>
        </w:tc>
        <w:tc>
          <w:tcPr>
            <w:tcW w:w="1418" w:type="dxa"/>
          </w:tcPr>
          <w:p w14:paraId="16246422"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UVC3</w:t>
            </w:r>
          </w:p>
        </w:tc>
      </w:tr>
      <w:tr w:rsidR="0028204B" w:rsidRPr="007B2CE1" w14:paraId="0CBA2D0D" w14:textId="77777777" w:rsidTr="00BB644F">
        <w:trPr>
          <w:trHeight w:val="300"/>
        </w:trPr>
        <w:tc>
          <w:tcPr>
            <w:tcW w:w="1080" w:type="dxa"/>
            <w:noWrap/>
            <w:hideMark/>
          </w:tcPr>
          <w:p w14:paraId="70A79FA2"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PET_1</w:t>
            </w:r>
          </w:p>
        </w:tc>
        <w:tc>
          <w:tcPr>
            <w:tcW w:w="1472" w:type="dxa"/>
            <w:noWrap/>
            <w:hideMark/>
          </w:tcPr>
          <w:p w14:paraId="69A4075B"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31</w:t>
            </w:r>
          </w:p>
        </w:tc>
        <w:tc>
          <w:tcPr>
            <w:tcW w:w="1559" w:type="dxa"/>
            <w:noWrap/>
            <w:hideMark/>
          </w:tcPr>
          <w:p w14:paraId="54BB117D"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201.2</w:t>
            </w:r>
          </w:p>
        </w:tc>
        <w:tc>
          <w:tcPr>
            <w:tcW w:w="1276" w:type="dxa"/>
            <w:noWrap/>
            <w:hideMark/>
          </w:tcPr>
          <w:p w14:paraId="279AC3AD"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w:t>
            </w:r>
          </w:p>
        </w:tc>
        <w:tc>
          <w:tcPr>
            <w:tcW w:w="1418" w:type="dxa"/>
          </w:tcPr>
          <w:p w14:paraId="77518076"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UVC2</w:t>
            </w:r>
          </w:p>
        </w:tc>
      </w:tr>
      <w:tr w:rsidR="0028204B" w:rsidRPr="007B2CE1" w14:paraId="0169FCD6" w14:textId="77777777" w:rsidTr="00BB644F">
        <w:trPr>
          <w:trHeight w:val="300"/>
        </w:trPr>
        <w:tc>
          <w:tcPr>
            <w:tcW w:w="1080" w:type="dxa"/>
            <w:noWrap/>
            <w:hideMark/>
          </w:tcPr>
          <w:p w14:paraId="5D5EFAB4"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PET_1</w:t>
            </w:r>
          </w:p>
        </w:tc>
        <w:tc>
          <w:tcPr>
            <w:tcW w:w="1472" w:type="dxa"/>
            <w:noWrap/>
            <w:hideMark/>
          </w:tcPr>
          <w:p w14:paraId="1FC4A0F6"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30.5</w:t>
            </w:r>
          </w:p>
        </w:tc>
        <w:tc>
          <w:tcPr>
            <w:tcW w:w="1559" w:type="dxa"/>
            <w:noWrap/>
            <w:hideMark/>
          </w:tcPr>
          <w:p w14:paraId="555FC17A"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200.9</w:t>
            </w:r>
          </w:p>
        </w:tc>
        <w:tc>
          <w:tcPr>
            <w:tcW w:w="1276" w:type="dxa"/>
            <w:noWrap/>
            <w:hideMark/>
          </w:tcPr>
          <w:p w14:paraId="558E436E"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DC</w:t>
            </w:r>
          </w:p>
        </w:tc>
        <w:tc>
          <w:tcPr>
            <w:tcW w:w="1418" w:type="dxa"/>
          </w:tcPr>
          <w:p w14:paraId="4DBDB232"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UVC2</w:t>
            </w:r>
          </w:p>
        </w:tc>
      </w:tr>
      <w:tr w:rsidR="0028204B" w:rsidRPr="007B2CE1" w14:paraId="1581F5D4" w14:textId="77777777" w:rsidTr="00BB644F">
        <w:trPr>
          <w:trHeight w:val="300"/>
        </w:trPr>
        <w:tc>
          <w:tcPr>
            <w:tcW w:w="1080" w:type="dxa"/>
            <w:noWrap/>
            <w:hideMark/>
          </w:tcPr>
          <w:p w14:paraId="5A155AF5"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PET_2</w:t>
            </w:r>
          </w:p>
        </w:tc>
        <w:tc>
          <w:tcPr>
            <w:tcW w:w="1472" w:type="dxa"/>
            <w:noWrap/>
            <w:hideMark/>
          </w:tcPr>
          <w:p w14:paraId="004F5235"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30.6</w:t>
            </w:r>
          </w:p>
        </w:tc>
        <w:tc>
          <w:tcPr>
            <w:tcW w:w="1559" w:type="dxa"/>
            <w:noWrap/>
            <w:hideMark/>
          </w:tcPr>
          <w:p w14:paraId="7E117B17"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200.4</w:t>
            </w:r>
          </w:p>
        </w:tc>
        <w:tc>
          <w:tcPr>
            <w:tcW w:w="1276" w:type="dxa"/>
            <w:noWrap/>
            <w:hideMark/>
          </w:tcPr>
          <w:p w14:paraId="7FAC1844"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w:t>
            </w:r>
          </w:p>
        </w:tc>
        <w:tc>
          <w:tcPr>
            <w:tcW w:w="1418" w:type="dxa"/>
          </w:tcPr>
          <w:p w14:paraId="082BDB1F"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UVC2</w:t>
            </w:r>
          </w:p>
        </w:tc>
      </w:tr>
      <w:tr w:rsidR="0028204B" w:rsidRPr="007B2CE1" w14:paraId="363A56BE" w14:textId="77777777" w:rsidTr="00BB644F">
        <w:trPr>
          <w:trHeight w:val="300"/>
        </w:trPr>
        <w:tc>
          <w:tcPr>
            <w:tcW w:w="1080" w:type="dxa"/>
            <w:noWrap/>
            <w:hideMark/>
          </w:tcPr>
          <w:p w14:paraId="35C07705"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PET_2</w:t>
            </w:r>
          </w:p>
        </w:tc>
        <w:tc>
          <w:tcPr>
            <w:tcW w:w="1472" w:type="dxa"/>
            <w:noWrap/>
            <w:hideMark/>
          </w:tcPr>
          <w:p w14:paraId="33A2CCB7"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29.8</w:t>
            </w:r>
          </w:p>
        </w:tc>
        <w:tc>
          <w:tcPr>
            <w:tcW w:w="1559" w:type="dxa"/>
            <w:noWrap/>
            <w:hideMark/>
          </w:tcPr>
          <w:p w14:paraId="0794506A"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200.2</w:t>
            </w:r>
          </w:p>
        </w:tc>
        <w:tc>
          <w:tcPr>
            <w:tcW w:w="1276" w:type="dxa"/>
            <w:noWrap/>
            <w:hideMark/>
          </w:tcPr>
          <w:p w14:paraId="5FDDB45E"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DC</w:t>
            </w:r>
          </w:p>
        </w:tc>
        <w:tc>
          <w:tcPr>
            <w:tcW w:w="1418" w:type="dxa"/>
          </w:tcPr>
          <w:p w14:paraId="575D6D63"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UVC2</w:t>
            </w:r>
          </w:p>
        </w:tc>
      </w:tr>
      <w:tr w:rsidR="0028204B" w:rsidRPr="007B2CE1" w14:paraId="3E17311C" w14:textId="77777777" w:rsidTr="00BB644F">
        <w:trPr>
          <w:trHeight w:val="300"/>
        </w:trPr>
        <w:tc>
          <w:tcPr>
            <w:tcW w:w="1080" w:type="dxa"/>
            <w:noWrap/>
            <w:hideMark/>
          </w:tcPr>
          <w:p w14:paraId="771E8073"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PVC_1</w:t>
            </w:r>
          </w:p>
        </w:tc>
        <w:tc>
          <w:tcPr>
            <w:tcW w:w="1472" w:type="dxa"/>
            <w:noWrap/>
            <w:hideMark/>
          </w:tcPr>
          <w:p w14:paraId="6832BC47"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30.1</w:t>
            </w:r>
          </w:p>
        </w:tc>
        <w:tc>
          <w:tcPr>
            <w:tcW w:w="1559" w:type="dxa"/>
            <w:noWrap/>
            <w:hideMark/>
          </w:tcPr>
          <w:p w14:paraId="7D6DDD69"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200.2</w:t>
            </w:r>
          </w:p>
        </w:tc>
        <w:tc>
          <w:tcPr>
            <w:tcW w:w="1276" w:type="dxa"/>
            <w:noWrap/>
            <w:hideMark/>
          </w:tcPr>
          <w:p w14:paraId="7AD3FB61"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w:t>
            </w:r>
          </w:p>
        </w:tc>
        <w:tc>
          <w:tcPr>
            <w:tcW w:w="1418" w:type="dxa"/>
          </w:tcPr>
          <w:p w14:paraId="315FAA5B"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UVC1</w:t>
            </w:r>
          </w:p>
        </w:tc>
      </w:tr>
      <w:tr w:rsidR="0028204B" w:rsidRPr="007B2CE1" w14:paraId="1DC9D029" w14:textId="77777777" w:rsidTr="00BB644F">
        <w:trPr>
          <w:trHeight w:val="300"/>
        </w:trPr>
        <w:tc>
          <w:tcPr>
            <w:tcW w:w="1080" w:type="dxa"/>
            <w:noWrap/>
            <w:hideMark/>
          </w:tcPr>
          <w:p w14:paraId="1AC3E706"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PVC_1</w:t>
            </w:r>
          </w:p>
        </w:tc>
        <w:tc>
          <w:tcPr>
            <w:tcW w:w="1472" w:type="dxa"/>
            <w:noWrap/>
            <w:hideMark/>
          </w:tcPr>
          <w:p w14:paraId="6882A193"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25.6</w:t>
            </w:r>
          </w:p>
        </w:tc>
        <w:tc>
          <w:tcPr>
            <w:tcW w:w="1559" w:type="dxa"/>
            <w:noWrap/>
            <w:hideMark/>
          </w:tcPr>
          <w:p w14:paraId="767D80C8"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201.2</w:t>
            </w:r>
          </w:p>
        </w:tc>
        <w:tc>
          <w:tcPr>
            <w:tcW w:w="1276" w:type="dxa"/>
            <w:noWrap/>
            <w:hideMark/>
          </w:tcPr>
          <w:p w14:paraId="47C26693"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DC</w:t>
            </w:r>
          </w:p>
        </w:tc>
        <w:tc>
          <w:tcPr>
            <w:tcW w:w="1418" w:type="dxa"/>
          </w:tcPr>
          <w:p w14:paraId="07E6013A"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UVC1</w:t>
            </w:r>
          </w:p>
        </w:tc>
      </w:tr>
      <w:tr w:rsidR="0028204B" w:rsidRPr="007B2CE1" w14:paraId="60530D09" w14:textId="77777777" w:rsidTr="00BB644F">
        <w:trPr>
          <w:trHeight w:val="300"/>
        </w:trPr>
        <w:tc>
          <w:tcPr>
            <w:tcW w:w="1080" w:type="dxa"/>
            <w:noWrap/>
            <w:hideMark/>
          </w:tcPr>
          <w:p w14:paraId="62437050"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PVC_2</w:t>
            </w:r>
          </w:p>
        </w:tc>
        <w:tc>
          <w:tcPr>
            <w:tcW w:w="1472" w:type="dxa"/>
            <w:noWrap/>
            <w:hideMark/>
          </w:tcPr>
          <w:p w14:paraId="50388879"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30.3</w:t>
            </w:r>
          </w:p>
        </w:tc>
        <w:tc>
          <w:tcPr>
            <w:tcW w:w="1559" w:type="dxa"/>
            <w:noWrap/>
            <w:hideMark/>
          </w:tcPr>
          <w:p w14:paraId="23D87AE0"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200.0</w:t>
            </w:r>
          </w:p>
        </w:tc>
        <w:tc>
          <w:tcPr>
            <w:tcW w:w="1276" w:type="dxa"/>
            <w:noWrap/>
            <w:hideMark/>
          </w:tcPr>
          <w:p w14:paraId="42EEB2F3"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w:t>
            </w:r>
          </w:p>
        </w:tc>
        <w:tc>
          <w:tcPr>
            <w:tcW w:w="1418" w:type="dxa"/>
          </w:tcPr>
          <w:p w14:paraId="5A53EA5E"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UVC1</w:t>
            </w:r>
          </w:p>
        </w:tc>
      </w:tr>
      <w:tr w:rsidR="0028204B" w:rsidRPr="007B2CE1" w14:paraId="63DC91EE" w14:textId="77777777" w:rsidTr="00BB644F">
        <w:trPr>
          <w:trHeight w:val="300"/>
        </w:trPr>
        <w:tc>
          <w:tcPr>
            <w:tcW w:w="1080" w:type="dxa"/>
            <w:tcBorders>
              <w:bottom w:val="single" w:sz="4" w:space="0" w:color="auto"/>
            </w:tcBorders>
            <w:noWrap/>
            <w:hideMark/>
          </w:tcPr>
          <w:p w14:paraId="6D27F9E5"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PVC_2</w:t>
            </w:r>
          </w:p>
        </w:tc>
        <w:tc>
          <w:tcPr>
            <w:tcW w:w="1472" w:type="dxa"/>
            <w:tcBorders>
              <w:bottom w:val="single" w:sz="4" w:space="0" w:color="auto"/>
            </w:tcBorders>
            <w:noWrap/>
            <w:hideMark/>
          </w:tcPr>
          <w:p w14:paraId="31AAA80D"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30.4</w:t>
            </w:r>
          </w:p>
        </w:tc>
        <w:tc>
          <w:tcPr>
            <w:tcW w:w="1559" w:type="dxa"/>
            <w:tcBorders>
              <w:bottom w:val="single" w:sz="4" w:space="0" w:color="auto"/>
            </w:tcBorders>
            <w:noWrap/>
            <w:hideMark/>
          </w:tcPr>
          <w:p w14:paraId="7AFDB6E3"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201.5</w:t>
            </w:r>
          </w:p>
        </w:tc>
        <w:tc>
          <w:tcPr>
            <w:tcW w:w="1276" w:type="dxa"/>
            <w:tcBorders>
              <w:bottom w:val="single" w:sz="4" w:space="0" w:color="auto"/>
            </w:tcBorders>
            <w:noWrap/>
            <w:hideMark/>
          </w:tcPr>
          <w:p w14:paraId="725E1D32"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DC</w:t>
            </w:r>
          </w:p>
        </w:tc>
        <w:tc>
          <w:tcPr>
            <w:tcW w:w="1418" w:type="dxa"/>
            <w:tcBorders>
              <w:bottom w:val="single" w:sz="4" w:space="0" w:color="auto"/>
            </w:tcBorders>
          </w:tcPr>
          <w:p w14:paraId="1F92F563" w14:textId="77777777" w:rsidR="0028204B" w:rsidRPr="007B2CE1" w:rsidRDefault="0028204B" w:rsidP="0092303A">
            <w:pPr>
              <w:rPr>
                <w:rFonts w:ascii="Arial" w:eastAsia="Times New Roman" w:hAnsi="Arial" w:cs="Arial"/>
                <w:color w:val="000000"/>
                <w:lang w:eastAsia="de-DE"/>
              </w:rPr>
            </w:pPr>
            <w:r w:rsidRPr="007B2CE1">
              <w:rPr>
                <w:rFonts w:ascii="Arial" w:eastAsia="Times New Roman" w:hAnsi="Arial" w:cs="Arial"/>
                <w:color w:val="000000"/>
                <w:lang w:eastAsia="de-DE"/>
              </w:rPr>
              <w:t>UVC1</w:t>
            </w:r>
          </w:p>
        </w:tc>
      </w:tr>
    </w:tbl>
    <w:p w14:paraId="7FD99FD5" w14:textId="750DE1E5" w:rsidR="00880FF7" w:rsidRPr="007B2CE1" w:rsidRDefault="00880FF7" w:rsidP="00420413">
      <w:pPr>
        <w:rPr>
          <w:rFonts w:ascii="Arial" w:hAnsi="Arial" w:cs="Arial"/>
        </w:rPr>
      </w:pPr>
    </w:p>
    <w:p w14:paraId="30A00614" w14:textId="77777777" w:rsidR="00880FF7" w:rsidRPr="007B2CE1" w:rsidRDefault="00880FF7">
      <w:pPr>
        <w:rPr>
          <w:rFonts w:ascii="Arial" w:hAnsi="Arial" w:cs="Arial"/>
        </w:rPr>
      </w:pPr>
      <w:r w:rsidRPr="007B2CE1">
        <w:rPr>
          <w:rFonts w:ascii="Arial" w:hAnsi="Arial" w:cs="Arial"/>
        </w:rPr>
        <w:br w:type="page"/>
      </w:r>
    </w:p>
    <w:p w14:paraId="1439679F" w14:textId="684FDB72" w:rsidR="00880FF7" w:rsidRPr="007B2CE1" w:rsidRDefault="00880FF7" w:rsidP="00880FF7">
      <w:pPr>
        <w:pStyle w:val="Caption"/>
        <w:keepNext/>
        <w:rPr>
          <w:rFonts w:ascii="Arial" w:hAnsi="Arial" w:cs="Arial"/>
        </w:rPr>
      </w:pPr>
      <w:bookmarkStart w:id="49" w:name="_Toc161066683"/>
      <w:r w:rsidRPr="007B2CE1">
        <w:rPr>
          <w:rFonts w:ascii="Arial" w:hAnsi="Arial" w:cs="Arial"/>
        </w:rPr>
        <w:lastRenderedPageBreak/>
        <w:t>Table S</w:t>
      </w:r>
      <w:r w:rsidRPr="007B2CE1">
        <w:rPr>
          <w:rFonts w:ascii="Arial" w:hAnsi="Arial" w:cs="Arial"/>
          <w:noProof/>
        </w:rPr>
        <w:fldChar w:fldCharType="begin"/>
      </w:r>
      <w:r w:rsidRPr="007B2CE1">
        <w:rPr>
          <w:rFonts w:ascii="Arial" w:hAnsi="Arial" w:cs="Arial"/>
          <w:noProof/>
        </w:rPr>
        <w:instrText xml:space="preserve"> SEQ Table \* ARABIC </w:instrText>
      </w:r>
      <w:r w:rsidRPr="007B2CE1">
        <w:rPr>
          <w:rFonts w:ascii="Arial" w:hAnsi="Arial" w:cs="Arial"/>
          <w:noProof/>
        </w:rPr>
        <w:fldChar w:fldCharType="separate"/>
      </w:r>
      <w:r w:rsidR="001A2654" w:rsidRPr="007B2CE1">
        <w:rPr>
          <w:rFonts w:ascii="Arial" w:hAnsi="Arial" w:cs="Arial"/>
          <w:noProof/>
        </w:rPr>
        <w:t>2</w:t>
      </w:r>
      <w:r w:rsidRPr="007B2CE1">
        <w:rPr>
          <w:rFonts w:ascii="Arial" w:hAnsi="Arial" w:cs="Arial"/>
          <w:noProof/>
        </w:rPr>
        <w:fldChar w:fldCharType="end"/>
      </w:r>
      <w:r w:rsidRPr="007B2CE1">
        <w:rPr>
          <w:rFonts w:ascii="Arial" w:hAnsi="Arial" w:cs="Arial"/>
        </w:rPr>
        <w:t xml:space="preserve">: Parameters for </w:t>
      </w:r>
      <w:proofErr w:type="spellStart"/>
      <w:r w:rsidRPr="007B2CE1">
        <w:rPr>
          <w:rFonts w:ascii="Arial" w:hAnsi="Arial" w:cs="Arial"/>
        </w:rPr>
        <w:t>mzMine</w:t>
      </w:r>
      <w:proofErr w:type="spellEnd"/>
      <w:r w:rsidRPr="007B2CE1">
        <w:rPr>
          <w:rFonts w:ascii="Arial" w:hAnsi="Arial" w:cs="Arial"/>
        </w:rPr>
        <w:t>.</w:t>
      </w:r>
      <w:bookmarkEnd w:id="49"/>
    </w:p>
    <w:tbl>
      <w:tblPr>
        <w:tblW w:w="0" w:type="auto"/>
        <w:tblCellMar>
          <w:top w:w="15" w:type="dxa"/>
          <w:left w:w="15" w:type="dxa"/>
          <w:bottom w:w="15" w:type="dxa"/>
          <w:right w:w="15" w:type="dxa"/>
        </w:tblCellMar>
        <w:tblLook w:val="04A0" w:firstRow="1" w:lastRow="0" w:firstColumn="1" w:lastColumn="0" w:noHBand="0" w:noVBand="1"/>
      </w:tblPr>
      <w:tblGrid>
        <w:gridCol w:w="3007"/>
        <w:gridCol w:w="3022"/>
        <w:gridCol w:w="2997"/>
      </w:tblGrid>
      <w:tr w:rsidR="00880FF7" w:rsidRPr="007B2CE1" w14:paraId="36265E9C" w14:textId="77777777" w:rsidTr="0092303A">
        <w:trPr>
          <w:trHeight w:val="300"/>
        </w:trPr>
        <w:tc>
          <w:tcPr>
            <w:tcW w:w="3017" w:type="dxa"/>
            <w:tcBorders>
              <w:top w:val="single" w:sz="4" w:space="0" w:color="auto"/>
              <w:bottom w:val="single" w:sz="4" w:space="0" w:color="auto"/>
            </w:tcBorders>
            <w:shd w:val="clear" w:color="auto" w:fill="auto"/>
            <w:hideMark/>
          </w:tcPr>
          <w:p w14:paraId="7948F23C"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Step</w:t>
            </w:r>
            <w:r w:rsidRPr="007B2CE1">
              <w:rPr>
                <w:rFonts w:ascii="Arial" w:eastAsia="Times New Roman" w:hAnsi="Arial" w:cs="Arial"/>
                <w:lang w:eastAsia="de-DE"/>
              </w:rPr>
              <w:t> </w:t>
            </w:r>
          </w:p>
        </w:tc>
        <w:tc>
          <w:tcPr>
            <w:tcW w:w="3031" w:type="dxa"/>
            <w:tcBorders>
              <w:top w:val="single" w:sz="4" w:space="0" w:color="auto"/>
              <w:bottom w:val="single" w:sz="4" w:space="0" w:color="auto"/>
            </w:tcBorders>
            <w:shd w:val="clear" w:color="auto" w:fill="auto"/>
            <w:hideMark/>
          </w:tcPr>
          <w:p w14:paraId="7E81DFD4"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Parameters</w:t>
            </w:r>
            <w:r w:rsidRPr="007B2CE1">
              <w:rPr>
                <w:rFonts w:ascii="Arial" w:eastAsia="Times New Roman" w:hAnsi="Arial" w:cs="Arial"/>
                <w:lang w:eastAsia="de-DE"/>
              </w:rPr>
              <w:t> </w:t>
            </w:r>
          </w:p>
        </w:tc>
        <w:tc>
          <w:tcPr>
            <w:tcW w:w="3008" w:type="dxa"/>
            <w:tcBorders>
              <w:top w:val="single" w:sz="4" w:space="0" w:color="auto"/>
              <w:bottom w:val="single" w:sz="4" w:space="0" w:color="auto"/>
            </w:tcBorders>
            <w:shd w:val="clear" w:color="auto" w:fill="auto"/>
            <w:hideMark/>
          </w:tcPr>
          <w:p w14:paraId="5774C7EB"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Settings</w:t>
            </w:r>
            <w:r w:rsidRPr="007B2CE1">
              <w:rPr>
                <w:rFonts w:ascii="Arial" w:eastAsia="Times New Roman" w:hAnsi="Arial" w:cs="Arial"/>
                <w:lang w:eastAsia="de-DE"/>
              </w:rPr>
              <w:t> </w:t>
            </w:r>
          </w:p>
        </w:tc>
      </w:tr>
      <w:tr w:rsidR="00880FF7" w:rsidRPr="007B2CE1" w14:paraId="4A9D1C76" w14:textId="77777777" w:rsidTr="0092303A">
        <w:trPr>
          <w:trHeight w:val="300"/>
        </w:trPr>
        <w:tc>
          <w:tcPr>
            <w:tcW w:w="3017" w:type="dxa"/>
            <w:tcBorders>
              <w:top w:val="single" w:sz="4" w:space="0" w:color="auto"/>
            </w:tcBorders>
            <w:shd w:val="clear" w:color="auto" w:fill="auto"/>
            <w:hideMark/>
          </w:tcPr>
          <w:p w14:paraId="79085126"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Mass detection</w:t>
            </w:r>
            <w:r w:rsidRPr="007B2CE1">
              <w:rPr>
                <w:rFonts w:ascii="Arial" w:eastAsia="Times New Roman" w:hAnsi="Arial" w:cs="Arial"/>
                <w:lang w:eastAsia="de-DE"/>
              </w:rPr>
              <w:t> </w:t>
            </w:r>
          </w:p>
        </w:tc>
        <w:tc>
          <w:tcPr>
            <w:tcW w:w="3031" w:type="dxa"/>
            <w:tcBorders>
              <w:top w:val="single" w:sz="4" w:space="0" w:color="auto"/>
            </w:tcBorders>
            <w:shd w:val="clear" w:color="auto" w:fill="auto"/>
            <w:hideMark/>
          </w:tcPr>
          <w:p w14:paraId="4F1E0DC6"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Auto</w:t>
            </w:r>
            <w:r w:rsidRPr="007B2CE1">
              <w:rPr>
                <w:rFonts w:ascii="Arial" w:eastAsia="Times New Roman" w:hAnsi="Arial" w:cs="Arial"/>
                <w:lang w:eastAsia="de-DE"/>
              </w:rPr>
              <w:t> </w:t>
            </w:r>
          </w:p>
        </w:tc>
        <w:tc>
          <w:tcPr>
            <w:tcW w:w="3008" w:type="dxa"/>
            <w:tcBorders>
              <w:top w:val="single" w:sz="4" w:space="0" w:color="auto"/>
            </w:tcBorders>
            <w:shd w:val="clear" w:color="auto" w:fill="auto"/>
            <w:hideMark/>
          </w:tcPr>
          <w:p w14:paraId="4F033F38"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eastAsia="de-DE"/>
              </w:rPr>
              <w:t> </w:t>
            </w:r>
          </w:p>
        </w:tc>
      </w:tr>
      <w:tr w:rsidR="00880FF7" w:rsidRPr="007B2CE1" w14:paraId="46C14EE6" w14:textId="77777777" w:rsidTr="0092303A">
        <w:trPr>
          <w:trHeight w:val="300"/>
        </w:trPr>
        <w:tc>
          <w:tcPr>
            <w:tcW w:w="3017" w:type="dxa"/>
            <w:vMerge w:val="restart"/>
            <w:shd w:val="clear" w:color="auto" w:fill="auto"/>
            <w:vAlign w:val="center"/>
            <w:hideMark/>
          </w:tcPr>
          <w:p w14:paraId="0859C1E6" w14:textId="77777777" w:rsidR="00880FF7" w:rsidRPr="007B2CE1" w:rsidRDefault="00880FF7" w:rsidP="0092303A">
            <w:pPr>
              <w:spacing w:before="100" w:beforeAutospacing="1" w:after="100" w:afterAutospacing="1" w:line="240" w:lineRule="auto"/>
              <w:jc w:val="center"/>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ADAP Chromatogram Builder</w:t>
            </w:r>
          </w:p>
        </w:tc>
        <w:tc>
          <w:tcPr>
            <w:tcW w:w="3031" w:type="dxa"/>
            <w:shd w:val="clear" w:color="auto" w:fill="auto"/>
            <w:hideMark/>
          </w:tcPr>
          <w:p w14:paraId="76703EA9"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Scan filters</w:t>
            </w:r>
            <w:r w:rsidRPr="007B2CE1">
              <w:rPr>
                <w:rFonts w:ascii="Arial" w:eastAsia="Times New Roman" w:hAnsi="Arial" w:cs="Arial"/>
                <w:lang w:eastAsia="de-DE"/>
              </w:rPr>
              <w:t> </w:t>
            </w:r>
          </w:p>
        </w:tc>
        <w:tc>
          <w:tcPr>
            <w:tcW w:w="3008" w:type="dxa"/>
            <w:shd w:val="clear" w:color="auto" w:fill="auto"/>
            <w:hideMark/>
          </w:tcPr>
          <w:p w14:paraId="4B20DCBE"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MS1</w:t>
            </w:r>
            <w:r w:rsidRPr="007B2CE1">
              <w:rPr>
                <w:rFonts w:ascii="Arial" w:eastAsia="Times New Roman" w:hAnsi="Arial" w:cs="Arial"/>
                <w:lang w:eastAsia="de-DE"/>
              </w:rPr>
              <w:t> </w:t>
            </w:r>
          </w:p>
        </w:tc>
      </w:tr>
      <w:tr w:rsidR="00880FF7" w:rsidRPr="007B2CE1" w14:paraId="30F7A0A1" w14:textId="77777777" w:rsidTr="0092303A">
        <w:trPr>
          <w:trHeight w:val="300"/>
        </w:trPr>
        <w:tc>
          <w:tcPr>
            <w:tcW w:w="3017" w:type="dxa"/>
            <w:vMerge/>
            <w:shd w:val="clear" w:color="auto" w:fill="auto"/>
            <w:hideMark/>
          </w:tcPr>
          <w:p w14:paraId="00FC9A49"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shd w:val="clear" w:color="auto" w:fill="auto"/>
            <w:hideMark/>
          </w:tcPr>
          <w:p w14:paraId="75B795FE"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Minimum consecutive scans</w:t>
            </w:r>
            <w:r w:rsidRPr="007B2CE1">
              <w:rPr>
                <w:rFonts w:ascii="Arial" w:eastAsia="Times New Roman" w:hAnsi="Arial" w:cs="Arial"/>
                <w:lang w:eastAsia="de-DE"/>
              </w:rPr>
              <w:t> </w:t>
            </w:r>
          </w:p>
        </w:tc>
        <w:tc>
          <w:tcPr>
            <w:tcW w:w="3008" w:type="dxa"/>
            <w:shd w:val="clear" w:color="auto" w:fill="auto"/>
            <w:hideMark/>
          </w:tcPr>
          <w:p w14:paraId="1F022950"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4</w:t>
            </w:r>
            <w:r w:rsidRPr="007B2CE1">
              <w:rPr>
                <w:rFonts w:ascii="Arial" w:eastAsia="Times New Roman" w:hAnsi="Arial" w:cs="Arial"/>
                <w:lang w:eastAsia="de-DE"/>
              </w:rPr>
              <w:t> </w:t>
            </w:r>
          </w:p>
        </w:tc>
      </w:tr>
      <w:tr w:rsidR="00880FF7" w:rsidRPr="007B2CE1" w14:paraId="72DC6CF8" w14:textId="77777777" w:rsidTr="0092303A">
        <w:trPr>
          <w:trHeight w:val="300"/>
        </w:trPr>
        <w:tc>
          <w:tcPr>
            <w:tcW w:w="3017" w:type="dxa"/>
            <w:vMerge/>
            <w:shd w:val="clear" w:color="auto" w:fill="auto"/>
            <w:hideMark/>
          </w:tcPr>
          <w:p w14:paraId="26DA0DAB"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shd w:val="clear" w:color="auto" w:fill="auto"/>
            <w:hideMark/>
          </w:tcPr>
          <w:p w14:paraId="164B100C"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lang w:val="en-US" w:eastAsia="de-DE"/>
              </w:rPr>
            </w:pPr>
            <w:r w:rsidRPr="007B2CE1">
              <w:rPr>
                <w:rFonts w:ascii="Arial" w:eastAsia="Times New Roman" w:hAnsi="Arial" w:cs="Arial"/>
                <w:lang w:val="en-US" w:eastAsia="de-DE"/>
              </w:rPr>
              <w:t>Minimum intensity for consecutive scans </w:t>
            </w:r>
          </w:p>
        </w:tc>
        <w:tc>
          <w:tcPr>
            <w:tcW w:w="3008" w:type="dxa"/>
            <w:shd w:val="clear" w:color="auto" w:fill="auto"/>
            <w:hideMark/>
          </w:tcPr>
          <w:p w14:paraId="58B3554E"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lang w:val="en-US" w:eastAsia="de-DE"/>
              </w:rPr>
            </w:pPr>
            <w:r w:rsidRPr="007B2CE1">
              <w:rPr>
                <w:rFonts w:ascii="Arial" w:eastAsia="Times New Roman" w:hAnsi="Arial" w:cs="Arial"/>
                <w:lang w:val="en-US" w:eastAsia="de-DE"/>
              </w:rPr>
              <w:t>5.0 E4 </w:t>
            </w:r>
          </w:p>
        </w:tc>
      </w:tr>
      <w:tr w:rsidR="00880FF7" w:rsidRPr="007B2CE1" w14:paraId="4527EE39" w14:textId="77777777" w:rsidTr="0092303A">
        <w:trPr>
          <w:trHeight w:val="300"/>
        </w:trPr>
        <w:tc>
          <w:tcPr>
            <w:tcW w:w="3017" w:type="dxa"/>
            <w:vMerge/>
            <w:shd w:val="clear" w:color="auto" w:fill="auto"/>
            <w:hideMark/>
          </w:tcPr>
          <w:p w14:paraId="0D4D6BEB"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shd w:val="clear" w:color="auto" w:fill="auto"/>
            <w:hideMark/>
          </w:tcPr>
          <w:p w14:paraId="6E31D9BB"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lang w:val="en-US" w:eastAsia="de-DE"/>
              </w:rPr>
            </w:pPr>
            <w:r w:rsidRPr="007B2CE1">
              <w:rPr>
                <w:rFonts w:ascii="Arial" w:eastAsia="Times New Roman" w:hAnsi="Arial" w:cs="Arial"/>
                <w:lang w:val="en-US" w:eastAsia="de-DE"/>
              </w:rPr>
              <w:t>Min absolute height </w:t>
            </w:r>
          </w:p>
        </w:tc>
        <w:tc>
          <w:tcPr>
            <w:tcW w:w="3008" w:type="dxa"/>
            <w:shd w:val="clear" w:color="auto" w:fill="auto"/>
            <w:hideMark/>
          </w:tcPr>
          <w:p w14:paraId="097AC017"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lang w:val="en-US" w:eastAsia="de-DE"/>
              </w:rPr>
            </w:pPr>
            <w:r w:rsidRPr="007B2CE1">
              <w:rPr>
                <w:rFonts w:ascii="Arial" w:eastAsia="Times New Roman" w:hAnsi="Arial" w:cs="Arial"/>
                <w:lang w:val="en-US" w:eastAsia="de-DE"/>
              </w:rPr>
              <w:t>1.0E5 </w:t>
            </w:r>
          </w:p>
        </w:tc>
      </w:tr>
      <w:tr w:rsidR="00880FF7" w:rsidRPr="007B2CE1" w14:paraId="26DDDDEC" w14:textId="77777777" w:rsidTr="0092303A">
        <w:trPr>
          <w:trHeight w:val="300"/>
        </w:trPr>
        <w:tc>
          <w:tcPr>
            <w:tcW w:w="3017" w:type="dxa"/>
            <w:vMerge/>
            <w:shd w:val="clear" w:color="auto" w:fill="auto"/>
            <w:hideMark/>
          </w:tcPr>
          <w:p w14:paraId="27EADF91"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shd w:val="clear" w:color="auto" w:fill="auto"/>
            <w:hideMark/>
          </w:tcPr>
          <w:p w14:paraId="788F95DD"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i/>
                <w:iCs/>
                <w:lang w:val="en-US" w:eastAsia="de-DE"/>
              </w:rPr>
              <w:t>m</w:t>
            </w:r>
            <w:r w:rsidRPr="007B2CE1">
              <w:rPr>
                <w:rFonts w:ascii="Arial" w:eastAsia="Times New Roman" w:hAnsi="Arial" w:cs="Arial"/>
                <w:lang w:val="en-US" w:eastAsia="de-DE"/>
              </w:rPr>
              <w:t>/</w:t>
            </w:r>
            <w:r w:rsidRPr="007B2CE1">
              <w:rPr>
                <w:rFonts w:ascii="Arial" w:eastAsia="Times New Roman" w:hAnsi="Arial" w:cs="Arial"/>
                <w:i/>
                <w:iCs/>
                <w:lang w:val="en-US" w:eastAsia="de-DE"/>
              </w:rPr>
              <w:t>z</w:t>
            </w:r>
            <w:r w:rsidRPr="007B2CE1">
              <w:rPr>
                <w:rFonts w:ascii="Arial" w:eastAsia="Times New Roman" w:hAnsi="Arial" w:cs="Arial"/>
                <w:lang w:val="en-US" w:eastAsia="de-DE"/>
              </w:rPr>
              <w:t xml:space="preserve"> tolerance</w:t>
            </w:r>
            <w:r w:rsidRPr="007B2CE1">
              <w:rPr>
                <w:rFonts w:ascii="Arial" w:eastAsia="Times New Roman" w:hAnsi="Arial" w:cs="Arial"/>
                <w:lang w:eastAsia="de-DE"/>
              </w:rPr>
              <w:t> </w:t>
            </w:r>
          </w:p>
        </w:tc>
        <w:tc>
          <w:tcPr>
            <w:tcW w:w="3008" w:type="dxa"/>
            <w:shd w:val="clear" w:color="auto" w:fill="auto"/>
            <w:hideMark/>
          </w:tcPr>
          <w:p w14:paraId="37753779"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0.002 </w:t>
            </w:r>
            <w:r w:rsidRPr="007B2CE1">
              <w:rPr>
                <w:rFonts w:ascii="Arial" w:eastAsia="Times New Roman" w:hAnsi="Arial" w:cs="Arial"/>
                <w:i/>
                <w:iCs/>
                <w:lang w:val="en-US" w:eastAsia="de-DE"/>
              </w:rPr>
              <w:t>m</w:t>
            </w:r>
            <w:r w:rsidRPr="007B2CE1">
              <w:rPr>
                <w:rFonts w:ascii="Arial" w:eastAsia="Times New Roman" w:hAnsi="Arial" w:cs="Arial"/>
                <w:lang w:val="en-US" w:eastAsia="de-DE"/>
              </w:rPr>
              <w:t>/</w:t>
            </w:r>
            <w:r w:rsidRPr="007B2CE1">
              <w:rPr>
                <w:rFonts w:ascii="Arial" w:eastAsia="Times New Roman" w:hAnsi="Arial" w:cs="Arial"/>
                <w:i/>
                <w:iCs/>
                <w:lang w:val="en-US" w:eastAsia="de-DE"/>
              </w:rPr>
              <w:t>z</w:t>
            </w:r>
            <w:r w:rsidRPr="007B2CE1">
              <w:rPr>
                <w:rFonts w:ascii="Arial" w:eastAsia="Times New Roman" w:hAnsi="Arial" w:cs="Arial"/>
                <w:lang w:val="en-US" w:eastAsia="de-DE"/>
              </w:rPr>
              <w:t xml:space="preserve"> or 10.0000 ppm</w:t>
            </w:r>
            <w:r w:rsidRPr="007B2CE1">
              <w:rPr>
                <w:rFonts w:ascii="Arial" w:eastAsia="Times New Roman" w:hAnsi="Arial" w:cs="Arial"/>
                <w:lang w:eastAsia="de-DE"/>
              </w:rPr>
              <w:t> </w:t>
            </w:r>
          </w:p>
        </w:tc>
      </w:tr>
      <w:tr w:rsidR="00880FF7" w:rsidRPr="007B2CE1" w14:paraId="70BF90BC" w14:textId="77777777" w:rsidTr="0092303A">
        <w:trPr>
          <w:trHeight w:val="300"/>
        </w:trPr>
        <w:tc>
          <w:tcPr>
            <w:tcW w:w="3017" w:type="dxa"/>
            <w:shd w:val="clear" w:color="auto" w:fill="auto"/>
            <w:hideMark/>
          </w:tcPr>
          <w:p w14:paraId="28976CB8"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roofErr w:type="spellStart"/>
            <w:r w:rsidRPr="007B2CE1">
              <w:rPr>
                <w:rFonts w:ascii="Arial" w:eastAsia="Times New Roman" w:hAnsi="Arial" w:cs="Arial"/>
                <w:lang w:val="en-US" w:eastAsia="de-DE"/>
              </w:rPr>
              <w:t>Smooting</w:t>
            </w:r>
            <w:proofErr w:type="spellEnd"/>
            <w:r w:rsidRPr="007B2CE1">
              <w:rPr>
                <w:rFonts w:ascii="Arial" w:eastAsia="Times New Roman" w:hAnsi="Arial" w:cs="Arial"/>
                <w:lang w:eastAsia="de-DE"/>
              </w:rPr>
              <w:t> </w:t>
            </w:r>
          </w:p>
        </w:tc>
        <w:tc>
          <w:tcPr>
            <w:tcW w:w="3031" w:type="dxa"/>
            <w:shd w:val="clear" w:color="auto" w:fill="auto"/>
            <w:hideMark/>
          </w:tcPr>
          <w:p w14:paraId="54329B58"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Algorithm</w:t>
            </w:r>
            <w:r w:rsidRPr="007B2CE1">
              <w:rPr>
                <w:rFonts w:ascii="Arial" w:eastAsia="Times New Roman" w:hAnsi="Arial" w:cs="Arial"/>
                <w:lang w:eastAsia="de-DE"/>
              </w:rPr>
              <w:t> </w:t>
            </w:r>
          </w:p>
        </w:tc>
        <w:tc>
          <w:tcPr>
            <w:tcW w:w="3008" w:type="dxa"/>
            <w:shd w:val="clear" w:color="auto" w:fill="auto"/>
            <w:hideMark/>
          </w:tcPr>
          <w:p w14:paraId="347E6A44"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roofErr w:type="spellStart"/>
            <w:r w:rsidRPr="007B2CE1">
              <w:rPr>
                <w:rFonts w:ascii="Arial" w:eastAsia="Times New Roman" w:hAnsi="Arial" w:cs="Arial"/>
                <w:lang w:val="en-US" w:eastAsia="de-DE"/>
              </w:rPr>
              <w:t>Savitzky</w:t>
            </w:r>
            <w:proofErr w:type="spellEnd"/>
            <w:r w:rsidRPr="007B2CE1">
              <w:rPr>
                <w:rFonts w:ascii="Arial" w:eastAsia="Times New Roman" w:hAnsi="Arial" w:cs="Arial"/>
                <w:lang w:val="en-US" w:eastAsia="de-DE"/>
              </w:rPr>
              <w:t xml:space="preserve"> Golay</w:t>
            </w:r>
            <w:r w:rsidRPr="007B2CE1">
              <w:rPr>
                <w:rFonts w:ascii="Arial" w:eastAsia="Times New Roman" w:hAnsi="Arial" w:cs="Arial"/>
                <w:lang w:eastAsia="de-DE"/>
              </w:rPr>
              <w:t> </w:t>
            </w:r>
          </w:p>
        </w:tc>
      </w:tr>
      <w:tr w:rsidR="00880FF7" w:rsidRPr="007B2CE1" w14:paraId="6CDDF802" w14:textId="77777777" w:rsidTr="0092303A">
        <w:trPr>
          <w:trHeight w:val="300"/>
        </w:trPr>
        <w:tc>
          <w:tcPr>
            <w:tcW w:w="3017" w:type="dxa"/>
            <w:vMerge w:val="restart"/>
            <w:shd w:val="clear" w:color="auto" w:fill="auto"/>
            <w:vAlign w:val="center"/>
            <w:hideMark/>
          </w:tcPr>
          <w:p w14:paraId="00207AEE" w14:textId="77777777" w:rsidR="00880FF7" w:rsidRPr="007B2CE1" w:rsidRDefault="00880FF7" w:rsidP="0092303A">
            <w:pPr>
              <w:spacing w:before="100" w:beforeAutospacing="1" w:after="100" w:afterAutospacing="1" w:line="240" w:lineRule="auto"/>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Local minimum feature resolver</w:t>
            </w:r>
          </w:p>
        </w:tc>
        <w:tc>
          <w:tcPr>
            <w:tcW w:w="3031" w:type="dxa"/>
            <w:shd w:val="clear" w:color="auto" w:fill="auto"/>
            <w:hideMark/>
          </w:tcPr>
          <w:p w14:paraId="7918AF09"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Chromatographic threshold</w:t>
            </w:r>
            <w:r w:rsidRPr="007B2CE1">
              <w:rPr>
                <w:rFonts w:ascii="Arial" w:eastAsia="Times New Roman" w:hAnsi="Arial" w:cs="Arial"/>
                <w:lang w:eastAsia="de-DE"/>
              </w:rPr>
              <w:t> </w:t>
            </w:r>
          </w:p>
        </w:tc>
        <w:tc>
          <w:tcPr>
            <w:tcW w:w="3008" w:type="dxa"/>
            <w:shd w:val="clear" w:color="auto" w:fill="auto"/>
            <w:hideMark/>
          </w:tcPr>
          <w:p w14:paraId="42FFDD6A"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90.0%</w:t>
            </w:r>
            <w:r w:rsidRPr="007B2CE1">
              <w:rPr>
                <w:rFonts w:ascii="Arial" w:eastAsia="Times New Roman" w:hAnsi="Arial" w:cs="Arial"/>
                <w:lang w:eastAsia="de-DE"/>
              </w:rPr>
              <w:t> </w:t>
            </w:r>
          </w:p>
        </w:tc>
      </w:tr>
      <w:tr w:rsidR="00880FF7" w:rsidRPr="007B2CE1" w14:paraId="6987BBAD" w14:textId="77777777" w:rsidTr="0092303A">
        <w:trPr>
          <w:trHeight w:val="300"/>
        </w:trPr>
        <w:tc>
          <w:tcPr>
            <w:tcW w:w="3017" w:type="dxa"/>
            <w:vMerge/>
            <w:shd w:val="clear" w:color="auto" w:fill="auto"/>
            <w:hideMark/>
          </w:tcPr>
          <w:p w14:paraId="1A805007"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shd w:val="clear" w:color="auto" w:fill="auto"/>
            <w:hideMark/>
          </w:tcPr>
          <w:p w14:paraId="478AD437"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Search minimum in RT range </w:t>
            </w:r>
          </w:p>
        </w:tc>
        <w:tc>
          <w:tcPr>
            <w:tcW w:w="3008" w:type="dxa"/>
            <w:shd w:val="clear" w:color="auto" w:fill="auto"/>
            <w:hideMark/>
          </w:tcPr>
          <w:p w14:paraId="33FC1A3F"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0.100</w:t>
            </w:r>
            <w:r w:rsidRPr="007B2CE1">
              <w:rPr>
                <w:rFonts w:ascii="Arial" w:eastAsia="Times New Roman" w:hAnsi="Arial" w:cs="Arial"/>
                <w:lang w:eastAsia="de-DE"/>
              </w:rPr>
              <w:t> </w:t>
            </w:r>
          </w:p>
        </w:tc>
      </w:tr>
      <w:tr w:rsidR="00880FF7" w:rsidRPr="007B2CE1" w14:paraId="6C887162" w14:textId="77777777" w:rsidTr="0092303A">
        <w:trPr>
          <w:trHeight w:val="300"/>
        </w:trPr>
        <w:tc>
          <w:tcPr>
            <w:tcW w:w="3017" w:type="dxa"/>
            <w:vMerge/>
            <w:shd w:val="clear" w:color="auto" w:fill="auto"/>
            <w:hideMark/>
          </w:tcPr>
          <w:p w14:paraId="1737BF0E"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shd w:val="clear" w:color="auto" w:fill="auto"/>
            <w:hideMark/>
          </w:tcPr>
          <w:p w14:paraId="50A94271"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val="en-US" w:eastAsia="de-DE"/>
              </w:rPr>
            </w:pPr>
            <w:r w:rsidRPr="007B2CE1">
              <w:rPr>
                <w:rFonts w:ascii="Arial" w:eastAsia="Times New Roman" w:hAnsi="Arial" w:cs="Arial"/>
                <w:lang w:val="en-US" w:eastAsia="de-DE"/>
              </w:rPr>
              <w:t>Minimum relative height</w:t>
            </w:r>
            <w:r w:rsidRPr="007B2CE1">
              <w:rPr>
                <w:rFonts w:ascii="Arial" w:eastAsia="Times New Roman" w:hAnsi="Arial" w:cs="Arial"/>
                <w:lang w:eastAsia="de-DE"/>
              </w:rPr>
              <w:t> </w:t>
            </w:r>
          </w:p>
        </w:tc>
        <w:tc>
          <w:tcPr>
            <w:tcW w:w="3008" w:type="dxa"/>
            <w:shd w:val="clear" w:color="auto" w:fill="auto"/>
            <w:hideMark/>
          </w:tcPr>
          <w:p w14:paraId="0866D866"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0.0%</w:t>
            </w:r>
            <w:r w:rsidRPr="007B2CE1">
              <w:rPr>
                <w:rFonts w:ascii="Arial" w:eastAsia="Times New Roman" w:hAnsi="Arial" w:cs="Arial"/>
                <w:lang w:eastAsia="de-DE"/>
              </w:rPr>
              <w:t> </w:t>
            </w:r>
          </w:p>
        </w:tc>
      </w:tr>
      <w:tr w:rsidR="00880FF7" w:rsidRPr="007B2CE1" w14:paraId="213AD43C" w14:textId="77777777" w:rsidTr="0092303A">
        <w:trPr>
          <w:trHeight w:val="300"/>
        </w:trPr>
        <w:tc>
          <w:tcPr>
            <w:tcW w:w="3017" w:type="dxa"/>
            <w:vMerge/>
            <w:shd w:val="clear" w:color="auto" w:fill="auto"/>
            <w:hideMark/>
          </w:tcPr>
          <w:p w14:paraId="49729C82"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shd w:val="clear" w:color="auto" w:fill="auto"/>
            <w:hideMark/>
          </w:tcPr>
          <w:p w14:paraId="4CEB143F"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lang w:val="en-US" w:eastAsia="de-DE"/>
              </w:rPr>
            </w:pPr>
            <w:r w:rsidRPr="007B2CE1">
              <w:rPr>
                <w:rFonts w:ascii="Arial" w:eastAsia="Times New Roman" w:hAnsi="Arial" w:cs="Arial"/>
                <w:lang w:val="en-US" w:eastAsia="de-DE"/>
              </w:rPr>
              <w:t>Minimum absolute height </w:t>
            </w:r>
          </w:p>
        </w:tc>
        <w:tc>
          <w:tcPr>
            <w:tcW w:w="3008" w:type="dxa"/>
            <w:shd w:val="clear" w:color="auto" w:fill="auto"/>
            <w:hideMark/>
          </w:tcPr>
          <w:p w14:paraId="717499BD"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lang w:val="en-US" w:eastAsia="de-DE"/>
              </w:rPr>
            </w:pPr>
            <w:r w:rsidRPr="007B2CE1">
              <w:rPr>
                <w:rFonts w:ascii="Arial" w:eastAsia="Times New Roman" w:hAnsi="Arial" w:cs="Arial"/>
                <w:lang w:val="en-US" w:eastAsia="de-DE"/>
              </w:rPr>
              <w:t>1.0E5 </w:t>
            </w:r>
          </w:p>
        </w:tc>
      </w:tr>
      <w:tr w:rsidR="00880FF7" w:rsidRPr="007B2CE1" w14:paraId="51856AA6" w14:textId="77777777" w:rsidTr="0092303A">
        <w:trPr>
          <w:trHeight w:val="300"/>
        </w:trPr>
        <w:tc>
          <w:tcPr>
            <w:tcW w:w="3017" w:type="dxa"/>
            <w:vMerge/>
            <w:shd w:val="clear" w:color="auto" w:fill="auto"/>
            <w:hideMark/>
          </w:tcPr>
          <w:p w14:paraId="68ECBCEA"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shd w:val="clear" w:color="auto" w:fill="auto"/>
            <w:hideMark/>
          </w:tcPr>
          <w:p w14:paraId="5D1842E9"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Min ratio of peak top/edge </w:t>
            </w:r>
          </w:p>
        </w:tc>
        <w:tc>
          <w:tcPr>
            <w:tcW w:w="3008" w:type="dxa"/>
            <w:shd w:val="clear" w:color="auto" w:fill="auto"/>
            <w:hideMark/>
          </w:tcPr>
          <w:p w14:paraId="06CBBFB0"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1.8</w:t>
            </w:r>
            <w:r w:rsidRPr="007B2CE1">
              <w:rPr>
                <w:rFonts w:ascii="Arial" w:eastAsia="Times New Roman" w:hAnsi="Arial" w:cs="Arial"/>
                <w:lang w:eastAsia="de-DE"/>
              </w:rPr>
              <w:t> </w:t>
            </w:r>
          </w:p>
        </w:tc>
      </w:tr>
      <w:tr w:rsidR="00880FF7" w:rsidRPr="007B2CE1" w14:paraId="428A8C4E" w14:textId="77777777" w:rsidTr="0092303A">
        <w:trPr>
          <w:trHeight w:val="300"/>
        </w:trPr>
        <w:tc>
          <w:tcPr>
            <w:tcW w:w="3017" w:type="dxa"/>
            <w:vMerge/>
            <w:shd w:val="clear" w:color="auto" w:fill="auto"/>
            <w:hideMark/>
          </w:tcPr>
          <w:p w14:paraId="0659467D"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shd w:val="clear" w:color="auto" w:fill="auto"/>
            <w:hideMark/>
          </w:tcPr>
          <w:p w14:paraId="29F1D745"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val="en-US" w:eastAsia="de-DE"/>
              </w:rPr>
            </w:pPr>
            <w:r w:rsidRPr="007B2CE1">
              <w:rPr>
                <w:rFonts w:ascii="Arial" w:eastAsia="Times New Roman" w:hAnsi="Arial" w:cs="Arial"/>
                <w:lang w:val="en-US" w:eastAsia="de-DE"/>
              </w:rPr>
              <w:t>Peak duration range (min/mobility) </w:t>
            </w:r>
          </w:p>
        </w:tc>
        <w:tc>
          <w:tcPr>
            <w:tcW w:w="3008" w:type="dxa"/>
            <w:shd w:val="clear" w:color="auto" w:fill="auto"/>
            <w:hideMark/>
          </w:tcPr>
          <w:p w14:paraId="3DDC2BD6"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0.00 – 3.01</w:t>
            </w:r>
            <w:r w:rsidRPr="007B2CE1">
              <w:rPr>
                <w:rFonts w:ascii="Arial" w:eastAsia="Times New Roman" w:hAnsi="Arial" w:cs="Arial"/>
                <w:lang w:eastAsia="de-DE"/>
              </w:rPr>
              <w:t> </w:t>
            </w:r>
          </w:p>
        </w:tc>
      </w:tr>
      <w:tr w:rsidR="00880FF7" w:rsidRPr="007B2CE1" w14:paraId="5EC4BED4" w14:textId="77777777" w:rsidTr="0092303A">
        <w:trPr>
          <w:trHeight w:val="300"/>
        </w:trPr>
        <w:tc>
          <w:tcPr>
            <w:tcW w:w="3017" w:type="dxa"/>
            <w:vMerge/>
            <w:shd w:val="clear" w:color="auto" w:fill="auto"/>
            <w:hideMark/>
          </w:tcPr>
          <w:p w14:paraId="583564D3"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shd w:val="clear" w:color="auto" w:fill="auto"/>
            <w:hideMark/>
          </w:tcPr>
          <w:p w14:paraId="1369E05A"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val="en-US" w:eastAsia="de-DE"/>
              </w:rPr>
            </w:pPr>
            <w:r w:rsidRPr="007B2CE1">
              <w:rPr>
                <w:rFonts w:ascii="Arial" w:eastAsia="Times New Roman" w:hAnsi="Arial" w:cs="Arial"/>
                <w:lang w:val="en-US" w:eastAsia="de-DE"/>
              </w:rPr>
              <w:t>Minimum scans (data points)</w:t>
            </w:r>
            <w:r w:rsidRPr="007B2CE1">
              <w:rPr>
                <w:rFonts w:ascii="Arial" w:eastAsia="Times New Roman" w:hAnsi="Arial" w:cs="Arial"/>
                <w:lang w:eastAsia="de-DE"/>
              </w:rPr>
              <w:t> </w:t>
            </w:r>
          </w:p>
        </w:tc>
        <w:tc>
          <w:tcPr>
            <w:tcW w:w="3008" w:type="dxa"/>
            <w:shd w:val="clear" w:color="auto" w:fill="auto"/>
            <w:hideMark/>
          </w:tcPr>
          <w:p w14:paraId="5FD08D2C"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4</w:t>
            </w:r>
            <w:r w:rsidRPr="007B2CE1">
              <w:rPr>
                <w:rFonts w:ascii="Arial" w:eastAsia="Times New Roman" w:hAnsi="Arial" w:cs="Arial"/>
                <w:lang w:eastAsia="de-DE"/>
              </w:rPr>
              <w:t> </w:t>
            </w:r>
          </w:p>
        </w:tc>
      </w:tr>
      <w:tr w:rsidR="00880FF7" w:rsidRPr="007B2CE1" w14:paraId="153F497C" w14:textId="77777777" w:rsidTr="0092303A">
        <w:trPr>
          <w:trHeight w:val="300"/>
        </w:trPr>
        <w:tc>
          <w:tcPr>
            <w:tcW w:w="3017" w:type="dxa"/>
            <w:vMerge/>
            <w:shd w:val="clear" w:color="auto" w:fill="auto"/>
            <w:hideMark/>
          </w:tcPr>
          <w:p w14:paraId="3CD9AFCB"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shd w:val="clear" w:color="auto" w:fill="auto"/>
            <w:hideMark/>
          </w:tcPr>
          <w:p w14:paraId="0639E45A"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m/z tolerance </w:t>
            </w:r>
            <w:r w:rsidRPr="007B2CE1">
              <w:rPr>
                <w:rFonts w:ascii="Arial" w:eastAsia="Times New Roman" w:hAnsi="Arial" w:cs="Arial"/>
                <w:lang w:eastAsia="de-DE"/>
              </w:rPr>
              <w:t> </w:t>
            </w:r>
          </w:p>
        </w:tc>
        <w:tc>
          <w:tcPr>
            <w:tcW w:w="3008" w:type="dxa"/>
            <w:shd w:val="clear" w:color="auto" w:fill="auto"/>
            <w:hideMark/>
          </w:tcPr>
          <w:p w14:paraId="75FA0FDB"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0.0015 m/z or 5.0000 ppm</w:t>
            </w:r>
            <w:r w:rsidRPr="007B2CE1">
              <w:rPr>
                <w:rFonts w:ascii="Arial" w:eastAsia="Times New Roman" w:hAnsi="Arial" w:cs="Arial"/>
                <w:lang w:eastAsia="de-DE"/>
              </w:rPr>
              <w:t> </w:t>
            </w:r>
          </w:p>
        </w:tc>
      </w:tr>
      <w:tr w:rsidR="00880FF7" w:rsidRPr="007B2CE1" w14:paraId="57B387A0" w14:textId="77777777" w:rsidTr="0092303A">
        <w:trPr>
          <w:trHeight w:val="300"/>
        </w:trPr>
        <w:tc>
          <w:tcPr>
            <w:tcW w:w="3017" w:type="dxa"/>
            <w:vMerge w:val="restart"/>
            <w:shd w:val="clear" w:color="auto" w:fill="auto"/>
            <w:vAlign w:val="center"/>
            <w:hideMark/>
          </w:tcPr>
          <w:p w14:paraId="37F2D684" w14:textId="77777777" w:rsidR="00880FF7" w:rsidRPr="007B2CE1" w:rsidRDefault="00880FF7" w:rsidP="0092303A">
            <w:pPr>
              <w:spacing w:before="100" w:beforeAutospacing="1" w:after="100" w:afterAutospacing="1" w:line="240" w:lineRule="auto"/>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Join aligner</w:t>
            </w:r>
          </w:p>
        </w:tc>
        <w:tc>
          <w:tcPr>
            <w:tcW w:w="3031" w:type="dxa"/>
            <w:shd w:val="clear" w:color="auto" w:fill="auto"/>
            <w:hideMark/>
          </w:tcPr>
          <w:p w14:paraId="7A1C4FD4"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Weight of m/z</w:t>
            </w:r>
            <w:r w:rsidRPr="007B2CE1">
              <w:rPr>
                <w:rFonts w:ascii="Arial" w:eastAsia="Times New Roman" w:hAnsi="Arial" w:cs="Arial"/>
                <w:lang w:eastAsia="de-DE"/>
              </w:rPr>
              <w:t> </w:t>
            </w:r>
          </w:p>
        </w:tc>
        <w:tc>
          <w:tcPr>
            <w:tcW w:w="3008" w:type="dxa"/>
            <w:shd w:val="clear" w:color="auto" w:fill="auto"/>
            <w:hideMark/>
          </w:tcPr>
          <w:p w14:paraId="2B2F7BF7"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3</w:t>
            </w:r>
            <w:r w:rsidRPr="007B2CE1">
              <w:rPr>
                <w:rFonts w:ascii="Arial" w:eastAsia="Times New Roman" w:hAnsi="Arial" w:cs="Arial"/>
                <w:lang w:eastAsia="de-DE"/>
              </w:rPr>
              <w:t> </w:t>
            </w:r>
          </w:p>
        </w:tc>
      </w:tr>
      <w:tr w:rsidR="00880FF7" w:rsidRPr="007B2CE1" w14:paraId="4D41498A" w14:textId="77777777" w:rsidTr="0092303A">
        <w:trPr>
          <w:trHeight w:val="300"/>
        </w:trPr>
        <w:tc>
          <w:tcPr>
            <w:tcW w:w="3017" w:type="dxa"/>
            <w:vMerge/>
            <w:shd w:val="clear" w:color="auto" w:fill="auto"/>
            <w:hideMark/>
          </w:tcPr>
          <w:p w14:paraId="1D66D740"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shd w:val="clear" w:color="auto" w:fill="auto"/>
            <w:hideMark/>
          </w:tcPr>
          <w:p w14:paraId="0D5C68BA"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Retention time tolerance</w:t>
            </w:r>
            <w:r w:rsidRPr="007B2CE1">
              <w:rPr>
                <w:rFonts w:ascii="Arial" w:eastAsia="Times New Roman" w:hAnsi="Arial" w:cs="Arial"/>
                <w:lang w:eastAsia="de-DE"/>
              </w:rPr>
              <w:t> </w:t>
            </w:r>
          </w:p>
        </w:tc>
        <w:tc>
          <w:tcPr>
            <w:tcW w:w="3008" w:type="dxa"/>
            <w:shd w:val="clear" w:color="auto" w:fill="auto"/>
            <w:hideMark/>
          </w:tcPr>
          <w:p w14:paraId="2D2A5D12"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0.4 min</w:t>
            </w:r>
            <w:r w:rsidRPr="007B2CE1">
              <w:rPr>
                <w:rFonts w:ascii="Arial" w:eastAsia="Times New Roman" w:hAnsi="Arial" w:cs="Arial"/>
                <w:lang w:eastAsia="de-DE"/>
              </w:rPr>
              <w:t> </w:t>
            </w:r>
          </w:p>
        </w:tc>
      </w:tr>
      <w:tr w:rsidR="00880FF7" w:rsidRPr="007B2CE1" w14:paraId="59601D96" w14:textId="77777777" w:rsidTr="0092303A">
        <w:trPr>
          <w:trHeight w:val="300"/>
        </w:trPr>
        <w:tc>
          <w:tcPr>
            <w:tcW w:w="3017" w:type="dxa"/>
            <w:vMerge/>
            <w:shd w:val="clear" w:color="auto" w:fill="auto"/>
            <w:hideMark/>
          </w:tcPr>
          <w:p w14:paraId="5CAF1058"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p>
        </w:tc>
        <w:tc>
          <w:tcPr>
            <w:tcW w:w="3031" w:type="dxa"/>
            <w:tcBorders>
              <w:bottom w:val="single" w:sz="4" w:space="0" w:color="auto"/>
            </w:tcBorders>
            <w:shd w:val="clear" w:color="auto" w:fill="auto"/>
            <w:hideMark/>
          </w:tcPr>
          <w:p w14:paraId="4312D84F"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Weight for RT</w:t>
            </w:r>
            <w:r w:rsidRPr="007B2CE1">
              <w:rPr>
                <w:rFonts w:ascii="Arial" w:eastAsia="Times New Roman" w:hAnsi="Arial" w:cs="Arial"/>
                <w:lang w:eastAsia="de-DE"/>
              </w:rPr>
              <w:t> </w:t>
            </w:r>
          </w:p>
        </w:tc>
        <w:tc>
          <w:tcPr>
            <w:tcW w:w="3008" w:type="dxa"/>
            <w:tcBorders>
              <w:bottom w:val="single" w:sz="4" w:space="0" w:color="auto"/>
            </w:tcBorders>
            <w:shd w:val="clear" w:color="auto" w:fill="auto"/>
            <w:hideMark/>
          </w:tcPr>
          <w:p w14:paraId="45012E75" w14:textId="77777777" w:rsidR="00880FF7" w:rsidRPr="007B2CE1" w:rsidRDefault="00880FF7" w:rsidP="0092303A">
            <w:pPr>
              <w:spacing w:before="100" w:beforeAutospacing="1" w:after="100" w:afterAutospacing="1" w:line="240" w:lineRule="auto"/>
              <w:jc w:val="both"/>
              <w:textAlignment w:val="baseline"/>
              <w:rPr>
                <w:rFonts w:ascii="Arial" w:eastAsia="Times New Roman" w:hAnsi="Arial" w:cs="Arial"/>
                <w:sz w:val="24"/>
                <w:szCs w:val="24"/>
                <w:lang w:eastAsia="de-DE"/>
              </w:rPr>
            </w:pPr>
            <w:r w:rsidRPr="007B2CE1">
              <w:rPr>
                <w:rFonts w:ascii="Arial" w:eastAsia="Times New Roman" w:hAnsi="Arial" w:cs="Arial"/>
                <w:lang w:val="en-US" w:eastAsia="de-DE"/>
              </w:rPr>
              <w:t>1</w:t>
            </w:r>
            <w:r w:rsidRPr="007B2CE1">
              <w:rPr>
                <w:rFonts w:ascii="Arial" w:eastAsia="Times New Roman" w:hAnsi="Arial" w:cs="Arial"/>
                <w:lang w:eastAsia="de-DE"/>
              </w:rPr>
              <w:t> </w:t>
            </w:r>
          </w:p>
        </w:tc>
      </w:tr>
    </w:tbl>
    <w:p w14:paraId="07CB1035" w14:textId="756A71E4" w:rsidR="00880FF7" w:rsidRPr="007B2CE1" w:rsidRDefault="00880FF7" w:rsidP="00420413">
      <w:pPr>
        <w:rPr>
          <w:rFonts w:ascii="Arial" w:hAnsi="Arial" w:cs="Arial"/>
        </w:rPr>
      </w:pPr>
    </w:p>
    <w:p w14:paraId="0FA02EF8" w14:textId="77777777" w:rsidR="00880FF7" w:rsidRPr="007B2CE1" w:rsidRDefault="00880FF7">
      <w:pPr>
        <w:rPr>
          <w:rFonts w:ascii="Arial" w:hAnsi="Arial" w:cs="Arial"/>
        </w:rPr>
      </w:pPr>
      <w:r w:rsidRPr="007B2CE1">
        <w:rPr>
          <w:rFonts w:ascii="Arial" w:hAnsi="Arial" w:cs="Arial"/>
        </w:rPr>
        <w:br w:type="page"/>
      </w:r>
    </w:p>
    <w:p w14:paraId="663EBDFA" w14:textId="2F671A78" w:rsidR="00417357" w:rsidRPr="007B2CE1" w:rsidRDefault="00417357" w:rsidP="00417357">
      <w:pPr>
        <w:pStyle w:val="Caption"/>
        <w:keepNext/>
        <w:rPr>
          <w:rFonts w:ascii="Arial" w:hAnsi="Arial" w:cs="Arial"/>
        </w:rPr>
      </w:pPr>
      <w:bookmarkStart w:id="50" w:name="_Toc161066684"/>
      <w:r w:rsidRPr="007B2CE1">
        <w:rPr>
          <w:rFonts w:ascii="Arial" w:hAnsi="Arial" w:cs="Arial"/>
        </w:rPr>
        <w:lastRenderedPageBreak/>
        <w:t>Table S</w:t>
      </w:r>
      <w:r w:rsidRPr="007B2CE1">
        <w:rPr>
          <w:rFonts w:ascii="Arial" w:hAnsi="Arial" w:cs="Arial"/>
        </w:rPr>
        <w:fldChar w:fldCharType="begin"/>
      </w:r>
      <w:r w:rsidRPr="007B2CE1">
        <w:rPr>
          <w:rFonts w:ascii="Arial" w:hAnsi="Arial" w:cs="Arial"/>
        </w:rPr>
        <w:instrText xml:space="preserve"> SEQ Table \* ARABIC </w:instrText>
      </w:r>
      <w:r w:rsidRPr="007B2CE1">
        <w:rPr>
          <w:rFonts w:ascii="Arial" w:hAnsi="Arial" w:cs="Arial"/>
        </w:rPr>
        <w:fldChar w:fldCharType="separate"/>
      </w:r>
      <w:r w:rsidR="001A2654" w:rsidRPr="007B2CE1">
        <w:rPr>
          <w:rFonts w:ascii="Arial" w:hAnsi="Arial" w:cs="Arial"/>
          <w:noProof/>
        </w:rPr>
        <w:t>3</w:t>
      </w:r>
      <w:r w:rsidRPr="007B2CE1">
        <w:rPr>
          <w:rFonts w:ascii="Arial" w:hAnsi="Arial" w:cs="Arial"/>
          <w:noProof/>
        </w:rPr>
        <w:fldChar w:fldCharType="end"/>
      </w:r>
      <w:r w:rsidR="008609C2" w:rsidRPr="007B2CE1">
        <w:rPr>
          <w:rFonts w:ascii="Arial" w:hAnsi="Arial" w:cs="Arial"/>
          <w:noProof/>
        </w:rPr>
        <w:t>:</w:t>
      </w:r>
      <w:r w:rsidRPr="007B2CE1">
        <w:rPr>
          <w:rFonts w:ascii="Arial" w:hAnsi="Arial" w:cs="Arial"/>
        </w:rPr>
        <w:t xml:space="preserve"> Summary of mass-labelled standards used for target analysis.</w:t>
      </w:r>
      <w:bookmarkEnd w:id="50"/>
    </w:p>
    <w:tbl>
      <w:tblPr>
        <w:tblW w:w="9356" w:type="dxa"/>
        <w:tblLayout w:type="fixed"/>
        <w:tblLook w:val="04A0" w:firstRow="1" w:lastRow="0" w:firstColumn="1" w:lastColumn="0" w:noHBand="0" w:noVBand="1"/>
      </w:tblPr>
      <w:tblGrid>
        <w:gridCol w:w="1701"/>
        <w:gridCol w:w="3547"/>
        <w:gridCol w:w="2832"/>
        <w:gridCol w:w="1276"/>
      </w:tblGrid>
      <w:tr w:rsidR="001056EE" w:rsidRPr="007B2CE1" w14:paraId="089660B7" w14:textId="77777777" w:rsidTr="00880FF7">
        <w:trPr>
          <w:trHeight w:val="300"/>
        </w:trPr>
        <w:tc>
          <w:tcPr>
            <w:tcW w:w="1701" w:type="dxa"/>
            <w:tcBorders>
              <w:top w:val="single" w:sz="4" w:space="0" w:color="auto"/>
              <w:left w:val="nil"/>
              <w:bottom w:val="single" w:sz="4" w:space="0" w:color="auto"/>
              <w:right w:val="nil"/>
            </w:tcBorders>
            <w:shd w:val="clear" w:color="auto" w:fill="auto"/>
            <w:noWrap/>
            <w:vAlign w:val="bottom"/>
            <w:hideMark/>
          </w:tcPr>
          <w:p w14:paraId="34659677" w14:textId="77777777" w:rsidR="001056EE" w:rsidRPr="007B2CE1" w:rsidRDefault="001056EE" w:rsidP="001056EE">
            <w:pPr>
              <w:spacing w:after="0" w:line="240" w:lineRule="auto"/>
              <w:rPr>
                <w:rFonts w:ascii="Arial" w:eastAsia="Times New Roman" w:hAnsi="Arial" w:cs="Arial"/>
                <w:b/>
                <w:bCs/>
                <w:color w:val="000000"/>
                <w:lang w:val="en-US"/>
              </w:rPr>
            </w:pPr>
            <w:r w:rsidRPr="007B2CE1">
              <w:rPr>
                <w:rFonts w:ascii="Arial" w:eastAsia="Times New Roman" w:hAnsi="Arial" w:cs="Arial"/>
                <w:b/>
                <w:bCs/>
                <w:color w:val="000000"/>
                <w:lang w:val="en-US"/>
              </w:rPr>
              <w:t>Abbreviation</w:t>
            </w:r>
          </w:p>
        </w:tc>
        <w:tc>
          <w:tcPr>
            <w:tcW w:w="3547" w:type="dxa"/>
            <w:tcBorders>
              <w:top w:val="single" w:sz="4" w:space="0" w:color="auto"/>
              <w:left w:val="nil"/>
              <w:bottom w:val="single" w:sz="4" w:space="0" w:color="auto"/>
              <w:right w:val="nil"/>
            </w:tcBorders>
            <w:shd w:val="clear" w:color="auto" w:fill="auto"/>
            <w:noWrap/>
            <w:vAlign w:val="bottom"/>
            <w:hideMark/>
          </w:tcPr>
          <w:p w14:paraId="384A10E6" w14:textId="77777777" w:rsidR="001056EE" w:rsidRPr="007B2CE1" w:rsidRDefault="001056EE" w:rsidP="001056EE">
            <w:pPr>
              <w:spacing w:after="0" w:line="240" w:lineRule="auto"/>
              <w:rPr>
                <w:rFonts w:ascii="Arial" w:eastAsia="Times New Roman" w:hAnsi="Arial" w:cs="Arial"/>
                <w:b/>
                <w:bCs/>
                <w:color w:val="000000"/>
                <w:lang w:val="en-US"/>
              </w:rPr>
            </w:pPr>
            <w:r w:rsidRPr="007B2CE1">
              <w:rPr>
                <w:rFonts w:ascii="Arial" w:eastAsia="Times New Roman" w:hAnsi="Arial" w:cs="Arial"/>
                <w:b/>
                <w:bCs/>
                <w:color w:val="000000"/>
                <w:lang w:val="en-US"/>
              </w:rPr>
              <w:t>Name</w:t>
            </w:r>
          </w:p>
        </w:tc>
        <w:tc>
          <w:tcPr>
            <w:tcW w:w="2832" w:type="dxa"/>
            <w:tcBorders>
              <w:top w:val="single" w:sz="4" w:space="0" w:color="auto"/>
              <w:left w:val="nil"/>
              <w:bottom w:val="single" w:sz="4" w:space="0" w:color="auto"/>
              <w:right w:val="nil"/>
            </w:tcBorders>
            <w:shd w:val="clear" w:color="auto" w:fill="auto"/>
            <w:noWrap/>
            <w:vAlign w:val="bottom"/>
            <w:hideMark/>
          </w:tcPr>
          <w:p w14:paraId="0C770DD7" w14:textId="77777777" w:rsidR="001056EE" w:rsidRPr="007B2CE1" w:rsidRDefault="001056EE" w:rsidP="001056EE">
            <w:pPr>
              <w:spacing w:after="0" w:line="240" w:lineRule="auto"/>
              <w:rPr>
                <w:rFonts w:ascii="Arial" w:eastAsia="Times New Roman" w:hAnsi="Arial" w:cs="Arial"/>
                <w:b/>
                <w:bCs/>
                <w:color w:val="000000"/>
                <w:lang w:val="en-US"/>
              </w:rPr>
            </w:pPr>
            <w:r w:rsidRPr="007B2CE1">
              <w:rPr>
                <w:rFonts w:ascii="Arial" w:eastAsia="Times New Roman" w:hAnsi="Arial" w:cs="Arial"/>
                <w:b/>
                <w:bCs/>
                <w:color w:val="000000"/>
                <w:lang w:val="en-US"/>
              </w:rPr>
              <w:t>Supplier</w:t>
            </w:r>
          </w:p>
        </w:tc>
        <w:tc>
          <w:tcPr>
            <w:tcW w:w="1276" w:type="dxa"/>
            <w:tcBorders>
              <w:top w:val="single" w:sz="4" w:space="0" w:color="auto"/>
              <w:left w:val="nil"/>
              <w:bottom w:val="single" w:sz="4" w:space="0" w:color="auto"/>
              <w:right w:val="nil"/>
            </w:tcBorders>
            <w:shd w:val="clear" w:color="auto" w:fill="auto"/>
            <w:noWrap/>
            <w:vAlign w:val="bottom"/>
            <w:hideMark/>
          </w:tcPr>
          <w:p w14:paraId="4E5AB31E" w14:textId="49107612" w:rsidR="001056EE" w:rsidRPr="007B2CE1" w:rsidRDefault="001056EE" w:rsidP="001056EE">
            <w:pPr>
              <w:spacing w:after="0" w:line="240" w:lineRule="auto"/>
              <w:rPr>
                <w:rFonts w:ascii="Arial" w:eastAsia="Times New Roman" w:hAnsi="Arial" w:cs="Arial"/>
                <w:b/>
                <w:bCs/>
                <w:color w:val="000000"/>
                <w:lang w:val="en-US"/>
              </w:rPr>
            </w:pPr>
            <w:r w:rsidRPr="007B2CE1">
              <w:rPr>
                <w:rFonts w:ascii="Arial" w:eastAsia="Times New Roman" w:hAnsi="Arial" w:cs="Arial"/>
                <w:b/>
                <w:bCs/>
                <w:color w:val="000000"/>
                <w:lang w:val="en-US"/>
              </w:rPr>
              <w:t xml:space="preserve">Purity </w:t>
            </w:r>
            <w:r w:rsidR="00880FF7" w:rsidRPr="007B2CE1">
              <w:rPr>
                <w:rFonts w:ascii="Arial" w:eastAsia="Times New Roman" w:hAnsi="Arial" w:cs="Arial"/>
                <w:b/>
                <w:bCs/>
                <w:color w:val="000000"/>
                <w:lang w:val="en-US"/>
              </w:rPr>
              <w:t xml:space="preserve">/ </w:t>
            </w:r>
            <w:r w:rsidRPr="007B2CE1">
              <w:rPr>
                <w:rFonts w:ascii="Arial" w:eastAsia="Times New Roman" w:hAnsi="Arial" w:cs="Arial"/>
                <w:b/>
                <w:bCs/>
                <w:color w:val="000000"/>
                <w:lang w:val="en-US"/>
              </w:rPr>
              <w:t>%</w:t>
            </w:r>
          </w:p>
        </w:tc>
      </w:tr>
      <w:tr w:rsidR="001056EE" w:rsidRPr="007B2CE1" w14:paraId="7B88C8C2" w14:textId="77777777" w:rsidTr="00880FF7">
        <w:trPr>
          <w:trHeight w:val="300"/>
        </w:trPr>
        <w:tc>
          <w:tcPr>
            <w:tcW w:w="1701" w:type="dxa"/>
            <w:tcBorders>
              <w:top w:val="nil"/>
              <w:left w:val="nil"/>
              <w:bottom w:val="nil"/>
              <w:right w:val="nil"/>
            </w:tcBorders>
            <w:shd w:val="clear" w:color="auto" w:fill="auto"/>
            <w:noWrap/>
            <w:vAlign w:val="center"/>
            <w:hideMark/>
          </w:tcPr>
          <w:p w14:paraId="0C0905A7"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BP-3-13C6</w:t>
            </w:r>
          </w:p>
        </w:tc>
        <w:tc>
          <w:tcPr>
            <w:tcW w:w="3547" w:type="dxa"/>
            <w:tcBorders>
              <w:top w:val="nil"/>
              <w:left w:val="nil"/>
              <w:bottom w:val="nil"/>
              <w:right w:val="nil"/>
            </w:tcBorders>
            <w:shd w:val="clear" w:color="auto" w:fill="auto"/>
            <w:noWrap/>
            <w:vAlign w:val="center"/>
            <w:hideMark/>
          </w:tcPr>
          <w:p w14:paraId="512AA1D9" w14:textId="644226D3"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Benzophenone-3-13C6</w:t>
            </w:r>
          </w:p>
        </w:tc>
        <w:tc>
          <w:tcPr>
            <w:tcW w:w="2832" w:type="dxa"/>
            <w:tcBorders>
              <w:top w:val="nil"/>
              <w:left w:val="nil"/>
              <w:bottom w:val="nil"/>
              <w:right w:val="nil"/>
            </w:tcBorders>
            <w:shd w:val="clear" w:color="auto" w:fill="auto"/>
            <w:noWrap/>
            <w:vAlign w:val="center"/>
            <w:hideMark/>
          </w:tcPr>
          <w:p w14:paraId="6B8FD4ED"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Cambridge Isotope Laboratories (CIL)</w:t>
            </w:r>
          </w:p>
        </w:tc>
        <w:tc>
          <w:tcPr>
            <w:tcW w:w="1276" w:type="dxa"/>
            <w:tcBorders>
              <w:top w:val="nil"/>
              <w:left w:val="nil"/>
              <w:bottom w:val="nil"/>
              <w:right w:val="nil"/>
            </w:tcBorders>
            <w:shd w:val="clear" w:color="auto" w:fill="auto"/>
            <w:noWrap/>
            <w:vAlign w:val="bottom"/>
            <w:hideMark/>
          </w:tcPr>
          <w:p w14:paraId="07E872CD"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99.0</w:t>
            </w:r>
          </w:p>
        </w:tc>
      </w:tr>
      <w:tr w:rsidR="001056EE" w:rsidRPr="007B2CE1" w14:paraId="169D1BD8" w14:textId="77777777" w:rsidTr="00880FF7">
        <w:trPr>
          <w:trHeight w:val="300"/>
        </w:trPr>
        <w:tc>
          <w:tcPr>
            <w:tcW w:w="1701" w:type="dxa"/>
            <w:tcBorders>
              <w:top w:val="nil"/>
              <w:left w:val="nil"/>
              <w:bottom w:val="nil"/>
              <w:right w:val="nil"/>
            </w:tcBorders>
            <w:shd w:val="clear" w:color="auto" w:fill="auto"/>
            <w:noWrap/>
            <w:vAlign w:val="center"/>
            <w:hideMark/>
          </w:tcPr>
          <w:p w14:paraId="498AB3B6"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BP-8-d3</w:t>
            </w:r>
          </w:p>
        </w:tc>
        <w:tc>
          <w:tcPr>
            <w:tcW w:w="3547" w:type="dxa"/>
            <w:tcBorders>
              <w:top w:val="nil"/>
              <w:left w:val="nil"/>
              <w:bottom w:val="nil"/>
              <w:right w:val="nil"/>
            </w:tcBorders>
            <w:shd w:val="clear" w:color="auto" w:fill="auto"/>
            <w:noWrap/>
            <w:vAlign w:val="center"/>
            <w:hideMark/>
          </w:tcPr>
          <w:p w14:paraId="691D230F"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Dioxybenzone-d3</w:t>
            </w:r>
          </w:p>
        </w:tc>
        <w:tc>
          <w:tcPr>
            <w:tcW w:w="2832" w:type="dxa"/>
            <w:tcBorders>
              <w:top w:val="nil"/>
              <w:left w:val="nil"/>
              <w:bottom w:val="nil"/>
              <w:right w:val="nil"/>
            </w:tcBorders>
            <w:shd w:val="clear" w:color="auto" w:fill="auto"/>
            <w:noWrap/>
            <w:vAlign w:val="center"/>
            <w:hideMark/>
          </w:tcPr>
          <w:p w14:paraId="1DD6DD67"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Toronto Research Chemicals</w:t>
            </w:r>
          </w:p>
        </w:tc>
        <w:tc>
          <w:tcPr>
            <w:tcW w:w="1276" w:type="dxa"/>
            <w:tcBorders>
              <w:top w:val="nil"/>
              <w:left w:val="nil"/>
              <w:bottom w:val="nil"/>
              <w:right w:val="nil"/>
            </w:tcBorders>
            <w:shd w:val="clear" w:color="auto" w:fill="auto"/>
            <w:noWrap/>
            <w:vAlign w:val="bottom"/>
            <w:hideMark/>
          </w:tcPr>
          <w:p w14:paraId="56F881EC"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98.0</w:t>
            </w:r>
          </w:p>
        </w:tc>
      </w:tr>
      <w:tr w:rsidR="001056EE" w:rsidRPr="007B2CE1" w14:paraId="658D4F04" w14:textId="77777777" w:rsidTr="00880FF7">
        <w:trPr>
          <w:trHeight w:val="300"/>
        </w:trPr>
        <w:tc>
          <w:tcPr>
            <w:tcW w:w="1701" w:type="dxa"/>
            <w:tcBorders>
              <w:top w:val="nil"/>
              <w:left w:val="nil"/>
              <w:bottom w:val="nil"/>
              <w:right w:val="nil"/>
            </w:tcBorders>
            <w:shd w:val="clear" w:color="auto" w:fill="auto"/>
            <w:noWrap/>
            <w:vAlign w:val="center"/>
            <w:hideMark/>
          </w:tcPr>
          <w:p w14:paraId="2441F088"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DEHP-d4</w:t>
            </w:r>
          </w:p>
        </w:tc>
        <w:tc>
          <w:tcPr>
            <w:tcW w:w="3547" w:type="dxa"/>
            <w:tcBorders>
              <w:top w:val="nil"/>
              <w:left w:val="nil"/>
              <w:bottom w:val="nil"/>
              <w:right w:val="nil"/>
            </w:tcBorders>
            <w:shd w:val="clear" w:color="auto" w:fill="auto"/>
            <w:noWrap/>
            <w:vAlign w:val="center"/>
            <w:hideMark/>
          </w:tcPr>
          <w:p w14:paraId="10B55AB0"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Phthalic acid, bis-2-ethylhexyl ester D4</w:t>
            </w:r>
          </w:p>
        </w:tc>
        <w:tc>
          <w:tcPr>
            <w:tcW w:w="2832" w:type="dxa"/>
            <w:tcBorders>
              <w:top w:val="nil"/>
              <w:left w:val="nil"/>
              <w:bottom w:val="nil"/>
              <w:right w:val="nil"/>
            </w:tcBorders>
            <w:shd w:val="clear" w:color="auto" w:fill="auto"/>
            <w:noWrap/>
            <w:vAlign w:val="center"/>
            <w:hideMark/>
          </w:tcPr>
          <w:p w14:paraId="1864DE24"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 xml:space="preserve">Dr. </w:t>
            </w:r>
            <w:proofErr w:type="spellStart"/>
            <w:r w:rsidRPr="007B2CE1">
              <w:rPr>
                <w:rFonts w:ascii="Arial" w:eastAsia="Times New Roman" w:hAnsi="Arial" w:cs="Arial"/>
                <w:color w:val="000000"/>
                <w:sz w:val="20"/>
                <w:szCs w:val="20"/>
                <w:lang w:val="en-US"/>
              </w:rPr>
              <w:t>Ehrensdorfer</w:t>
            </w:r>
            <w:proofErr w:type="spellEnd"/>
            <w:r w:rsidRPr="007B2CE1">
              <w:rPr>
                <w:rFonts w:ascii="Arial" w:eastAsia="Times New Roman" w:hAnsi="Arial" w:cs="Arial"/>
                <w:color w:val="000000"/>
                <w:sz w:val="20"/>
                <w:szCs w:val="20"/>
                <w:lang w:val="en-US"/>
              </w:rPr>
              <w:t xml:space="preserve"> GmbH</w:t>
            </w:r>
          </w:p>
        </w:tc>
        <w:tc>
          <w:tcPr>
            <w:tcW w:w="1276" w:type="dxa"/>
            <w:tcBorders>
              <w:top w:val="nil"/>
              <w:left w:val="nil"/>
              <w:bottom w:val="nil"/>
              <w:right w:val="nil"/>
            </w:tcBorders>
            <w:shd w:val="clear" w:color="auto" w:fill="auto"/>
            <w:noWrap/>
            <w:vAlign w:val="bottom"/>
            <w:hideMark/>
          </w:tcPr>
          <w:p w14:paraId="70AADA80"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98.0</w:t>
            </w:r>
          </w:p>
        </w:tc>
      </w:tr>
      <w:tr w:rsidR="001056EE" w:rsidRPr="007B2CE1" w14:paraId="478588BF" w14:textId="77777777" w:rsidTr="00880FF7">
        <w:trPr>
          <w:trHeight w:val="300"/>
        </w:trPr>
        <w:tc>
          <w:tcPr>
            <w:tcW w:w="1701" w:type="dxa"/>
            <w:tcBorders>
              <w:top w:val="nil"/>
              <w:left w:val="nil"/>
              <w:bottom w:val="nil"/>
              <w:right w:val="nil"/>
            </w:tcBorders>
            <w:shd w:val="clear" w:color="auto" w:fill="auto"/>
            <w:noWrap/>
            <w:vAlign w:val="center"/>
            <w:hideMark/>
          </w:tcPr>
          <w:p w14:paraId="791D49A8"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DnBP-d4</w:t>
            </w:r>
          </w:p>
        </w:tc>
        <w:tc>
          <w:tcPr>
            <w:tcW w:w="3547" w:type="dxa"/>
            <w:tcBorders>
              <w:top w:val="nil"/>
              <w:left w:val="nil"/>
              <w:bottom w:val="nil"/>
              <w:right w:val="nil"/>
            </w:tcBorders>
            <w:shd w:val="clear" w:color="auto" w:fill="auto"/>
            <w:noWrap/>
            <w:vAlign w:val="center"/>
            <w:hideMark/>
          </w:tcPr>
          <w:p w14:paraId="739F9FE0"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Phthalic acid, bis-butyl ester-d4</w:t>
            </w:r>
          </w:p>
        </w:tc>
        <w:tc>
          <w:tcPr>
            <w:tcW w:w="2832" w:type="dxa"/>
            <w:tcBorders>
              <w:top w:val="nil"/>
              <w:left w:val="nil"/>
              <w:bottom w:val="nil"/>
              <w:right w:val="nil"/>
            </w:tcBorders>
            <w:shd w:val="clear" w:color="auto" w:fill="auto"/>
            <w:noWrap/>
            <w:vAlign w:val="center"/>
            <w:hideMark/>
          </w:tcPr>
          <w:p w14:paraId="4DC5394E"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 xml:space="preserve">Dr. </w:t>
            </w:r>
            <w:proofErr w:type="spellStart"/>
            <w:r w:rsidRPr="007B2CE1">
              <w:rPr>
                <w:rFonts w:ascii="Arial" w:eastAsia="Times New Roman" w:hAnsi="Arial" w:cs="Arial"/>
                <w:color w:val="000000"/>
                <w:sz w:val="20"/>
                <w:szCs w:val="20"/>
                <w:lang w:val="en-US"/>
              </w:rPr>
              <w:t>Ehrensdorfer</w:t>
            </w:r>
            <w:proofErr w:type="spellEnd"/>
            <w:r w:rsidRPr="007B2CE1">
              <w:rPr>
                <w:rFonts w:ascii="Arial" w:eastAsia="Times New Roman" w:hAnsi="Arial" w:cs="Arial"/>
                <w:color w:val="000000"/>
                <w:sz w:val="20"/>
                <w:szCs w:val="20"/>
                <w:lang w:val="en-US"/>
              </w:rPr>
              <w:t xml:space="preserve"> GmbH</w:t>
            </w:r>
          </w:p>
        </w:tc>
        <w:tc>
          <w:tcPr>
            <w:tcW w:w="1276" w:type="dxa"/>
            <w:tcBorders>
              <w:top w:val="nil"/>
              <w:left w:val="nil"/>
              <w:bottom w:val="nil"/>
              <w:right w:val="nil"/>
            </w:tcBorders>
            <w:shd w:val="clear" w:color="auto" w:fill="auto"/>
            <w:noWrap/>
            <w:vAlign w:val="bottom"/>
            <w:hideMark/>
          </w:tcPr>
          <w:p w14:paraId="22343297"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98.7</w:t>
            </w:r>
          </w:p>
        </w:tc>
      </w:tr>
      <w:tr w:rsidR="001056EE" w:rsidRPr="007B2CE1" w14:paraId="5F04A9D7" w14:textId="77777777" w:rsidTr="00880FF7">
        <w:trPr>
          <w:trHeight w:val="300"/>
        </w:trPr>
        <w:tc>
          <w:tcPr>
            <w:tcW w:w="1701" w:type="dxa"/>
            <w:tcBorders>
              <w:top w:val="nil"/>
              <w:left w:val="nil"/>
              <w:bottom w:val="nil"/>
              <w:right w:val="nil"/>
            </w:tcBorders>
            <w:shd w:val="clear" w:color="auto" w:fill="auto"/>
            <w:noWrap/>
            <w:vAlign w:val="center"/>
            <w:hideMark/>
          </w:tcPr>
          <w:p w14:paraId="68DBE293"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EHMC-d15</w:t>
            </w:r>
          </w:p>
        </w:tc>
        <w:tc>
          <w:tcPr>
            <w:tcW w:w="3547" w:type="dxa"/>
            <w:tcBorders>
              <w:top w:val="nil"/>
              <w:left w:val="nil"/>
              <w:bottom w:val="nil"/>
              <w:right w:val="nil"/>
            </w:tcBorders>
            <w:shd w:val="clear" w:color="auto" w:fill="auto"/>
            <w:noWrap/>
            <w:vAlign w:val="center"/>
            <w:hideMark/>
          </w:tcPr>
          <w:p w14:paraId="568FFD6A"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Octyl-methoxycinnamate-d15</w:t>
            </w:r>
          </w:p>
        </w:tc>
        <w:tc>
          <w:tcPr>
            <w:tcW w:w="2832" w:type="dxa"/>
            <w:tcBorders>
              <w:top w:val="nil"/>
              <w:left w:val="nil"/>
              <w:bottom w:val="nil"/>
              <w:right w:val="nil"/>
            </w:tcBorders>
            <w:shd w:val="clear" w:color="auto" w:fill="auto"/>
            <w:noWrap/>
            <w:vAlign w:val="center"/>
            <w:hideMark/>
          </w:tcPr>
          <w:p w14:paraId="6CF9A771"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Sigma-</w:t>
            </w:r>
            <w:proofErr w:type="spellStart"/>
            <w:r w:rsidRPr="007B2CE1">
              <w:rPr>
                <w:rFonts w:ascii="Arial" w:eastAsia="Times New Roman" w:hAnsi="Arial" w:cs="Arial"/>
                <w:color w:val="000000"/>
                <w:sz w:val="20"/>
                <w:szCs w:val="20"/>
                <w:lang w:val="en-US"/>
              </w:rPr>
              <w:t>Alrdich</w:t>
            </w:r>
            <w:proofErr w:type="spellEnd"/>
            <w:r w:rsidRPr="007B2CE1">
              <w:rPr>
                <w:rFonts w:ascii="Arial" w:eastAsia="Times New Roman" w:hAnsi="Arial" w:cs="Arial"/>
                <w:color w:val="000000"/>
                <w:sz w:val="20"/>
                <w:szCs w:val="20"/>
                <w:lang w:val="en-US"/>
              </w:rPr>
              <w:t>/</w:t>
            </w:r>
            <w:proofErr w:type="spellStart"/>
            <w:r w:rsidRPr="007B2CE1">
              <w:rPr>
                <w:rFonts w:ascii="Arial" w:eastAsia="Times New Roman" w:hAnsi="Arial" w:cs="Arial"/>
                <w:color w:val="000000"/>
                <w:sz w:val="20"/>
                <w:szCs w:val="20"/>
                <w:lang w:val="en-US"/>
              </w:rPr>
              <w:t>Fluka</w:t>
            </w:r>
            <w:proofErr w:type="spellEnd"/>
          </w:p>
        </w:tc>
        <w:tc>
          <w:tcPr>
            <w:tcW w:w="1276" w:type="dxa"/>
            <w:tcBorders>
              <w:top w:val="nil"/>
              <w:left w:val="nil"/>
              <w:bottom w:val="nil"/>
              <w:right w:val="nil"/>
            </w:tcBorders>
            <w:shd w:val="clear" w:color="auto" w:fill="auto"/>
            <w:noWrap/>
            <w:vAlign w:val="bottom"/>
            <w:hideMark/>
          </w:tcPr>
          <w:p w14:paraId="40999562"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99.3</w:t>
            </w:r>
          </w:p>
        </w:tc>
      </w:tr>
      <w:tr w:rsidR="001056EE" w:rsidRPr="007B2CE1" w14:paraId="0874A45F" w14:textId="77777777" w:rsidTr="00880FF7">
        <w:trPr>
          <w:trHeight w:val="300"/>
        </w:trPr>
        <w:tc>
          <w:tcPr>
            <w:tcW w:w="1701" w:type="dxa"/>
            <w:tcBorders>
              <w:top w:val="nil"/>
              <w:left w:val="nil"/>
              <w:bottom w:val="nil"/>
              <w:right w:val="nil"/>
            </w:tcBorders>
            <w:shd w:val="clear" w:color="auto" w:fill="auto"/>
            <w:noWrap/>
            <w:vAlign w:val="center"/>
            <w:hideMark/>
          </w:tcPr>
          <w:p w14:paraId="50F483C2"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OC-d15</w:t>
            </w:r>
          </w:p>
        </w:tc>
        <w:tc>
          <w:tcPr>
            <w:tcW w:w="3547" w:type="dxa"/>
            <w:tcBorders>
              <w:top w:val="nil"/>
              <w:left w:val="nil"/>
              <w:bottom w:val="nil"/>
              <w:right w:val="nil"/>
            </w:tcBorders>
            <w:shd w:val="clear" w:color="auto" w:fill="auto"/>
            <w:noWrap/>
            <w:vAlign w:val="center"/>
            <w:hideMark/>
          </w:tcPr>
          <w:p w14:paraId="4F6F7D78"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Octocrylene-d15</w:t>
            </w:r>
          </w:p>
        </w:tc>
        <w:tc>
          <w:tcPr>
            <w:tcW w:w="2832" w:type="dxa"/>
            <w:tcBorders>
              <w:top w:val="nil"/>
              <w:left w:val="nil"/>
              <w:bottom w:val="nil"/>
              <w:right w:val="nil"/>
            </w:tcBorders>
            <w:shd w:val="clear" w:color="auto" w:fill="auto"/>
            <w:noWrap/>
            <w:vAlign w:val="center"/>
            <w:hideMark/>
          </w:tcPr>
          <w:p w14:paraId="032D5630"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Sigma-Aldrich</w:t>
            </w:r>
          </w:p>
        </w:tc>
        <w:tc>
          <w:tcPr>
            <w:tcW w:w="1276" w:type="dxa"/>
            <w:tcBorders>
              <w:top w:val="nil"/>
              <w:left w:val="nil"/>
              <w:bottom w:val="nil"/>
              <w:right w:val="nil"/>
            </w:tcBorders>
            <w:shd w:val="clear" w:color="auto" w:fill="auto"/>
            <w:noWrap/>
            <w:vAlign w:val="bottom"/>
            <w:hideMark/>
          </w:tcPr>
          <w:p w14:paraId="7D5030FF"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99.7</w:t>
            </w:r>
          </w:p>
        </w:tc>
      </w:tr>
      <w:tr w:rsidR="001056EE" w:rsidRPr="007B2CE1" w14:paraId="7D56CBEF" w14:textId="77777777" w:rsidTr="00880FF7">
        <w:trPr>
          <w:trHeight w:val="300"/>
        </w:trPr>
        <w:tc>
          <w:tcPr>
            <w:tcW w:w="1701" w:type="dxa"/>
            <w:tcBorders>
              <w:top w:val="nil"/>
              <w:left w:val="nil"/>
              <w:bottom w:val="nil"/>
              <w:right w:val="nil"/>
            </w:tcBorders>
            <w:shd w:val="clear" w:color="auto" w:fill="auto"/>
            <w:noWrap/>
            <w:vAlign w:val="center"/>
            <w:hideMark/>
          </w:tcPr>
          <w:p w14:paraId="7DD2931F"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TCEP-d12</w:t>
            </w:r>
          </w:p>
        </w:tc>
        <w:tc>
          <w:tcPr>
            <w:tcW w:w="3547" w:type="dxa"/>
            <w:tcBorders>
              <w:top w:val="nil"/>
              <w:left w:val="nil"/>
              <w:bottom w:val="nil"/>
              <w:right w:val="nil"/>
            </w:tcBorders>
            <w:shd w:val="clear" w:color="auto" w:fill="auto"/>
            <w:noWrap/>
            <w:vAlign w:val="center"/>
            <w:hideMark/>
          </w:tcPr>
          <w:p w14:paraId="1262F876"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Tris(2-chloroethyl) phosphate-d12</w:t>
            </w:r>
          </w:p>
        </w:tc>
        <w:tc>
          <w:tcPr>
            <w:tcW w:w="2832" w:type="dxa"/>
            <w:tcBorders>
              <w:top w:val="nil"/>
              <w:left w:val="nil"/>
              <w:bottom w:val="nil"/>
              <w:right w:val="nil"/>
            </w:tcBorders>
            <w:shd w:val="clear" w:color="auto" w:fill="auto"/>
            <w:noWrap/>
            <w:vAlign w:val="center"/>
            <w:hideMark/>
          </w:tcPr>
          <w:p w14:paraId="79E2856E" w14:textId="5C833B82"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Wellington Laboratories</w:t>
            </w:r>
          </w:p>
        </w:tc>
        <w:tc>
          <w:tcPr>
            <w:tcW w:w="1276" w:type="dxa"/>
            <w:tcBorders>
              <w:top w:val="nil"/>
              <w:left w:val="nil"/>
              <w:bottom w:val="nil"/>
              <w:right w:val="nil"/>
            </w:tcBorders>
            <w:shd w:val="clear" w:color="auto" w:fill="auto"/>
            <w:noWrap/>
            <w:vAlign w:val="bottom"/>
            <w:hideMark/>
          </w:tcPr>
          <w:p w14:paraId="0225C081"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&gt;98</w:t>
            </w:r>
          </w:p>
        </w:tc>
      </w:tr>
      <w:tr w:rsidR="001056EE" w:rsidRPr="007B2CE1" w14:paraId="6EF25B95" w14:textId="77777777" w:rsidTr="00880FF7">
        <w:trPr>
          <w:trHeight w:val="300"/>
        </w:trPr>
        <w:tc>
          <w:tcPr>
            <w:tcW w:w="1701" w:type="dxa"/>
            <w:tcBorders>
              <w:top w:val="nil"/>
              <w:left w:val="nil"/>
              <w:bottom w:val="nil"/>
              <w:right w:val="nil"/>
            </w:tcBorders>
            <w:shd w:val="clear" w:color="auto" w:fill="auto"/>
            <w:noWrap/>
            <w:vAlign w:val="center"/>
            <w:hideMark/>
          </w:tcPr>
          <w:p w14:paraId="05DA7D13"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TPhP-d15</w:t>
            </w:r>
          </w:p>
        </w:tc>
        <w:tc>
          <w:tcPr>
            <w:tcW w:w="3547" w:type="dxa"/>
            <w:tcBorders>
              <w:top w:val="nil"/>
              <w:left w:val="nil"/>
              <w:bottom w:val="nil"/>
              <w:right w:val="nil"/>
            </w:tcBorders>
            <w:shd w:val="clear" w:color="auto" w:fill="auto"/>
            <w:noWrap/>
            <w:vAlign w:val="center"/>
            <w:hideMark/>
          </w:tcPr>
          <w:p w14:paraId="29FD0604"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Triphenyl phosphate-d15</w:t>
            </w:r>
          </w:p>
        </w:tc>
        <w:tc>
          <w:tcPr>
            <w:tcW w:w="2832" w:type="dxa"/>
            <w:tcBorders>
              <w:top w:val="nil"/>
              <w:left w:val="nil"/>
              <w:bottom w:val="nil"/>
              <w:right w:val="nil"/>
            </w:tcBorders>
            <w:shd w:val="clear" w:color="auto" w:fill="auto"/>
            <w:noWrap/>
            <w:vAlign w:val="center"/>
            <w:hideMark/>
          </w:tcPr>
          <w:p w14:paraId="6ADC7F33"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 xml:space="preserve">Dr. </w:t>
            </w:r>
            <w:proofErr w:type="spellStart"/>
            <w:r w:rsidRPr="007B2CE1">
              <w:rPr>
                <w:rFonts w:ascii="Arial" w:eastAsia="Times New Roman" w:hAnsi="Arial" w:cs="Arial"/>
                <w:color w:val="000000"/>
                <w:sz w:val="20"/>
                <w:szCs w:val="20"/>
                <w:lang w:val="en-US"/>
              </w:rPr>
              <w:t>Ehrensdorfer</w:t>
            </w:r>
            <w:proofErr w:type="spellEnd"/>
            <w:r w:rsidRPr="007B2CE1">
              <w:rPr>
                <w:rFonts w:ascii="Arial" w:eastAsia="Times New Roman" w:hAnsi="Arial" w:cs="Arial"/>
                <w:color w:val="000000"/>
                <w:sz w:val="20"/>
                <w:szCs w:val="20"/>
                <w:lang w:val="en-US"/>
              </w:rPr>
              <w:t xml:space="preserve"> GmbH</w:t>
            </w:r>
          </w:p>
        </w:tc>
        <w:tc>
          <w:tcPr>
            <w:tcW w:w="1276" w:type="dxa"/>
            <w:tcBorders>
              <w:top w:val="nil"/>
              <w:left w:val="nil"/>
              <w:bottom w:val="nil"/>
              <w:right w:val="nil"/>
            </w:tcBorders>
            <w:shd w:val="clear" w:color="auto" w:fill="auto"/>
            <w:noWrap/>
            <w:vAlign w:val="bottom"/>
            <w:hideMark/>
          </w:tcPr>
          <w:p w14:paraId="2808A6C3"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98.0</w:t>
            </w:r>
          </w:p>
        </w:tc>
      </w:tr>
      <w:tr w:rsidR="001056EE" w:rsidRPr="007B2CE1" w14:paraId="427218DC" w14:textId="77777777" w:rsidTr="00880FF7">
        <w:trPr>
          <w:trHeight w:val="300"/>
        </w:trPr>
        <w:tc>
          <w:tcPr>
            <w:tcW w:w="1701" w:type="dxa"/>
            <w:tcBorders>
              <w:top w:val="nil"/>
              <w:left w:val="nil"/>
              <w:bottom w:val="nil"/>
              <w:right w:val="nil"/>
            </w:tcBorders>
            <w:shd w:val="clear" w:color="auto" w:fill="auto"/>
            <w:noWrap/>
            <w:vAlign w:val="center"/>
            <w:hideMark/>
          </w:tcPr>
          <w:p w14:paraId="62B04DAD" w14:textId="60FD99F6" w:rsidR="001056EE" w:rsidRPr="007B2CE1" w:rsidRDefault="00E53A0F"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Tinuvin</w:t>
            </w:r>
            <w:r w:rsidR="001056EE" w:rsidRPr="007B2CE1">
              <w:rPr>
                <w:rFonts w:ascii="Arial" w:eastAsia="Times New Roman" w:hAnsi="Arial" w:cs="Arial"/>
                <w:color w:val="000000"/>
                <w:sz w:val="20"/>
                <w:szCs w:val="20"/>
                <w:lang w:val="en-US"/>
              </w:rPr>
              <w:t>-327-d20</w:t>
            </w:r>
          </w:p>
        </w:tc>
        <w:tc>
          <w:tcPr>
            <w:tcW w:w="3547" w:type="dxa"/>
            <w:tcBorders>
              <w:top w:val="nil"/>
              <w:left w:val="nil"/>
              <w:bottom w:val="nil"/>
              <w:right w:val="nil"/>
            </w:tcBorders>
            <w:shd w:val="clear" w:color="auto" w:fill="auto"/>
            <w:noWrap/>
            <w:vAlign w:val="center"/>
            <w:hideMark/>
          </w:tcPr>
          <w:p w14:paraId="20A0CB14"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2,4-Di-tert-butyl-6-(5-chloro-2H-benzotriazol-2-</w:t>
            </w:r>
            <w:proofErr w:type="gramStart"/>
            <w:r w:rsidRPr="007B2CE1">
              <w:rPr>
                <w:rFonts w:ascii="Arial" w:eastAsia="Times New Roman" w:hAnsi="Arial" w:cs="Arial"/>
                <w:color w:val="000000"/>
                <w:lang w:val="en-US"/>
              </w:rPr>
              <w:t>yl)phenol</w:t>
            </w:r>
            <w:proofErr w:type="gramEnd"/>
            <w:r w:rsidRPr="007B2CE1">
              <w:rPr>
                <w:rFonts w:ascii="Arial" w:eastAsia="Times New Roman" w:hAnsi="Arial" w:cs="Arial"/>
                <w:color w:val="000000"/>
                <w:lang w:val="en-US"/>
              </w:rPr>
              <w:t>-d20</w:t>
            </w:r>
          </w:p>
        </w:tc>
        <w:tc>
          <w:tcPr>
            <w:tcW w:w="2832" w:type="dxa"/>
            <w:tcBorders>
              <w:top w:val="nil"/>
              <w:left w:val="nil"/>
              <w:bottom w:val="nil"/>
              <w:right w:val="nil"/>
            </w:tcBorders>
            <w:shd w:val="clear" w:color="auto" w:fill="auto"/>
            <w:noWrap/>
            <w:vAlign w:val="center"/>
            <w:hideMark/>
          </w:tcPr>
          <w:p w14:paraId="539B80F3"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Toronto Research Chemicals</w:t>
            </w:r>
          </w:p>
        </w:tc>
        <w:tc>
          <w:tcPr>
            <w:tcW w:w="1276" w:type="dxa"/>
            <w:tcBorders>
              <w:top w:val="nil"/>
              <w:left w:val="nil"/>
              <w:bottom w:val="nil"/>
              <w:right w:val="nil"/>
            </w:tcBorders>
            <w:shd w:val="clear" w:color="auto" w:fill="auto"/>
            <w:noWrap/>
            <w:vAlign w:val="bottom"/>
            <w:hideMark/>
          </w:tcPr>
          <w:p w14:paraId="0FAEDD72"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96.0</w:t>
            </w:r>
          </w:p>
        </w:tc>
      </w:tr>
      <w:tr w:rsidR="001056EE" w:rsidRPr="007B2CE1" w14:paraId="00384363" w14:textId="77777777" w:rsidTr="00880FF7">
        <w:trPr>
          <w:trHeight w:val="300"/>
        </w:trPr>
        <w:tc>
          <w:tcPr>
            <w:tcW w:w="1701" w:type="dxa"/>
            <w:tcBorders>
              <w:top w:val="nil"/>
              <w:left w:val="nil"/>
              <w:bottom w:val="nil"/>
              <w:right w:val="nil"/>
            </w:tcBorders>
            <w:shd w:val="clear" w:color="auto" w:fill="auto"/>
            <w:noWrap/>
            <w:vAlign w:val="center"/>
            <w:hideMark/>
          </w:tcPr>
          <w:p w14:paraId="2E307D79" w14:textId="0EB516DF" w:rsidR="001056EE" w:rsidRPr="007B2CE1" w:rsidRDefault="00E53A0F" w:rsidP="001056EE">
            <w:pPr>
              <w:spacing w:after="0" w:line="240" w:lineRule="auto"/>
              <w:rPr>
                <w:rFonts w:ascii="Arial" w:eastAsia="Times New Roman" w:hAnsi="Arial" w:cs="Arial"/>
                <w:color w:val="000000"/>
                <w:sz w:val="20"/>
                <w:szCs w:val="20"/>
                <w:lang w:val="en-US"/>
              </w:rPr>
            </w:pPr>
            <w:proofErr w:type="spellStart"/>
            <w:r w:rsidRPr="007B2CE1">
              <w:rPr>
                <w:rFonts w:ascii="Arial" w:eastAsia="Times New Roman" w:hAnsi="Arial" w:cs="Arial"/>
                <w:color w:val="000000"/>
                <w:sz w:val="20"/>
                <w:szCs w:val="20"/>
                <w:lang w:val="en-US"/>
              </w:rPr>
              <w:t>Tinuvin</w:t>
            </w:r>
            <w:proofErr w:type="spellEnd"/>
            <w:r w:rsidRPr="007B2CE1">
              <w:rPr>
                <w:rFonts w:ascii="Arial" w:eastAsia="Times New Roman" w:hAnsi="Arial" w:cs="Arial"/>
                <w:color w:val="000000"/>
                <w:sz w:val="20"/>
                <w:szCs w:val="20"/>
                <w:lang w:val="en-US"/>
              </w:rPr>
              <w:t xml:space="preserve"> </w:t>
            </w:r>
            <w:r w:rsidR="001056EE" w:rsidRPr="007B2CE1">
              <w:rPr>
                <w:rFonts w:ascii="Arial" w:eastAsia="Times New Roman" w:hAnsi="Arial" w:cs="Arial"/>
                <w:color w:val="000000"/>
                <w:sz w:val="20"/>
                <w:szCs w:val="20"/>
                <w:lang w:val="en-US"/>
              </w:rPr>
              <w:t>-328-d4</w:t>
            </w:r>
          </w:p>
        </w:tc>
        <w:tc>
          <w:tcPr>
            <w:tcW w:w="3547" w:type="dxa"/>
            <w:tcBorders>
              <w:top w:val="nil"/>
              <w:left w:val="nil"/>
              <w:bottom w:val="nil"/>
              <w:right w:val="nil"/>
            </w:tcBorders>
            <w:shd w:val="clear" w:color="auto" w:fill="auto"/>
            <w:noWrap/>
            <w:vAlign w:val="center"/>
            <w:hideMark/>
          </w:tcPr>
          <w:p w14:paraId="154A64B9"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2-(2H-Benzotriazol-2-yl)-4,6-di-tert-pentylphenol-d4</w:t>
            </w:r>
          </w:p>
        </w:tc>
        <w:tc>
          <w:tcPr>
            <w:tcW w:w="2832" w:type="dxa"/>
            <w:tcBorders>
              <w:top w:val="nil"/>
              <w:left w:val="nil"/>
              <w:bottom w:val="nil"/>
              <w:right w:val="nil"/>
            </w:tcBorders>
            <w:shd w:val="clear" w:color="auto" w:fill="auto"/>
            <w:noWrap/>
            <w:vAlign w:val="center"/>
            <w:hideMark/>
          </w:tcPr>
          <w:p w14:paraId="6206D7E9" w14:textId="77777777" w:rsidR="001056EE" w:rsidRPr="007B2CE1" w:rsidRDefault="001056EE" w:rsidP="001056EE">
            <w:pPr>
              <w:spacing w:after="0" w:line="240" w:lineRule="auto"/>
              <w:rPr>
                <w:rFonts w:ascii="Arial" w:eastAsia="Times New Roman" w:hAnsi="Arial" w:cs="Arial"/>
                <w:color w:val="000000"/>
                <w:sz w:val="20"/>
                <w:szCs w:val="20"/>
                <w:lang w:val="en-US"/>
              </w:rPr>
            </w:pPr>
            <w:proofErr w:type="spellStart"/>
            <w:r w:rsidRPr="007B2CE1">
              <w:rPr>
                <w:rFonts w:ascii="Arial" w:eastAsia="Times New Roman" w:hAnsi="Arial" w:cs="Arial"/>
                <w:color w:val="000000"/>
                <w:sz w:val="20"/>
                <w:szCs w:val="20"/>
                <w:lang w:val="en-US"/>
              </w:rPr>
              <w:t>Campro</w:t>
            </w:r>
            <w:proofErr w:type="spellEnd"/>
            <w:r w:rsidRPr="007B2CE1">
              <w:rPr>
                <w:rFonts w:ascii="Arial" w:eastAsia="Times New Roman" w:hAnsi="Arial" w:cs="Arial"/>
                <w:color w:val="000000"/>
                <w:sz w:val="20"/>
                <w:szCs w:val="20"/>
                <w:lang w:val="en-US"/>
              </w:rPr>
              <w:t xml:space="preserve"> Scientific</w:t>
            </w:r>
          </w:p>
        </w:tc>
        <w:tc>
          <w:tcPr>
            <w:tcW w:w="1276" w:type="dxa"/>
            <w:tcBorders>
              <w:top w:val="nil"/>
              <w:left w:val="nil"/>
              <w:bottom w:val="nil"/>
              <w:right w:val="nil"/>
            </w:tcBorders>
            <w:shd w:val="clear" w:color="auto" w:fill="auto"/>
            <w:noWrap/>
            <w:vAlign w:val="bottom"/>
            <w:hideMark/>
          </w:tcPr>
          <w:p w14:paraId="3B95E328"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99.4</w:t>
            </w:r>
          </w:p>
        </w:tc>
      </w:tr>
      <w:tr w:rsidR="001056EE" w:rsidRPr="007B2CE1" w14:paraId="6474ECBE" w14:textId="77777777" w:rsidTr="00880FF7">
        <w:trPr>
          <w:trHeight w:val="300"/>
        </w:trPr>
        <w:tc>
          <w:tcPr>
            <w:tcW w:w="1701" w:type="dxa"/>
            <w:tcBorders>
              <w:top w:val="nil"/>
              <w:left w:val="nil"/>
              <w:bottom w:val="nil"/>
              <w:right w:val="nil"/>
            </w:tcBorders>
            <w:shd w:val="clear" w:color="auto" w:fill="auto"/>
            <w:noWrap/>
            <w:vAlign w:val="center"/>
            <w:hideMark/>
          </w:tcPr>
          <w:p w14:paraId="097DD5E1" w14:textId="04FEF98D" w:rsidR="001056EE" w:rsidRPr="007B2CE1" w:rsidRDefault="00E53A0F" w:rsidP="001056EE">
            <w:pPr>
              <w:spacing w:after="0" w:line="240" w:lineRule="auto"/>
              <w:rPr>
                <w:rFonts w:ascii="Arial" w:eastAsia="Times New Roman" w:hAnsi="Arial" w:cs="Arial"/>
                <w:color w:val="000000"/>
                <w:sz w:val="20"/>
                <w:szCs w:val="20"/>
                <w:lang w:val="en-US"/>
              </w:rPr>
            </w:pPr>
            <w:proofErr w:type="spellStart"/>
            <w:r w:rsidRPr="007B2CE1">
              <w:rPr>
                <w:rFonts w:ascii="Arial" w:eastAsia="Times New Roman" w:hAnsi="Arial" w:cs="Arial"/>
                <w:color w:val="000000"/>
                <w:sz w:val="20"/>
                <w:szCs w:val="20"/>
                <w:lang w:val="en-US"/>
              </w:rPr>
              <w:t>Tinuvin</w:t>
            </w:r>
            <w:proofErr w:type="spellEnd"/>
            <w:r w:rsidRPr="007B2CE1">
              <w:rPr>
                <w:rFonts w:ascii="Arial" w:eastAsia="Times New Roman" w:hAnsi="Arial" w:cs="Arial"/>
                <w:color w:val="000000"/>
                <w:sz w:val="20"/>
                <w:szCs w:val="20"/>
                <w:lang w:val="en-US"/>
              </w:rPr>
              <w:t xml:space="preserve"> </w:t>
            </w:r>
            <w:r w:rsidR="001056EE" w:rsidRPr="007B2CE1">
              <w:rPr>
                <w:rFonts w:ascii="Arial" w:eastAsia="Times New Roman" w:hAnsi="Arial" w:cs="Arial"/>
                <w:color w:val="000000"/>
                <w:sz w:val="20"/>
                <w:szCs w:val="20"/>
                <w:lang w:val="en-US"/>
              </w:rPr>
              <w:t>-360-d8</w:t>
            </w:r>
          </w:p>
        </w:tc>
        <w:tc>
          <w:tcPr>
            <w:tcW w:w="3547" w:type="dxa"/>
            <w:tcBorders>
              <w:top w:val="nil"/>
              <w:left w:val="nil"/>
              <w:bottom w:val="nil"/>
              <w:right w:val="nil"/>
            </w:tcBorders>
            <w:shd w:val="clear" w:color="auto" w:fill="auto"/>
            <w:noWrap/>
            <w:vAlign w:val="center"/>
            <w:hideMark/>
          </w:tcPr>
          <w:p w14:paraId="3B82D2F6"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Bisoctrizole-d8</w:t>
            </w:r>
          </w:p>
        </w:tc>
        <w:tc>
          <w:tcPr>
            <w:tcW w:w="2832" w:type="dxa"/>
            <w:tcBorders>
              <w:top w:val="nil"/>
              <w:left w:val="nil"/>
              <w:bottom w:val="nil"/>
              <w:right w:val="nil"/>
            </w:tcBorders>
            <w:shd w:val="clear" w:color="auto" w:fill="auto"/>
            <w:noWrap/>
            <w:vAlign w:val="center"/>
            <w:hideMark/>
          </w:tcPr>
          <w:p w14:paraId="24E3EE64" w14:textId="77777777" w:rsidR="001056EE" w:rsidRPr="007B2CE1" w:rsidRDefault="001056EE" w:rsidP="001056EE">
            <w:pPr>
              <w:spacing w:after="0" w:line="240" w:lineRule="auto"/>
              <w:rPr>
                <w:rFonts w:ascii="Arial" w:eastAsia="Times New Roman" w:hAnsi="Arial" w:cs="Arial"/>
                <w:color w:val="000000"/>
                <w:sz w:val="20"/>
                <w:szCs w:val="20"/>
                <w:lang w:val="en-US"/>
              </w:rPr>
            </w:pPr>
            <w:proofErr w:type="spellStart"/>
            <w:r w:rsidRPr="007B2CE1">
              <w:rPr>
                <w:rFonts w:ascii="Arial" w:eastAsia="Times New Roman" w:hAnsi="Arial" w:cs="Arial"/>
                <w:color w:val="000000"/>
                <w:sz w:val="20"/>
                <w:szCs w:val="20"/>
                <w:lang w:val="en-US"/>
              </w:rPr>
              <w:t>Campro</w:t>
            </w:r>
            <w:proofErr w:type="spellEnd"/>
            <w:r w:rsidRPr="007B2CE1">
              <w:rPr>
                <w:rFonts w:ascii="Arial" w:eastAsia="Times New Roman" w:hAnsi="Arial" w:cs="Arial"/>
                <w:color w:val="000000"/>
                <w:sz w:val="20"/>
                <w:szCs w:val="20"/>
                <w:lang w:val="en-US"/>
              </w:rPr>
              <w:t xml:space="preserve"> Scientific</w:t>
            </w:r>
          </w:p>
        </w:tc>
        <w:tc>
          <w:tcPr>
            <w:tcW w:w="1276" w:type="dxa"/>
            <w:tcBorders>
              <w:top w:val="nil"/>
              <w:left w:val="nil"/>
              <w:bottom w:val="nil"/>
              <w:right w:val="nil"/>
            </w:tcBorders>
            <w:shd w:val="clear" w:color="auto" w:fill="auto"/>
            <w:noWrap/>
            <w:vAlign w:val="bottom"/>
            <w:hideMark/>
          </w:tcPr>
          <w:p w14:paraId="573D4460"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99.6</w:t>
            </w:r>
          </w:p>
        </w:tc>
      </w:tr>
      <w:tr w:rsidR="001056EE" w:rsidRPr="007B2CE1" w14:paraId="549B5888" w14:textId="77777777" w:rsidTr="00880FF7">
        <w:trPr>
          <w:trHeight w:val="300"/>
        </w:trPr>
        <w:tc>
          <w:tcPr>
            <w:tcW w:w="1701" w:type="dxa"/>
            <w:tcBorders>
              <w:top w:val="nil"/>
              <w:left w:val="nil"/>
              <w:bottom w:val="nil"/>
              <w:right w:val="nil"/>
            </w:tcBorders>
            <w:shd w:val="clear" w:color="auto" w:fill="auto"/>
            <w:noWrap/>
            <w:vAlign w:val="center"/>
            <w:hideMark/>
          </w:tcPr>
          <w:p w14:paraId="74AB1501" w14:textId="5D0D2D67" w:rsidR="001056EE" w:rsidRPr="007B2CE1" w:rsidRDefault="00E53A0F" w:rsidP="001056EE">
            <w:pPr>
              <w:spacing w:after="0" w:line="240" w:lineRule="auto"/>
              <w:rPr>
                <w:rFonts w:ascii="Arial" w:eastAsia="Times New Roman" w:hAnsi="Arial" w:cs="Arial"/>
                <w:color w:val="000000"/>
                <w:sz w:val="20"/>
                <w:szCs w:val="20"/>
                <w:lang w:val="en-US"/>
              </w:rPr>
            </w:pPr>
            <w:proofErr w:type="spellStart"/>
            <w:r w:rsidRPr="007B2CE1">
              <w:rPr>
                <w:rFonts w:ascii="Arial" w:eastAsia="Times New Roman" w:hAnsi="Arial" w:cs="Arial"/>
                <w:color w:val="000000"/>
                <w:sz w:val="20"/>
                <w:szCs w:val="20"/>
                <w:lang w:val="en-US"/>
              </w:rPr>
              <w:t>Tinuvin</w:t>
            </w:r>
            <w:proofErr w:type="spellEnd"/>
            <w:r w:rsidRPr="007B2CE1">
              <w:rPr>
                <w:rFonts w:ascii="Arial" w:eastAsia="Times New Roman" w:hAnsi="Arial" w:cs="Arial"/>
                <w:color w:val="000000"/>
                <w:sz w:val="20"/>
                <w:szCs w:val="20"/>
                <w:lang w:val="en-US"/>
              </w:rPr>
              <w:t xml:space="preserve"> </w:t>
            </w:r>
            <w:r w:rsidR="001056EE" w:rsidRPr="007B2CE1">
              <w:rPr>
                <w:rFonts w:ascii="Arial" w:eastAsia="Times New Roman" w:hAnsi="Arial" w:cs="Arial"/>
                <w:color w:val="000000"/>
                <w:sz w:val="20"/>
                <w:szCs w:val="20"/>
                <w:lang w:val="en-US"/>
              </w:rPr>
              <w:t>-P-d4</w:t>
            </w:r>
          </w:p>
        </w:tc>
        <w:tc>
          <w:tcPr>
            <w:tcW w:w="3547" w:type="dxa"/>
            <w:tcBorders>
              <w:top w:val="nil"/>
              <w:left w:val="nil"/>
              <w:bottom w:val="nil"/>
              <w:right w:val="nil"/>
            </w:tcBorders>
            <w:shd w:val="clear" w:color="auto" w:fill="auto"/>
            <w:noWrap/>
            <w:vAlign w:val="center"/>
            <w:hideMark/>
          </w:tcPr>
          <w:p w14:paraId="6251BB5A"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2-(2-Hydroxy-5-</w:t>
            </w:r>
            <w:proofErr w:type="gramStart"/>
            <w:r w:rsidRPr="007B2CE1">
              <w:rPr>
                <w:rFonts w:ascii="Arial" w:eastAsia="Times New Roman" w:hAnsi="Arial" w:cs="Arial"/>
                <w:color w:val="000000"/>
                <w:lang w:val="en-US"/>
              </w:rPr>
              <w:t>methylphenyl)benzotriazole</w:t>
            </w:r>
            <w:proofErr w:type="gramEnd"/>
            <w:r w:rsidRPr="007B2CE1">
              <w:rPr>
                <w:rFonts w:ascii="Arial" w:eastAsia="Times New Roman" w:hAnsi="Arial" w:cs="Arial"/>
                <w:color w:val="000000"/>
                <w:lang w:val="en-US"/>
              </w:rPr>
              <w:t>-d4; UV-P-d4 + UV328-d4</w:t>
            </w:r>
          </w:p>
        </w:tc>
        <w:tc>
          <w:tcPr>
            <w:tcW w:w="2832" w:type="dxa"/>
            <w:tcBorders>
              <w:top w:val="nil"/>
              <w:left w:val="nil"/>
              <w:bottom w:val="nil"/>
              <w:right w:val="nil"/>
            </w:tcBorders>
            <w:shd w:val="clear" w:color="auto" w:fill="auto"/>
            <w:noWrap/>
            <w:vAlign w:val="center"/>
            <w:hideMark/>
          </w:tcPr>
          <w:p w14:paraId="748D4C6D" w14:textId="77777777" w:rsidR="001056EE" w:rsidRPr="007B2CE1" w:rsidRDefault="001056EE" w:rsidP="001056EE">
            <w:pPr>
              <w:spacing w:after="0" w:line="240" w:lineRule="auto"/>
              <w:rPr>
                <w:rFonts w:ascii="Arial" w:eastAsia="Times New Roman" w:hAnsi="Arial" w:cs="Arial"/>
                <w:color w:val="000000"/>
                <w:sz w:val="20"/>
                <w:szCs w:val="20"/>
                <w:lang w:val="en-US"/>
              </w:rPr>
            </w:pPr>
            <w:proofErr w:type="spellStart"/>
            <w:r w:rsidRPr="007B2CE1">
              <w:rPr>
                <w:rFonts w:ascii="Arial" w:eastAsia="Times New Roman" w:hAnsi="Arial" w:cs="Arial"/>
                <w:color w:val="000000"/>
                <w:sz w:val="20"/>
                <w:szCs w:val="20"/>
                <w:lang w:val="en-US"/>
              </w:rPr>
              <w:t>Campro</w:t>
            </w:r>
            <w:proofErr w:type="spellEnd"/>
            <w:r w:rsidRPr="007B2CE1">
              <w:rPr>
                <w:rFonts w:ascii="Arial" w:eastAsia="Times New Roman" w:hAnsi="Arial" w:cs="Arial"/>
                <w:color w:val="000000"/>
                <w:sz w:val="20"/>
                <w:szCs w:val="20"/>
                <w:lang w:val="en-US"/>
              </w:rPr>
              <w:t xml:space="preserve"> Scientific</w:t>
            </w:r>
          </w:p>
        </w:tc>
        <w:tc>
          <w:tcPr>
            <w:tcW w:w="1276" w:type="dxa"/>
            <w:tcBorders>
              <w:top w:val="nil"/>
              <w:left w:val="nil"/>
              <w:bottom w:val="nil"/>
              <w:right w:val="nil"/>
            </w:tcBorders>
            <w:shd w:val="clear" w:color="auto" w:fill="auto"/>
            <w:noWrap/>
            <w:vAlign w:val="bottom"/>
            <w:hideMark/>
          </w:tcPr>
          <w:p w14:paraId="6BB9DE8B"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99.4</w:t>
            </w:r>
          </w:p>
        </w:tc>
      </w:tr>
      <w:tr w:rsidR="001056EE" w:rsidRPr="007B2CE1" w14:paraId="488BAAC0" w14:textId="77777777" w:rsidTr="00880FF7">
        <w:trPr>
          <w:trHeight w:val="300"/>
        </w:trPr>
        <w:tc>
          <w:tcPr>
            <w:tcW w:w="1701" w:type="dxa"/>
            <w:tcBorders>
              <w:top w:val="nil"/>
              <w:left w:val="nil"/>
              <w:bottom w:val="nil"/>
              <w:right w:val="nil"/>
            </w:tcBorders>
            <w:shd w:val="clear" w:color="auto" w:fill="auto"/>
            <w:noWrap/>
            <w:vAlign w:val="center"/>
            <w:hideMark/>
          </w:tcPr>
          <w:p w14:paraId="66A031BF" w14:textId="03D8D266"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BP-d10 (inj. Standard)</w:t>
            </w:r>
          </w:p>
        </w:tc>
        <w:tc>
          <w:tcPr>
            <w:tcW w:w="3547" w:type="dxa"/>
            <w:tcBorders>
              <w:top w:val="nil"/>
              <w:left w:val="nil"/>
              <w:bottom w:val="nil"/>
              <w:right w:val="nil"/>
            </w:tcBorders>
            <w:shd w:val="clear" w:color="auto" w:fill="auto"/>
            <w:noWrap/>
            <w:vAlign w:val="center"/>
            <w:hideMark/>
          </w:tcPr>
          <w:p w14:paraId="2AA14C26"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Benzophenone-d10</w:t>
            </w:r>
          </w:p>
        </w:tc>
        <w:tc>
          <w:tcPr>
            <w:tcW w:w="2832" w:type="dxa"/>
            <w:tcBorders>
              <w:top w:val="nil"/>
              <w:left w:val="nil"/>
              <w:bottom w:val="nil"/>
              <w:right w:val="nil"/>
            </w:tcBorders>
            <w:shd w:val="clear" w:color="auto" w:fill="auto"/>
            <w:noWrap/>
            <w:vAlign w:val="center"/>
            <w:hideMark/>
          </w:tcPr>
          <w:p w14:paraId="08F30687" w14:textId="77777777"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Sigma-Aldrich</w:t>
            </w:r>
          </w:p>
        </w:tc>
        <w:tc>
          <w:tcPr>
            <w:tcW w:w="1276" w:type="dxa"/>
            <w:tcBorders>
              <w:top w:val="nil"/>
              <w:left w:val="nil"/>
              <w:bottom w:val="nil"/>
              <w:right w:val="nil"/>
            </w:tcBorders>
            <w:shd w:val="clear" w:color="auto" w:fill="auto"/>
            <w:noWrap/>
            <w:vAlign w:val="center"/>
            <w:hideMark/>
          </w:tcPr>
          <w:p w14:paraId="6E4E2FC6"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99.0</w:t>
            </w:r>
          </w:p>
        </w:tc>
      </w:tr>
      <w:tr w:rsidR="001056EE" w:rsidRPr="007B2CE1" w14:paraId="4C2EA04C" w14:textId="77777777" w:rsidTr="00880FF7">
        <w:trPr>
          <w:trHeight w:val="300"/>
        </w:trPr>
        <w:tc>
          <w:tcPr>
            <w:tcW w:w="1701" w:type="dxa"/>
            <w:tcBorders>
              <w:top w:val="nil"/>
              <w:left w:val="nil"/>
              <w:bottom w:val="single" w:sz="4" w:space="0" w:color="auto"/>
              <w:right w:val="nil"/>
            </w:tcBorders>
            <w:shd w:val="clear" w:color="auto" w:fill="auto"/>
            <w:noWrap/>
            <w:vAlign w:val="center"/>
            <w:hideMark/>
          </w:tcPr>
          <w:p w14:paraId="31227047" w14:textId="300C55BE"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FOSA-13C8 (inj. Standard)</w:t>
            </w:r>
          </w:p>
        </w:tc>
        <w:tc>
          <w:tcPr>
            <w:tcW w:w="3547" w:type="dxa"/>
            <w:tcBorders>
              <w:top w:val="nil"/>
              <w:left w:val="nil"/>
              <w:bottom w:val="single" w:sz="4" w:space="0" w:color="auto"/>
              <w:right w:val="nil"/>
            </w:tcBorders>
            <w:shd w:val="clear" w:color="auto" w:fill="auto"/>
            <w:noWrap/>
            <w:vAlign w:val="center"/>
            <w:hideMark/>
          </w:tcPr>
          <w:p w14:paraId="113A162F" w14:textId="77777777" w:rsidR="001056EE" w:rsidRPr="007B2CE1" w:rsidRDefault="001056EE" w:rsidP="001056EE">
            <w:pPr>
              <w:spacing w:after="0" w:line="240" w:lineRule="auto"/>
              <w:rPr>
                <w:rFonts w:ascii="Arial" w:eastAsia="Times New Roman" w:hAnsi="Arial" w:cs="Arial"/>
                <w:color w:val="000000"/>
                <w:lang w:val="en-US"/>
              </w:rPr>
            </w:pPr>
            <w:r w:rsidRPr="007B2CE1">
              <w:rPr>
                <w:rFonts w:ascii="Arial" w:eastAsia="Times New Roman" w:hAnsi="Arial" w:cs="Arial"/>
                <w:color w:val="000000"/>
                <w:lang w:val="en-US"/>
              </w:rPr>
              <w:t>Perfluoro-1-octanesulfonamide-13C8</w:t>
            </w:r>
          </w:p>
        </w:tc>
        <w:tc>
          <w:tcPr>
            <w:tcW w:w="2832" w:type="dxa"/>
            <w:tcBorders>
              <w:top w:val="nil"/>
              <w:left w:val="nil"/>
              <w:bottom w:val="single" w:sz="4" w:space="0" w:color="auto"/>
              <w:right w:val="nil"/>
            </w:tcBorders>
            <w:shd w:val="clear" w:color="auto" w:fill="auto"/>
            <w:noWrap/>
            <w:vAlign w:val="center"/>
            <w:hideMark/>
          </w:tcPr>
          <w:p w14:paraId="7C71BA00" w14:textId="318ECCAF" w:rsidR="001056EE" w:rsidRPr="007B2CE1" w:rsidRDefault="001056EE" w:rsidP="001056EE">
            <w:pPr>
              <w:spacing w:after="0" w:line="240" w:lineRule="auto"/>
              <w:rPr>
                <w:rFonts w:ascii="Arial" w:eastAsia="Times New Roman" w:hAnsi="Arial" w:cs="Arial"/>
                <w:color w:val="000000"/>
                <w:sz w:val="20"/>
                <w:szCs w:val="20"/>
                <w:lang w:val="en-US"/>
              </w:rPr>
            </w:pPr>
            <w:r w:rsidRPr="007B2CE1">
              <w:rPr>
                <w:rFonts w:ascii="Arial" w:eastAsia="Times New Roman" w:hAnsi="Arial" w:cs="Arial"/>
                <w:color w:val="000000"/>
                <w:sz w:val="20"/>
                <w:szCs w:val="20"/>
                <w:lang w:val="en-US"/>
              </w:rPr>
              <w:t>Wellington Laboratories</w:t>
            </w:r>
          </w:p>
        </w:tc>
        <w:tc>
          <w:tcPr>
            <w:tcW w:w="1276" w:type="dxa"/>
            <w:tcBorders>
              <w:top w:val="nil"/>
              <w:left w:val="nil"/>
              <w:bottom w:val="single" w:sz="4" w:space="0" w:color="auto"/>
              <w:right w:val="nil"/>
            </w:tcBorders>
            <w:shd w:val="clear" w:color="auto" w:fill="auto"/>
            <w:noWrap/>
            <w:vAlign w:val="center"/>
            <w:hideMark/>
          </w:tcPr>
          <w:p w14:paraId="31F9834B" w14:textId="77777777" w:rsidR="001056EE" w:rsidRPr="007B2CE1" w:rsidRDefault="001056EE" w:rsidP="001056EE">
            <w:pPr>
              <w:spacing w:after="0" w:line="240" w:lineRule="auto"/>
              <w:jc w:val="right"/>
              <w:rPr>
                <w:rFonts w:ascii="Arial" w:eastAsia="Times New Roman" w:hAnsi="Arial" w:cs="Arial"/>
                <w:color w:val="000000"/>
                <w:lang w:val="en-US"/>
              </w:rPr>
            </w:pPr>
            <w:r w:rsidRPr="007B2CE1">
              <w:rPr>
                <w:rFonts w:ascii="Arial" w:eastAsia="Times New Roman" w:hAnsi="Arial" w:cs="Arial"/>
                <w:color w:val="000000"/>
                <w:lang w:val="en-US"/>
              </w:rPr>
              <w:t>&gt;99</w:t>
            </w:r>
          </w:p>
        </w:tc>
      </w:tr>
    </w:tbl>
    <w:p w14:paraId="2FDF3E7D" w14:textId="77777777" w:rsidR="00511E60" w:rsidRPr="007B2CE1" w:rsidRDefault="00511E60" w:rsidP="003C5783">
      <w:pPr>
        <w:rPr>
          <w:rFonts w:ascii="Arial" w:hAnsi="Arial" w:cs="Arial"/>
        </w:rPr>
      </w:pPr>
    </w:p>
    <w:p w14:paraId="7DAE9F13" w14:textId="77777777" w:rsidR="00905E75" w:rsidRPr="007B2CE1" w:rsidRDefault="00880FF7">
      <w:pPr>
        <w:rPr>
          <w:rFonts w:ascii="Arial" w:hAnsi="Arial" w:cs="Arial"/>
        </w:rPr>
      </w:pPr>
      <w:r w:rsidRPr="007B2CE1">
        <w:rPr>
          <w:rFonts w:ascii="Arial" w:hAnsi="Arial" w:cs="Arial"/>
        </w:rPr>
        <w:br w:type="page"/>
      </w:r>
    </w:p>
    <w:p w14:paraId="06DD71FD" w14:textId="1248DE2F" w:rsidR="00905E75" w:rsidRPr="007B2CE1" w:rsidRDefault="00905E75" w:rsidP="00BB644F">
      <w:pPr>
        <w:pStyle w:val="Caption"/>
        <w:keepNext/>
        <w:rPr>
          <w:rFonts w:ascii="Arial" w:hAnsi="Arial" w:cs="Arial"/>
        </w:rPr>
      </w:pPr>
      <w:bookmarkStart w:id="51" w:name="_Toc161066685"/>
      <w:r w:rsidRPr="007B2CE1">
        <w:rPr>
          <w:rFonts w:ascii="Arial" w:hAnsi="Arial" w:cs="Arial"/>
        </w:rPr>
        <w:lastRenderedPageBreak/>
        <w:t>Table S</w:t>
      </w:r>
      <w:r w:rsidRPr="007B2CE1">
        <w:rPr>
          <w:rFonts w:ascii="Arial" w:hAnsi="Arial" w:cs="Arial"/>
        </w:rPr>
        <w:fldChar w:fldCharType="begin"/>
      </w:r>
      <w:r w:rsidRPr="007B2CE1">
        <w:rPr>
          <w:rFonts w:ascii="Arial" w:hAnsi="Arial" w:cs="Arial"/>
        </w:rPr>
        <w:instrText xml:space="preserve"> SEQ Table \* ARABIC </w:instrText>
      </w:r>
      <w:r w:rsidRPr="007B2CE1">
        <w:rPr>
          <w:rFonts w:ascii="Arial" w:hAnsi="Arial" w:cs="Arial"/>
        </w:rPr>
        <w:fldChar w:fldCharType="separate"/>
      </w:r>
      <w:r w:rsidR="001A2654" w:rsidRPr="007B2CE1">
        <w:rPr>
          <w:rFonts w:ascii="Arial" w:hAnsi="Arial" w:cs="Arial"/>
        </w:rPr>
        <w:t>4</w:t>
      </w:r>
      <w:r w:rsidRPr="007B2CE1">
        <w:rPr>
          <w:rFonts w:ascii="Arial" w:hAnsi="Arial" w:cs="Arial"/>
        </w:rPr>
        <w:fldChar w:fldCharType="end"/>
      </w:r>
      <w:r w:rsidR="008609C2" w:rsidRPr="007B2CE1">
        <w:rPr>
          <w:rFonts w:ascii="Arial" w:hAnsi="Arial" w:cs="Arial"/>
        </w:rPr>
        <w:t>:</w:t>
      </w:r>
      <w:r w:rsidRPr="007B2CE1">
        <w:rPr>
          <w:rFonts w:ascii="Arial" w:hAnsi="Arial" w:cs="Arial"/>
        </w:rPr>
        <w:t xml:space="preserve"> </w:t>
      </w:r>
      <w:r w:rsidR="00BB644F" w:rsidRPr="007B2CE1">
        <w:rPr>
          <w:rFonts w:ascii="Arial" w:hAnsi="Arial" w:cs="Arial"/>
        </w:rPr>
        <w:t>Summary table of the findings in this study.</w:t>
      </w:r>
      <w:r w:rsidRPr="007B2CE1">
        <w:rPr>
          <w:rFonts w:ascii="Arial" w:hAnsi="Arial" w:cs="Arial"/>
        </w:rPr>
        <w:t xml:space="preserve"> If not stated otherwise, observations apply to both the UV and DC sample.</w:t>
      </w:r>
      <w:bookmarkEnd w:id="51"/>
      <w:r w:rsidRPr="007B2CE1">
        <w:rPr>
          <w:rFonts w:ascii="Arial" w:hAnsi="Arial" w:cs="Arial"/>
        </w:rPr>
        <w:t xml:space="preserve"> </w:t>
      </w:r>
    </w:p>
    <w:tbl>
      <w:tblPr>
        <w:tblStyle w:val="TableGrid"/>
        <w:tblW w:w="10485" w:type="dxa"/>
        <w:tblLayout w:type="fixed"/>
        <w:tblLook w:val="04A0" w:firstRow="1" w:lastRow="0" w:firstColumn="1" w:lastColumn="0" w:noHBand="0" w:noVBand="1"/>
      </w:tblPr>
      <w:tblGrid>
        <w:gridCol w:w="1309"/>
        <w:gridCol w:w="1380"/>
        <w:gridCol w:w="1559"/>
        <w:gridCol w:w="1701"/>
        <w:gridCol w:w="1417"/>
        <w:gridCol w:w="1418"/>
        <w:gridCol w:w="1701"/>
      </w:tblGrid>
      <w:tr w:rsidR="00905E75" w:rsidRPr="007B2CE1" w14:paraId="3CD69C9B" w14:textId="77777777" w:rsidTr="0092303A">
        <w:tc>
          <w:tcPr>
            <w:tcW w:w="1309" w:type="dxa"/>
            <w:shd w:val="clear" w:color="auto" w:fill="auto"/>
          </w:tcPr>
          <w:p w14:paraId="2F19A76C" w14:textId="77777777" w:rsidR="00905E75" w:rsidRPr="007B2CE1" w:rsidRDefault="00905E75" w:rsidP="0092303A">
            <w:pPr>
              <w:rPr>
                <w:b/>
                <w:bCs/>
              </w:rPr>
            </w:pPr>
            <w:r w:rsidRPr="007B2CE1">
              <w:rPr>
                <w:b/>
                <w:bCs/>
              </w:rPr>
              <w:t>Parameter / Plastic</w:t>
            </w:r>
          </w:p>
        </w:tc>
        <w:tc>
          <w:tcPr>
            <w:tcW w:w="1380" w:type="dxa"/>
            <w:shd w:val="clear" w:color="auto" w:fill="auto"/>
          </w:tcPr>
          <w:p w14:paraId="0638961B" w14:textId="77777777" w:rsidR="00905E75" w:rsidRPr="007B2CE1" w:rsidRDefault="00905E75" w:rsidP="0092303A">
            <w:pPr>
              <w:rPr>
                <w:b/>
                <w:bCs/>
              </w:rPr>
            </w:pPr>
            <w:r w:rsidRPr="007B2CE1">
              <w:rPr>
                <w:b/>
                <w:bCs/>
              </w:rPr>
              <w:t>Visual changes</w:t>
            </w:r>
          </w:p>
        </w:tc>
        <w:tc>
          <w:tcPr>
            <w:tcW w:w="1559" w:type="dxa"/>
            <w:shd w:val="clear" w:color="auto" w:fill="auto"/>
          </w:tcPr>
          <w:p w14:paraId="43E3424E" w14:textId="77777777" w:rsidR="00905E75" w:rsidRPr="007B2CE1" w:rsidRDefault="00905E75" w:rsidP="0092303A">
            <w:pPr>
              <w:rPr>
                <w:b/>
                <w:bCs/>
              </w:rPr>
            </w:pPr>
            <w:r w:rsidRPr="007B2CE1">
              <w:rPr>
                <w:b/>
                <w:bCs/>
              </w:rPr>
              <w:t>Microplastic analysis</w:t>
            </w:r>
          </w:p>
        </w:tc>
        <w:tc>
          <w:tcPr>
            <w:tcW w:w="1701" w:type="dxa"/>
            <w:shd w:val="clear" w:color="auto" w:fill="auto"/>
          </w:tcPr>
          <w:p w14:paraId="00738288" w14:textId="77777777" w:rsidR="00905E75" w:rsidRPr="007B2CE1" w:rsidRDefault="00905E75" w:rsidP="0092303A">
            <w:pPr>
              <w:rPr>
                <w:b/>
                <w:bCs/>
              </w:rPr>
            </w:pPr>
            <w:r w:rsidRPr="007B2CE1">
              <w:rPr>
                <w:b/>
                <w:bCs/>
              </w:rPr>
              <w:t>ATR-FTIR analysis</w:t>
            </w:r>
          </w:p>
        </w:tc>
        <w:tc>
          <w:tcPr>
            <w:tcW w:w="1417" w:type="dxa"/>
            <w:shd w:val="clear" w:color="auto" w:fill="auto"/>
          </w:tcPr>
          <w:p w14:paraId="6A6346DD" w14:textId="77777777" w:rsidR="00905E75" w:rsidRPr="007B2CE1" w:rsidRDefault="00905E75" w:rsidP="0092303A">
            <w:pPr>
              <w:rPr>
                <w:b/>
                <w:bCs/>
              </w:rPr>
            </w:pPr>
            <w:r w:rsidRPr="007B2CE1">
              <w:rPr>
                <w:b/>
                <w:bCs/>
              </w:rPr>
              <w:t>Chemical characterization (HR-MS/MS</w:t>
            </w:r>
          </w:p>
        </w:tc>
        <w:tc>
          <w:tcPr>
            <w:tcW w:w="1418" w:type="dxa"/>
            <w:shd w:val="clear" w:color="auto" w:fill="auto"/>
          </w:tcPr>
          <w:p w14:paraId="7DA2739C" w14:textId="77777777" w:rsidR="00905E75" w:rsidRPr="007B2CE1" w:rsidRDefault="00905E75" w:rsidP="0092303A">
            <w:pPr>
              <w:rPr>
                <w:b/>
                <w:bCs/>
              </w:rPr>
            </w:pPr>
            <w:r w:rsidRPr="007B2CE1">
              <w:rPr>
                <w:b/>
                <w:bCs/>
              </w:rPr>
              <w:t>Metal(loid) analysis</w:t>
            </w:r>
          </w:p>
        </w:tc>
        <w:tc>
          <w:tcPr>
            <w:tcW w:w="1701" w:type="dxa"/>
            <w:shd w:val="clear" w:color="auto" w:fill="auto"/>
          </w:tcPr>
          <w:p w14:paraId="5C3A1F7B" w14:textId="77777777" w:rsidR="00905E75" w:rsidRPr="007B2CE1" w:rsidRDefault="00905E75" w:rsidP="0092303A">
            <w:pPr>
              <w:rPr>
                <w:b/>
                <w:bCs/>
              </w:rPr>
            </w:pPr>
            <w:r w:rsidRPr="007B2CE1">
              <w:rPr>
                <w:b/>
                <w:bCs/>
              </w:rPr>
              <w:t xml:space="preserve">Targeted analysis </w:t>
            </w:r>
          </w:p>
        </w:tc>
      </w:tr>
      <w:tr w:rsidR="00905E75" w:rsidRPr="007B2CE1" w14:paraId="25043D9B" w14:textId="77777777" w:rsidTr="0092303A">
        <w:tc>
          <w:tcPr>
            <w:tcW w:w="1309" w:type="dxa"/>
            <w:shd w:val="clear" w:color="auto" w:fill="auto"/>
          </w:tcPr>
          <w:p w14:paraId="1042C7DE" w14:textId="77777777" w:rsidR="00905E75" w:rsidRPr="007B2CE1" w:rsidRDefault="00905E75" w:rsidP="0092303A">
            <w:pPr>
              <w:rPr>
                <w:b/>
                <w:bCs/>
              </w:rPr>
            </w:pPr>
            <w:r w:rsidRPr="007B2CE1">
              <w:rPr>
                <w:b/>
                <w:bCs/>
              </w:rPr>
              <w:t>PE_1</w:t>
            </w:r>
          </w:p>
        </w:tc>
        <w:tc>
          <w:tcPr>
            <w:tcW w:w="1380" w:type="dxa"/>
            <w:shd w:val="clear" w:color="auto" w:fill="auto"/>
          </w:tcPr>
          <w:p w14:paraId="6CFA5627" w14:textId="1FEA679A" w:rsidR="00905E75" w:rsidRPr="007B2CE1" w:rsidRDefault="00905E75" w:rsidP="0092303A">
            <w:r w:rsidRPr="007B2CE1">
              <w:t>Foam formation</w:t>
            </w:r>
          </w:p>
        </w:tc>
        <w:tc>
          <w:tcPr>
            <w:tcW w:w="1559" w:type="dxa"/>
            <w:shd w:val="clear" w:color="auto" w:fill="auto"/>
          </w:tcPr>
          <w:p w14:paraId="5AC81372" w14:textId="77777777" w:rsidR="00905E75" w:rsidRPr="007B2CE1" w:rsidRDefault="00905E75" w:rsidP="0092303A">
            <w:r w:rsidRPr="007B2CE1">
              <w:t>No microplastics</w:t>
            </w:r>
          </w:p>
        </w:tc>
        <w:tc>
          <w:tcPr>
            <w:tcW w:w="1701" w:type="dxa"/>
            <w:shd w:val="clear" w:color="auto" w:fill="auto"/>
          </w:tcPr>
          <w:p w14:paraId="489EF13A" w14:textId="77777777" w:rsidR="00905E75" w:rsidRPr="007B2CE1" w:rsidRDefault="00905E75" w:rsidP="0092303A">
            <w:r w:rsidRPr="007B2CE1">
              <w:t>Polymer type confirmed, no changes / oxidation</w:t>
            </w:r>
          </w:p>
        </w:tc>
        <w:tc>
          <w:tcPr>
            <w:tcW w:w="1417" w:type="dxa"/>
            <w:shd w:val="clear" w:color="auto" w:fill="auto"/>
          </w:tcPr>
          <w:p w14:paraId="14991EBB" w14:textId="77777777" w:rsidR="00905E75" w:rsidRPr="007B2CE1" w:rsidRDefault="00905E75" w:rsidP="0092303A">
            <w:r w:rsidRPr="007B2CE1">
              <w:rPr>
                <w:i/>
                <w:iCs/>
              </w:rPr>
              <w:t>More (new) compounds (UV)</w:t>
            </w:r>
          </w:p>
        </w:tc>
        <w:tc>
          <w:tcPr>
            <w:tcW w:w="1418" w:type="dxa"/>
            <w:shd w:val="clear" w:color="auto" w:fill="auto"/>
          </w:tcPr>
          <w:p w14:paraId="513CAB8C" w14:textId="77777777" w:rsidR="00905E75" w:rsidRPr="007B2CE1" w:rsidRDefault="00905E75" w:rsidP="0092303A">
            <w:r w:rsidRPr="007B2CE1">
              <w:t>Clean</w:t>
            </w:r>
          </w:p>
        </w:tc>
        <w:tc>
          <w:tcPr>
            <w:tcW w:w="1701" w:type="dxa"/>
            <w:shd w:val="clear" w:color="auto" w:fill="auto"/>
          </w:tcPr>
          <w:p w14:paraId="1F8DFBDE" w14:textId="77777777" w:rsidR="00905E75" w:rsidRPr="007B2CE1" w:rsidRDefault="00905E75" w:rsidP="0092303A">
            <w:r w:rsidRPr="007B2CE1">
              <w:t xml:space="preserve">Low content </w:t>
            </w:r>
          </w:p>
        </w:tc>
      </w:tr>
      <w:tr w:rsidR="00905E75" w:rsidRPr="007B2CE1" w14:paraId="322BD926" w14:textId="77777777" w:rsidTr="0092303A">
        <w:tc>
          <w:tcPr>
            <w:tcW w:w="1309" w:type="dxa"/>
            <w:shd w:val="clear" w:color="auto" w:fill="auto"/>
          </w:tcPr>
          <w:p w14:paraId="2EBC2180" w14:textId="77777777" w:rsidR="00905E75" w:rsidRPr="007B2CE1" w:rsidRDefault="00905E75" w:rsidP="0092303A">
            <w:pPr>
              <w:rPr>
                <w:b/>
                <w:bCs/>
              </w:rPr>
            </w:pPr>
            <w:r w:rsidRPr="007B2CE1">
              <w:rPr>
                <w:b/>
                <w:bCs/>
              </w:rPr>
              <w:t>PE_2</w:t>
            </w:r>
          </w:p>
        </w:tc>
        <w:tc>
          <w:tcPr>
            <w:tcW w:w="1380" w:type="dxa"/>
            <w:shd w:val="clear" w:color="auto" w:fill="auto"/>
          </w:tcPr>
          <w:p w14:paraId="025DFC34" w14:textId="334664BC" w:rsidR="00905E75" w:rsidRPr="007B2CE1" w:rsidRDefault="00905E75" w:rsidP="0092303A">
            <w:r w:rsidRPr="007B2CE1">
              <w:t xml:space="preserve">Fibers </w:t>
            </w:r>
          </w:p>
        </w:tc>
        <w:tc>
          <w:tcPr>
            <w:tcW w:w="1559" w:type="dxa"/>
            <w:shd w:val="clear" w:color="auto" w:fill="auto"/>
          </w:tcPr>
          <w:p w14:paraId="6AA0FC0E" w14:textId="77777777" w:rsidR="00905E75" w:rsidRPr="007B2CE1" w:rsidRDefault="00905E75" w:rsidP="0092303A">
            <w:r w:rsidRPr="007B2CE1">
              <w:t>400/3280 microplastic fibers mL</w:t>
            </w:r>
            <w:r w:rsidRPr="007B2CE1">
              <w:rPr>
                <w:vertAlign w:val="superscript"/>
              </w:rPr>
              <w:t>-1</w:t>
            </w:r>
            <w:r w:rsidRPr="007B2CE1">
              <w:t xml:space="preserve"> (DC/UV)</w:t>
            </w:r>
          </w:p>
        </w:tc>
        <w:tc>
          <w:tcPr>
            <w:tcW w:w="1701" w:type="dxa"/>
            <w:shd w:val="clear" w:color="auto" w:fill="auto"/>
          </w:tcPr>
          <w:p w14:paraId="3CF28286" w14:textId="77777777" w:rsidR="00905E75" w:rsidRPr="007B2CE1" w:rsidRDefault="00905E75" w:rsidP="0092303A">
            <w:r w:rsidRPr="007B2CE1">
              <w:t>One PE and one PET side, increased carbonyl band (UV)</w:t>
            </w:r>
          </w:p>
        </w:tc>
        <w:tc>
          <w:tcPr>
            <w:tcW w:w="1417" w:type="dxa"/>
            <w:shd w:val="clear" w:color="auto" w:fill="auto"/>
          </w:tcPr>
          <w:p w14:paraId="3E862C91" w14:textId="77777777" w:rsidR="00905E75" w:rsidRPr="007B2CE1" w:rsidRDefault="00905E75" w:rsidP="0092303A">
            <w:r w:rsidRPr="007B2CE1">
              <w:rPr>
                <w:i/>
                <w:iCs/>
              </w:rPr>
              <w:t>More (new) compounds (UV), higher peaks (UV)</w:t>
            </w:r>
          </w:p>
        </w:tc>
        <w:tc>
          <w:tcPr>
            <w:tcW w:w="1418" w:type="dxa"/>
            <w:shd w:val="clear" w:color="auto" w:fill="auto"/>
          </w:tcPr>
          <w:p w14:paraId="3C688101" w14:textId="77777777" w:rsidR="00905E75" w:rsidRPr="007B2CE1" w:rsidRDefault="00905E75" w:rsidP="0092303A">
            <w:r w:rsidRPr="007B2CE1">
              <w:t>Sb elevated</w:t>
            </w:r>
          </w:p>
        </w:tc>
        <w:tc>
          <w:tcPr>
            <w:tcW w:w="1701" w:type="dxa"/>
            <w:shd w:val="clear" w:color="auto" w:fill="auto"/>
          </w:tcPr>
          <w:p w14:paraId="1029E466" w14:textId="77777777" w:rsidR="00905E75" w:rsidRPr="007B2CE1" w:rsidRDefault="00905E75" w:rsidP="0092303A">
            <w:r w:rsidRPr="007B2CE1">
              <w:t>Antioxidant (DC)</w:t>
            </w:r>
          </w:p>
        </w:tc>
      </w:tr>
      <w:tr w:rsidR="00905E75" w:rsidRPr="007B2CE1" w14:paraId="5C8EE4B4" w14:textId="77777777" w:rsidTr="0092303A">
        <w:tc>
          <w:tcPr>
            <w:tcW w:w="1309" w:type="dxa"/>
            <w:shd w:val="clear" w:color="auto" w:fill="auto"/>
          </w:tcPr>
          <w:p w14:paraId="57365434" w14:textId="77777777" w:rsidR="00905E75" w:rsidRPr="007B2CE1" w:rsidRDefault="00905E75" w:rsidP="0092303A">
            <w:pPr>
              <w:rPr>
                <w:b/>
                <w:bCs/>
              </w:rPr>
            </w:pPr>
            <w:r w:rsidRPr="007B2CE1">
              <w:rPr>
                <w:b/>
                <w:bCs/>
              </w:rPr>
              <w:t>PE_3</w:t>
            </w:r>
          </w:p>
        </w:tc>
        <w:tc>
          <w:tcPr>
            <w:tcW w:w="1380" w:type="dxa"/>
            <w:shd w:val="clear" w:color="auto" w:fill="auto"/>
          </w:tcPr>
          <w:p w14:paraId="5A494114" w14:textId="4D794BB8" w:rsidR="00905E75" w:rsidRPr="007B2CE1" w:rsidRDefault="00905E75" w:rsidP="0092303A"/>
        </w:tc>
        <w:tc>
          <w:tcPr>
            <w:tcW w:w="1559" w:type="dxa"/>
            <w:shd w:val="clear" w:color="auto" w:fill="auto"/>
          </w:tcPr>
          <w:p w14:paraId="47529593" w14:textId="77777777" w:rsidR="00905E75" w:rsidRPr="007B2CE1" w:rsidRDefault="00905E75" w:rsidP="0092303A">
            <w:r w:rsidRPr="007B2CE1">
              <w:t>No microplastics</w:t>
            </w:r>
          </w:p>
        </w:tc>
        <w:tc>
          <w:tcPr>
            <w:tcW w:w="1701" w:type="dxa"/>
            <w:shd w:val="clear" w:color="auto" w:fill="auto"/>
          </w:tcPr>
          <w:p w14:paraId="4641052A" w14:textId="77777777" w:rsidR="00905E75" w:rsidRPr="007B2CE1" w:rsidRDefault="00905E75" w:rsidP="0092303A">
            <w:r w:rsidRPr="007B2CE1">
              <w:t>Polymer type confirmed, no changes / oxidation</w:t>
            </w:r>
          </w:p>
        </w:tc>
        <w:tc>
          <w:tcPr>
            <w:tcW w:w="1417" w:type="dxa"/>
            <w:shd w:val="clear" w:color="auto" w:fill="auto"/>
          </w:tcPr>
          <w:p w14:paraId="476FF127" w14:textId="77777777" w:rsidR="00905E75" w:rsidRPr="007B2CE1" w:rsidRDefault="00905E75" w:rsidP="0092303A"/>
        </w:tc>
        <w:tc>
          <w:tcPr>
            <w:tcW w:w="1418" w:type="dxa"/>
            <w:shd w:val="clear" w:color="auto" w:fill="auto"/>
          </w:tcPr>
          <w:p w14:paraId="2C83374A" w14:textId="77777777" w:rsidR="00905E75" w:rsidRPr="007B2CE1" w:rsidRDefault="00905E75" w:rsidP="0092303A">
            <w:r w:rsidRPr="007B2CE1">
              <w:t>Low content</w:t>
            </w:r>
          </w:p>
        </w:tc>
        <w:tc>
          <w:tcPr>
            <w:tcW w:w="1701" w:type="dxa"/>
            <w:shd w:val="clear" w:color="auto" w:fill="auto"/>
          </w:tcPr>
          <w:p w14:paraId="40ECEEB8" w14:textId="77777777" w:rsidR="00905E75" w:rsidRPr="007B2CE1" w:rsidRDefault="00905E75" w:rsidP="0092303A">
            <w:r w:rsidRPr="007B2CE1">
              <w:t>Antioxidant and flame retardant (DC)</w:t>
            </w:r>
          </w:p>
        </w:tc>
      </w:tr>
      <w:tr w:rsidR="00905E75" w:rsidRPr="007B2CE1" w14:paraId="3314A2EB" w14:textId="77777777" w:rsidTr="0092303A">
        <w:tc>
          <w:tcPr>
            <w:tcW w:w="1309" w:type="dxa"/>
            <w:shd w:val="clear" w:color="auto" w:fill="auto"/>
          </w:tcPr>
          <w:p w14:paraId="70E8C1C0" w14:textId="77777777" w:rsidR="00905E75" w:rsidRPr="007B2CE1" w:rsidRDefault="00905E75" w:rsidP="0092303A">
            <w:pPr>
              <w:rPr>
                <w:b/>
                <w:bCs/>
              </w:rPr>
            </w:pPr>
            <w:r w:rsidRPr="007B2CE1">
              <w:rPr>
                <w:b/>
                <w:bCs/>
              </w:rPr>
              <w:t>PE_4</w:t>
            </w:r>
          </w:p>
        </w:tc>
        <w:tc>
          <w:tcPr>
            <w:tcW w:w="1380" w:type="dxa"/>
            <w:shd w:val="clear" w:color="auto" w:fill="auto"/>
          </w:tcPr>
          <w:p w14:paraId="2C5DE653" w14:textId="2411EDBA" w:rsidR="00905E75" w:rsidRPr="007B2CE1" w:rsidRDefault="00905E75" w:rsidP="0092303A">
            <w:r w:rsidRPr="007B2CE1">
              <w:t>Heat formation</w:t>
            </w:r>
          </w:p>
        </w:tc>
        <w:tc>
          <w:tcPr>
            <w:tcW w:w="1559" w:type="dxa"/>
            <w:shd w:val="clear" w:color="auto" w:fill="auto"/>
          </w:tcPr>
          <w:p w14:paraId="2959D67F" w14:textId="77777777" w:rsidR="00905E75" w:rsidRPr="007B2CE1" w:rsidRDefault="00905E75" w:rsidP="0092303A">
            <w:r w:rsidRPr="007B2CE1">
              <w:t xml:space="preserve">No microplastics, </w:t>
            </w:r>
          </w:p>
        </w:tc>
        <w:tc>
          <w:tcPr>
            <w:tcW w:w="1701" w:type="dxa"/>
            <w:shd w:val="clear" w:color="auto" w:fill="auto"/>
          </w:tcPr>
          <w:p w14:paraId="76867F87" w14:textId="77777777" w:rsidR="00905E75" w:rsidRPr="007B2CE1" w:rsidRDefault="00905E75" w:rsidP="0092303A">
            <w:r w:rsidRPr="007B2CE1">
              <w:t>Polymer type confirmed, no changes / oxidation</w:t>
            </w:r>
          </w:p>
        </w:tc>
        <w:tc>
          <w:tcPr>
            <w:tcW w:w="1417" w:type="dxa"/>
            <w:shd w:val="clear" w:color="auto" w:fill="auto"/>
          </w:tcPr>
          <w:p w14:paraId="20D7637E" w14:textId="77777777" w:rsidR="00905E75" w:rsidRPr="007B2CE1" w:rsidRDefault="00905E75" w:rsidP="0092303A"/>
        </w:tc>
        <w:tc>
          <w:tcPr>
            <w:tcW w:w="1418" w:type="dxa"/>
            <w:shd w:val="clear" w:color="auto" w:fill="auto"/>
          </w:tcPr>
          <w:p w14:paraId="02109F96" w14:textId="77777777" w:rsidR="00905E75" w:rsidRPr="007B2CE1" w:rsidRDefault="00905E75" w:rsidP="0092303A">
            <w:r w:rsidRPr="007B2CE1">
              <w:t>Low content (Cr, Ti elevated)</w:t>
            </w:r>
          </w:p>
        </w:tc>
        <w:tc>
          <w:tcPr>
            <w:tcW w:w="1701" w:type="dxa"/>
            <w:shd w:val="clear" w:color="auto" w:fill="auto"/>
          </w:tcPr>
          <w:p w14:paraId="52C6E38E" w14:textId="77777777" w:rsidR="00905E75" w:rsidRPr="007B2CE1" w:rsidRDefault="00905E75" w:rsidP="0092303A">
            <w:r w:rsidRPr="007B2CE1">
              <w:t>Clean</w:t>
            </w:r>
          </w:p>
        </w:tc>
      </w:tr>
      <w:tr w:rsidR="00BB644F" w:rsidRPr="007B2CE1" w14:paraId="11116257" w14:textId="77777777" w:rsidTr="0092303A">
        <w:tc>
          <w:tcPr>
            <w:tcW w:w="1309" w:type="dxa"/>
            <w:shd w:val="clear" w:color="auto" w:fill="auto"/>
          </w:tcPr>
          <w:p w14:paraId="3A63A275" w14:textId="419A5D57" w:rsidR="00BB644F" w:rsidRPr="007B2CE1" w:rsidRDefault="00BB644F" w:rsidP="00BB644F">
            <w:pPr>
              <w:rPr>
                <w:b/>
                <w:bCs/>
              </w:rPr>
            </w:pPr>
            <w:r w:rsidRPr="007B2CE1">
              <w:rPr>
                <w:b/>
                <w:bCs/>
              </w:rPr>
              <w:t>PET_1</w:t>
            </w:r>
          </w:p>
        </w:tc>
        <w:tc>
          <w:tcPr>
            <w:tcW w:w="1380" w:type="dxa"/>
            <w:shd w:val="clear" w:color="auto" w:fill="auto"/>
          </w:tcPr>
          <w:p w14:paraId="1B5C3740" w14:textId="59FB97FD" w:rsidR="00BB644F" w:rsidRPr="007B2CE1" w:rsidRDefault="00BB644F" w:rsidP="00BB644F">
            <w:r w:rsidRPr="007B2CE1">
              <w:t xml:space="preserve">Foam formation, particles </w:t>
            </w:r>
          </w:p>
        </w:tc>
        <w:tc>
          <w:tcPr>
            <w:tcW w:w="1559" w:type="dxa"/>
            <w:shd w:val="clear" w:color="auto" w:fill="auto"/>
          </w:tcPr>
          <w:p w14:paraId="3BC0566F" w14:textId="2402A665" w:rsidR="00BB644F" w:rsidRPr="007B2CE1" w:rsidRDefault="00BB644F" w:rsidP="00BB644F">
            <w:r w:rsidRPr="007B2CE1">
              <w:rPr>
                <w:rFonts w:cs="Arial"/>
              </w:rPr>
              <w:t>≥</w:t>
            </w:r>
            <w:r w:rsidRPr="007B2CE1">
              <w:t xml:space="preserve"> 2400 microplastic particles </w:t>
            </w:r>
            <w:proofErr w:type="gramStart"/>
            <w:r w:rsidRPr="007B2CE1">
              <w:t>mL</w:t>
            </w:r>
            <w:r w:rsidRPr="007B2CE1">
              <w:rPr>
                <w:vertAlign w:val="superscript"/>
              </w:rPr>
              <w:t>-1</w:t>
            </w:r>
            <w:proofErr w:type="gramEnd"/>
          </w:p>
        </w:tc>
        <w:tc>
          <w:tcPr>
            <w:tcW w:w="1701" w:type="dxa"/>
            <w:shd w:val="clear" w:color="auto" w:fill="auto"/>
          </w:tcPr>
          <w:p w14:paraId="5CC0C567" w14:textId="14B6303C" w:rsidR="00BB644F" w:rsidRPr="007B2CE1" w:rsidRDefault="00BB644F" w:rsidP="00BB644F">
            <w:r w:rsidRPr="007B2CE1">
              <w:t>Identified as SAN, increased carbonyl band, formation of OH band (UV)</w:t>
            </w:r>
          </w:p>
        </w:tc>
        <w:tc>
          <w:tcPr>
            <w:tcW w:w="1417" w:type="dxa"/>
            <w:shd w:val="clear" w:color="auto" w:fill="auto"/>
          </w:tcPr>
          <w:p w14:paraId="6A61DB87" w14:textId="2C652279" w:rsidR="00BB644F" w:rsidRPr="007B2CE1" w:rsidRDefault="00BB644F" w:rsidP="00BB644F">
            <w:r w:rsidRPr="007B2CE1">
              <w:rPr>
                <w:i/>
                <w:iCs/>
              </w:rPr>
              <w:t>More (new) compounds (UV)</w:t>
            </w:r>
          </w:p>
        </w:tc>
        <w:tc>
          <w:tcPr>
            <w:tcW w:w="1418" w:type="dxa"/>
            <w:shd w:val="clear" w:color="auto" w:fill="auto"/>
          </w:tcPr>
          <w:p w14:paraId="472FC573" w14:textId="3EE84A08" w:rsidR="00BB644F" w:rsidRPr="007B2CE1" w:rsidRDefault="00BB644F" w:rsidP="00BB644F">
            <w:r w:rsidRPr="007B2CE1">
              <w:t>As, Ba, Cd, Cr, Ni, Sb, Sn</w:t>
            </w:r>
          </w:p>
        </w:tc>
        <w:tc>
          <w:tcPr>
            <w:tcW w:w="1701" w:type="dxa"/>
            <w:shd w:val="clear" w:color="auto" w:fill="auto"/>
          </w:tcPr>
          <w:p w14:paraId="0EB6ACD7" w14:textId="706CF915" w:rsidR="00BB644F" w:rsidRPr="007B2CE1" w:rsidRDefault="00BB644F" w:rsidP="00BB644F">
            <w:r w:rsidRPr="007B2CE1">
              <w:t>UV stabilizers, flame retardants (UV &gt; DC)</w:t>
            </w:r>
          </w:p>
        </w:tc>
      </w:tr>
      <w:tr w:rsidR="00BB644F" w:rsidRPr="007B2CE1" w14:paraId="5C7D8493" w14:textId="77777777" w:rsidTr="0092303A">
        <w:tc>
          <w:tcPr>
            <w:tcW w:w="1309" w:type="dxa"/>
            <w:shd w:val="clear" w:color="auto" w:fill="auto"/>
          </w:tcPr>
          <w:p w14:paraId="531E97AE" w14:textId="1F9C9537" w:rsidR="00BB644F" w:rsidRPr="007B2CE1" w:rsidRDefault="00BB644F" w:rsidP="00BB644F">
            <w:pPr>
              <w:rPr>
                <w:b/>
                <w:bCs/>
              </w:rPr>
            </w:pPr>
            <w:r w:rsidRPr="007B2CE1">
              <w:rPr>
                <w:b/>
                <w:bCs/>
              </w:rPr>
              <w:t>PET_2</w:t>
            </w:r>
          </w:p>
        </w:tc>
        <w:tc>
          <w:tcPr>
            <w:tcW w:w="1380" w:type="dxa"/>
            <w:shd w:val="clear" w:color="auto" w:fill="auto"/>
          </w:tcPr>
          <w:p w14:paraId="57ADD90F" w14:textId="551518C0" w:rsidR="00BB644F" w:rsidRPr="007B2CE1" w:rsidRDefault="00BB644F" w:rsidP="00BB644F">
            <w:r w:rsidRPr="007B2CE1">
              <w:t xml:space="preserve">Foam formation, turbidity </w:t>
            </w:r>
          </w:p>
        </w:tc>
        <w:tc>
          <w:tcPr>
            <w:tcW w:w="1559" w:type="dxa"/>
            <w:shd w:val="clear" w:color="auto" w:fill="auto"/>
          </w:tcPr>
          <w:p w14:paraId="436CEF0A" w14:textId="25635950" w:rsidR="00BB644F" w:rsidRPr="007B2CE1" w:rsidRDefault="00BB644F" w:rsidP="00BB644F">
            <w:r w:rsidRPr="007B2CE1">
              <w:t>Interfering precipitate (UV), numerus rubber- and PE-Cl-like spectra (DC)</w:t>
            </w:r>
          </w:p>
        </w:tc>
        <w:tc>
          <w:tcPr>
            <w:tcW w:w="1701" w:type="dxa"/>
            <w:shd w:val="clear" w:color="auto" w:fill="auto"/>
          </w:tcPr>
          <w:p w14:paraId="451B1D43" w14:textId="6F662A8D" w:rsidR="00BB644F" w:rsidRPr="007B2CE1" w:rsidRDefault="00BB644F" w:rsidP="00BB644F">
            <w:r w:rsidRPr="007B2CE1">
              <w:t>Polymer type unknown, no changes / oxidation</w:t>
            </w:r>
          </w:p>
        </w:tc>
        <w:tc>
          <w:tcPr>
            <w:tcW w:w="1417" w:type="dxa"/>
            <w:shd w:val="clear" w:color="auto" w:fill="auto"/>
          </w:tcPr>
          <w:p w14:paraId="3C3E69E2" w14:textId="3D7B50EB" w:rsidR="00BB644F" w:rsidRPr="007B2CE1" w:rsidRDefault="00BB644F" w:rsidP="00BB644F">
            <w:r w:rsidRPr="007B2CE1">
              <w:rPr>
                <w:i/>
                <w:iCs/>
              </w:rPr>
              <w:t>More (new) compounds (UV), higher peaks (UV)</w:t>
            </w:r>
          </w:p>
        </w:tc>
        <w:tc>
          <w:tcPr>
            <w:tcW w:w="1418" w:type="dxa"/>
            <w:shd w:val="clear" w:color="auto" w:fill="auto"/>
          </w:tcPr>
          <w:p w14:paraId="4170D513" w14:textId="3EDC1E37" w:rsidR="00BB644F" w:rsidRPr="007B2CE1" w:rsidRDefault="00BB644F" w:rsidP="00BB644F">
            <w:r w:rsidRPr="007B2CE1">
              <w:t>Pb, Ti, U, V, Zn</w:t>
            </w:r>
          </w:p>
        </w:tc>
        <w:tc>
          <w:tcPr>
            <w:tcW w:w="1701" w:type="dxa"/>
            <w:shd w:val="clear" w:color="auto" w:fill="auto"/>
          </w:tcPr>
          <w:p w14:paraId="20AB08CE" w14:textId="1D7FEB77" w:rsidR="00BB644F" w:rsidRPr="007B2CE1" w:rsidRDefault="00BB644F" w:rsidP="00BB644F">
            <w:r w:rsidRPr="007B2CE1">
              <w:t>Antioxidants (DC)</w:t>
            </w:r>
          </w:p>
        </w:tc>
      </w:tr>
      <w:tr w:rsidR="00BB644F" w:rsidRPr="007B2CE1" w14:paraId="7619A410" w14:textId="77777777" w:rsidTr="0092303A">
        <w:tc>
          <w:tcPr>
            <w:tcW w:w="1309" w:type="dxa"/>
            <w:shd w:val="clear" w:color="auto" w:fill="auto"/>
          </w:tcPr>
          <w:p w14:paraId="39BAE42B" w14:textId="77777777" w:rsidR="00BB644F" w:rsidRPr="007B2CE1" w:rsidRDefault="00BB644F" w:rsidP="00BB644F">
            <w:pPr>
              <w:rPr>
                <w:b/>
                <w:bCs/>
              </w:rPr>
            </w:pPr>
            <w:r w:rsidRPr="007B2CE1">
              <w:rPr>
                <w:b/>
                <w:bCs/>
              </w:rPr>
              <w:t>PVC_1</w:t>
            </w:r>
          </w:p>
        </w:tc>
        <w:tc>
          <w:tcPr>
            <w:tcW w:w="1380" w:type="dxa"/>
            <w:shd w:val="clear" w:color="auto" w:fill="auto"/>
          </w:tcPr>
          <w:p w14:paraId="51D01472" w14:textId="77777777" w:rsidR="00BB644F" w:rsidRPr="007B2CE1" w:rsidRDefault="00BB644F" w:rsidP="00BB644F">
            <w:r w:rsidRPr="007B2CE1">
              <w:t>Bleaching, particles (UV)</w:t>
            </w:r>
          </w:p>
        </w:tc>
        <w:tc>
          <w:tcPr>
            <w:tcW w:w="1559" w:type="dxa"/>
            <w:shd w:val="clear" w:color="auto" w:fill="auto"/>
          </w:tcPr>
          <w:p w14:paraId="36AD368D" w14:textId="77777777" w:rsidR="00BB644F" w:rsidRPr="007B2CE1" w:rsidRDefault="00BB644F" w:rsidP="00BB644F">
            <w:r w:rsidRPr="007B2CE1">
              <w:t xml:space="preserve">No </w:t>
            </w:r>
            <w:proofErr w:type="spellStart"/>
            <w:proofErr w:type="gramStart"/>
            <w:r w:rsidRPr="007B2CE1">
              <w:t>microplastics,stearate</w:t>
            </w:r>
            <w:proofErr w:type="spellEnd"/>
            <w:proofErr w:type="gramEnd"/>
            <w:r w:rsidRPr="007B2CE1">
              <w:t>-like spectra (UV)</w:t>
            </w:r>
          </w:p>
        </w:tc>
        <w:tc>
          <w:tcPr>
            <w:tcW w:w="1701" w:type="dxa"/>
            <w:shd w:val="clear" w:color="auto" w:fill="auto"/>
          </w:tcPr>
          <w:p w14:paraId="2E129099" w14:textId="77777777" w:rsidR="00BB644F" w:rsidRPr="007B2CE1" w:rsidRDefault="00BB644F" w:rsidP="00BB644F">
            <w:r w:rsidRPr="007B2CE1">
              <w:t>Polymer type unknown, no changes / oxidation</w:t>
            </w:r>
          </w:p>
        </w:tc>
        <w:tc>
          <w:tcPr>
            <w:tcW w:w="1417" w:type="dxa"/>
            <w:shd w:val="clear" w:color="auto" w:fill="auto"/>
          </w:tcPr>
          <w:p w14:paraId="1941FB1A" w14:textId="77777777" w:rsidR="00BB644F" w:rsidRPr="007B2CE1" w:rsidRDefault="00BB644F" w:rsidP="00BB644F">
            <w:r w:rsidRPr="007B2CE1">
              <w:rPr>
                <w:i/>
                <w:iCs/>
              </w:rPr>
              <w:t>More (new) compounds (UV), higher peaks (UV)</w:t>
            </w:r>
          </w:p>
        </w:tc>
        <w:tc>
          <w:tcPr>
            <w:tcW w:w="1418" w:type="dxa"/>
            <w:shd w:val="clear" w:color="auto" w:fill="auto"/>
          </w:tcPr>
          <w:p w14:paraId="134ACCCB" w14:textId="77777777" w:rsidR="00BB644F" w:rsidRPr="007B2CE1" w:rsidRDefault="00BB644F" w:rsidP="00BB644F">
            <w:r w:rsidRPr="007B2CE1">
              <w:t>Co, Cr, Ni, Sb, U, V, Zn elevated</w:t>
            </w:r>
          </w:p>
        </w:tc>
        <w:tc>
          <w:tcPr>
            <w:tcW w:w="1701" w:type="dxa"/>
            <w:shd w:val="clear" w:color="auto" w:fill="auto"/>
          </w:tcPr>
          <w:p w14:paraId="379F5200" w14:textId="77777777" w:rsidR="00BB644F" w:rsidRPr="007B2CE1" w:rsidRDefault="00BB644F" w:rsidP="00BB644F">
            <w:r w:rsidRPr="007B2CE1">
              <w:t>High content of plasticizers (replacement), flame retardant</w:t>
            </w:r>
          </w:p>
        </w:tc>
      </w:tr>
      <w:tr w:rsidR="00BB644F" w:rsidRPr="007B2CE1" w14:paraId="75DF7C1E" w14:textId="77777777" w:rsidTr="0092303A">
        <w:tc>
          <w:tcPr>
            <w:tcW w:w="1309" w:type="dxa"/>
            <w:shd w:val="clear" w:color="auto" w:fill="auto"/>
          </w:tcPr>
          <w:p w14:paraId="50B7E063" w14:textId="77777777" w:rsidR="00BB644F" w:rsidRPr="007B2CE1" w:rsidRDefault="00BB644F" w:rsidP="00BB644F">
            <w:pPr>
              <w:rPr>
                <w:b/>
                <w:bCs/>
              </w:rPr>
            </w:pPr>
            <w:r w:rsidRPr="007B2CE1">
              <w:rPr>
                <w:b/>
                <w:bCs/>
              </w:rPr>
              <w:t>PVC_2</w:t>
            </w:r>
          </w:p>
        </w:tc>
        <w:tc>
          <w:tcPr>
            <w:tcW w:w="1380" w:type="dxa"/>
            <w:shd w:val="clear" w:color="auto" w:fill="auto"/>
          </w:tcPr>
          <w:p w14:paraId="3928296E" w14:textId="77777777" w:rsidR="00BB644F" w:rsidRPr="007B2CE1" w:rsidRDefault="00BB644F" w:rsidP="00BB644F">
            <w:r w:rsidRPr="007B2CE1">
              <w:t>Bleaching (UV)</w:t>
            </w:r>
          </w:p>
        </w:tc>
        <w:tc>
          <w:tcPr>
            <w:tcW w:w="1559" w:type="dxa"/>
            <w:shd w:val="clear" w:color="auto" w:fill="auto"/>
          </w:tcPr>
          <w:p w14:paraId="54CA3747" w14:textId="77777777" w:rsidR="00BB644F" w:rsidRPr="007B2CE1" w:rsidRDefault="00BB644F" w:rsidP="00BB644F">
            <w:r w:rsidRPr="007B2CE1">
              <w:t>No microplastics</w:t>
            </w:r>
          </w:p>
        </w:tc>
        <w:tc>
          <w:tcPr>
            <w:tcW w:w="1701" w:type="dxa"/>
            <w:shd w:val="clear" w:color="auto" w:fill="auto"/>
          </w:tcPr>
          <w:p w14:paraId="6CB78238" w14:textId="77777777" w:rsidR="00BB644F" w:rsidRPr="007B2CE1" w:rsidRDefault="00BB644F" w:rsidP="00BB644F">
            <w:r w:rsidRPr="007B2CE1">
              <w:t>Probably a terpolymer including vinyl chloride, no changes / oxidation</w:t>
            </w:r>
          </w:p>
        </w:tc>
        <w:tc>
          <w:tcPr>
            <w:tcW w:w="1417" w:type="dxa"/>
            <w:shd w:val="clear" w:color="auto" w:fill="auto"/>
          </w:tcPr>
          <w:p w14:paraId="570B9FF8" w14:textId="77777777" w:rsidR="00BB644F" w:rsidRPr="007B2CE1" w:rsidRDefault="00BB644F" w:rsidP="00BB644F">
            <w:r w:rsidRPr="007B2CE1">
              <w:rPr>
                <w:i/>
                <w:iCs/>
              </w:rPr>
              <w:t>More (new) compounds (UV)</w:t>
            </w:r>
          </w:p>
        </w:tc>
        <w:tc>
          <w:tcPr>
            <w:tcW w:w="1418" w:type="dxa"/>
            <w:shd w:val="clear" w:color="auto" w:fill="auto"/>
          </w:tcPr>
          <w:p w14:paraId="7404D039" w14:textId="77777777" w:rsidR="00BB644F" w:rsidRPr="007B2CE1" w:rsidRDefault="00BB644F" w:rsidP="00BB644F">
            <w:r w:rsidRPr="007B2CE1">
              <w:t>Clean</w:t>
            </w:r>
          </w:p>
        </w:tc>
        <w:tc>
          <w:tcPr>
            <w:tcW w:w="1701" w:type="dxa"/>
            <w:shd w:val="clear" w:color="auto" w:fill="auto"/>
          </w:tcPr>
          <w:p w14:paraId="77B50075" w14:textId="77777777" w:rsidR="00BB644F" w:rsidRPr="007B2CE1" w:rsidRDefault="00BB644F" w:rsidP="00BB644F">
            <w:r w:rsidRPr="007B2CE1">
              <w:t xml:space="preserve">High content of plasticizers (replacement) </w:t>
            </w:r>
          </w:p>
        </w:tc>
      </w:tr>
    </w:tbl>
    <w:p w14:paraId="7EB00CC6" w14:textId="644D1F17" w:rsidR="00880FF7" w:rsidRPr="007B2CE1" w:rsidRDefault="00880FF7">
      <w:pPr>
        <w:rPr>
          <w:rFonts w:ascii="Arial" w:hAnsi="Arial" w:cs="Arial"/>
        </w:rPr>
      </w:pPr>
    </w:p>
    <w:p w14:paraId="3AB42620" w14:textId="77777777" w:rsidR="00997FA9" w:rsidRPr="007B2CE1" w:rsidRDefault="00997FA9" w:rsidP="003C5783">
      <w:pPr>
        <w:rPr>
          <w:rFonts w:ascii="Arial" w:hAnsi="Arial" w:cs="Arial"/>
        </w:rPr>
      </w:pPr>
    </w:p>
    <w:p w14:paraId="3124D512" w14:textId="77777777" w:rsidR="00997FA9" w:rsidRPr="007B2CE1" w:rsidRDefault="00997FA9" w:rsidP="003C5783">
      <w:pPr>
        <w:rPr>
          <w:rFonts w:ascii="Arial" w:hAnsi="Arial" w:cs="Arial"/>
        </w:rPr>
      </w:pPr>
    </w:p>
    <w:p w14:paraId="30BB74E3" w14:textId="77777777" w:rsidR="0028204B" w:rsidRPr="007B2CE1" w:rsidRDefault="0028204B" w:rsidP="003C5783">
      <w:pPr>
        <w:rPr>
          <w:rFonts w:ascii="Arial" w:hAnsi="Arial" w:cs="Arial"/>
        </w:rPr>
      </w:pPr>
    </w:p>
    <w:p w14:paraId="38033B10" w14:textId="77777777" w:rsidR="007A1D8F" w:rsidRPr="007B2CE1" w:rsidRDefault="007A1D8F" w:rsidP="003C5783">
      <w:pPr>
        <w:rPr>
          <w:rFonts w:ascii="Arial" w:hAnsi="Arial" w:cs="Arial"/>
        </w:rPr>
      </w:pPr>
    </w:p>
    <w:p w14:paraId="6CAC90E6" w14:textId="77777777" w:rsidR="006D1BB0" w:rsidRPr="007B2CE1" w:rsidRDefault="006D1BB0" w:rsidP="006D1BB0">
      <w:pPr>
        <w:pStyle w:val="Caption"/>
        <w:spacing w:after="0"/>
        <w:rPr>
          <w:rFonts w:ascii="Arial" w:hAnsi="Arial" w:cs="Arial"/>
        </w:rPr>
      </w:pPr>
    </w:p>
    <w:p w14:paraId="2AD1B194" w14:textId="6FC6A75D" w:rsidR="00360BBB" w:rsidRPr="007B2CE1" w:rsidRDefault="00360BBB" w:rsidP="00360BBB">
      <w:pPr>
        <w:pStyle w:val="Heading1"/>
      </w:pPr>
      <w:bookmarkStart w:id="52" w:name="_Toc161066337"/>
      <w:r w:rsidRPr="007B2CE1">
        <w:t>Reference</w:t>
      </w:r>
      <w:r w:rsidR="001A7DC9" w:rsidRPr="007B2CE1">
        <w:t>s</w:t>
      </w:r>
      <w:bookmarkEnd w:id="52"/>
    </w:p>
    <w:p w14:paraId="2DD87291" w14:textId="77777777" w:rsidR="00270C6F" w:rsidRPr="007B2CE1" w:rsidRDefault="0008310F" w:rsidP="00270C6F">
      <w:pPr>
        <w:pStyle w:val="Bibliography"/>
        <w:rPr>
          <w:rFonts w:ascii="Calibri" w:hAnsi="Calibri" w:cs="Calibri"/>
        </w:rPr>
      </w:pPr>
      <w:r w:rsidRPr="007B2CE1">
        <w:fldChar w:fldCharType="begin"/>
      </w:r>
      <w:r w:rsidRPr="007B2CE1">
        <w:instrText xml:space="preserve"> ADDIN ZOTERO_BIBL {"uncited":[],"omitted":[],"custom":[]} CSL_BIBLIOGRAPHY </w:instrText>
      </w:r>
      <w:r w:rsidRPr="007B2CE1">
        <w:fldChar w:fldCharType="separate"/>
      </w:r>
      <w:r w:rsidR="00270C6F" w:rsidRPr="007B2CE1">
        <w:rPr>
          <w:rFonts w:ascii="Calibri" w:hAnsi="Calibri" w:cs="Calibri"/>
        </w:rPr>
        <w:t>[1]</w:t>
      </w:r>
      <w:r w:rsidR="00270C6F" w:rsidRPr="007B2CE1">
        <w:rPr>
          <w:rFonts w:ascii="Calibri" w:hAnsi="Calibri" w:cs="Calibri"/>
        </w:rPr>
        <w:tab/>
        <w:t>M. Schlummer, F. Brandl, A. Mäurer, R. van Eldik, Analysis of flame retardant additives in polymer fractions of waste of electric and electronic equipment (WEEE) by means of HPLC–UV/MS and GPC–HPLC–UV, J. Chromatogr. A. 1064 (2005) 39–51. https://doi.org/10.1016/j.chroma.2004.12.016.</w:t>
      </w:r>
    </w:p>
    <w:p w14:paraId="63AFF49F" w14:textId="77777777" w:rsidR="00270C6F" w:rsidRPr="007B2CE1" w:rsidRDefault="00270C6F" w:rsidP="00270C6F">
      <w:pPr>
        <w:pStyle w:val="Bibliography"/>
        <w:rPr>
          <w:rFonts w:ascii="Calibri" w:hAnsi="Calibri" w:cs="Calibri"/>
        </w:rPr>
      </w:pPr>
      <w:r w:rsidRPr="007B2CE1">
        <w:rPr>
          <w:rFonts w:ascii="Calibri" w:hAnsi="Calibri" w:cs="Calibri"/>
        </w:rPr>
        <w:t>[2]</w:t>
      </w:r>
      <w:r w:rsidRPr="007B2CE1">
        <w:rPr>
          <w:rFonts w:ascii="Calibri" w:hAnsi="Calibri" w:cs="Calibri"/>
        </w:rPr>
        <w:tab/>
        <w:t>B. Gewert, M. Plassmann, O. Sandblom, M. MacLeod, Identification of Chain Scission Products Released to Water by Plastic Exposed to Ultraviolet Light, Environ. Sci. Technol. Lett. 5 (2018) 272–276. https://doi.org/10.1021/acs.estlett.8b00119.</w:t>
      </w:r>
    </w:p>
    <w:p w14:paraId="704870B1" w14:textId="77777777" w:rsidR="00270C6F" w:rsidRPr="007B2CE1" w:rsidRDefault="00270C6F" w:rsidP="00270C6F">
      <w:pPr>
        <w:pStyle w:val="Bibliography"/>
        <w:rPr>
          <w:rFonts w:ascii="Calibri" w:hAnsi="Calibri" w:cs="Calibri"/>
        </w:rPr>
      </w:pPr>
      <w:r w:rsidRPr="007B2CE1">
        <w:rPr>
          <w:rFonts w:ascii="Calibri" w:hAnsi="Calibri" w:cs="Calibri"/>
        </w:rPr>
        <w:t>[3]</w:t>
      </w:r>
      <w:r w:rsidRPr="007B2CE1">
        <w:rPr>
          <w:rFonts w:ascii="Calibri" w:hAnsi="Calibri" w:cs="Calibri"/>
        </w:rPr>
        <w:tab/>
        <w:t>L. Hildebrandt, F.E. Gareb, D. Pröforck, Hereon LDIR library for microplastic analysis, (2022). https://doi.org/10.5281/zenodo.6580223.</w:t>
      </w:r>
    </w:p>
    <w:p w14:paraId="26183CF3" w14:textId="77777777" w:rsidR="00270C6F" w:rsidRPr="007B2CE1" w:rsidRDefault="00270C6F" w:rsidP="00270C6F">
      <w:pPr>
        <w:pStyle w:val="Bibliography"/>
        <w:rPr>
          <w:rFonts w:ascii="Calibri" w:hAnsi="Calibri" w:cs="Calibri"/>
        </w:rPr>
      </w:pPr>
      <w:r w:rsidRPr="007B2CE1">
        <w:rPr>
          <w:rFonts w:ascii="Calibri" w:hAnsi="Calibri" w:cs="Calibri"/>
        </w:rPr>
        <w:t>[4]</w:t>
      </w:r>
      <w:r w:rsidRPr="007B2CE1">
        <w:rPr>
          <w:rFonts w:ascii="Calibri" w:hAnsi="Calibri" w:cs="Calibri"/>
        </w:rPr>
        <w:tab/>
        <w:t>D. Kessner, M. Chambers, R. Burke, D. Agus, P. Mallick, ProteoWizard: open source software for rapid proteomics tools development, Bioinformatics. 24 (2008) 2534–2536. https://doi.org/10.1093/bioinformatics/btn323.</w:t>
      </w:r>
    </w:p>
    <w:p w14:paraId="0AE6F97E" w14:textId="77777777" w:rsidR="00270C6F" w:rsidRPr="007B2CE1" w:rsidRDefault="00270C6F" w:rsidP="00270C6F">
      <w:pPr>
        <w:pStyle w:val="Bibliography"/>
        <w:rPr>
          <w:rFonts w:ascii="Calibri" w:hAnsi="Calibri" w:cs="Calibri"/>
        </w:rPr>
      </w:pPr>
      <w:r w:rsidRPr="007B2CE1">
        <w:rPr>
          <w:rFonts w:ascii="Calibri" w:hAnsi="Calibri" w:cs="Calibri"/>
        </w:rPr>
        <w:t>[5]</w:t>
      </w:r>
      <w:r w:rsidRPr="007B2CE1">
        <w:rPr>
          <w:rFonts w:ascii="Calibri" w:hAnsi="Calibri" w:cs="Calibri"/>
        </w:rPr>
        <w:tab/>
        <w:t>L. Hildebrandt, M. von der Au, T. Zimmermann, A. Reese, J. Ludwig, D. Pröfrock, A metrologically traceable protocol for the quantification of trace metals in different types of microplastic, PLOS ONE. 15 (2020) e0236120. https://doi.org/10.1371/journal.pone.0236120.</w:t>
      </w:r>
    </w:p>
    <w:p w14:paraId="59FE07A0" w14:textId="77777777" w:rsidR="00270C6F" w:rsidRPr="007B2CE1" w:rsidRDefault="00270C6F" w:rsidP="00270C6F">
      <w:pPr>
        <w:pStyle w:val="Bibliography"/>
        <w:rPr>
          <w:rFonts w:ascii="Calibri" w:hAnsi="Calibri" w:cs="Calibri"/>
        </w:rPr>
      </w:pPr>
      <w:r w:rsidRPr="007B2CE1">
        <w:rPr>
          <w:rFonts w:ascii="Calibri" w:hAnsi="Calibri" w:cs="Calibri"/>
        </w:rPr>
        <w:t>[6]</w:t>
      </w:r>
      <w:r w:rsidRPr="007B2CE1">
        <w:rPr>
          <w:rFonts w:ascii="Calibri" w:hAnsi="Calibri" w:cs="Calibri"/>
        </w:rPr>
        <w:tab/>
        <w:t>O. Klein, T. Zimmermann, D. Pröfrock, Improved determination of technologically critical elements in sediment digests by ICP-MS/MS using N2O as a reaction gas, J. Anal. At. Spectrom. 36 (2021) 1524–1532. https://doi.org/10.1039/D1JA00088H.</w:t>
      </w:r>
    </w:p>
    <w:p w14:paraId="01776F74" w14:textId="77777777" w:rsidR="00270C6F" w:rsidRPr="007B2CE1" w:rsidRDefault="00270C6F" w:rsidP="00270C6F">
      <w:pPr>
        <w:pStyle w:val="Bibliography"/>
        <w:rPr>
          <w:rFonts w:ascii="Calibri" w:hAnsi="Calibri" w:cs="Calibri"/>
        </w:rPr>
      </w:pPr>
      <w:r w:rsidRPr="007B2CE1">
        <w:rPr>
          <w:rFonts w:ascii="Calibri" w:hAnsi="Calibri" w:cs="Calibri"/>
        </w:rPr>
        <w:t>[7]</w:t>
      </w:r>
      <w:r w:rsidRPr="007B2CE1">
        <w:rPr>
          <w:rFonts w:ascii="Calibri" w:hAnsi="Calibri" w:cs="Calibri"/>
        </w:rPr>
        <w:tab/>
        <w:t>Daniel. MacDougall, W.B. Crummett, . et al., Guidelines for data acquisition and data quality evaluation in environmental chemistry, Anal. Chem. 52 (1980) 2242–2249. https://doi.org/10.1021/ac50064a004.</w:t>
      </w:r>
    </w:p>
    <w:p w14:paraId="5DFB5EF3" w14:textId="77777777" w:rsidR="00270C6F" w:rsidRPr="007B2CE1" w:rsidRDefault="00270C6F" w:rsidP="00270C6F">
      <w:pPr>
        <w:pStyle w:val="Bibliography"/>
        <w:rPr>
          <w:rFonts w:ascii="Calibri" w:hAnsi="Calibri" w:cs="Calibri"/>
        </w:rPr>
      </w:pPr>
      <w:r w:rsidRPr="007B2CE1">
        <w:rPr>
          <w:rFonts w:ascii="Calibri" w:hAnsi="Calibri" w:cs="Calibri"/>
        </w:rPr>
        <w:t>[8]</w:t>
      </w:r>
      <w:r w:rsidRPr="007B2CE1">
        <w:rPr>
          <w:rFonts w:ascii="Calibri" w:hAnsi="Calibri" w:cs="Calibri"/>
        </w:rPr>
        <w:tab/>
        <w:t>J. Kragten, Tutorial review. Calculating standard deviations and confidence intervals with a universally applicable spreadsheet technique, The Analyst. 119 (1994) 2161. https://doi.org/10.1039/an9941902161.</w:t>
      </w:r>
    </w:p>
    <w:p w14:paraId="0F7677C2" w14:textId="77777777" w:rsidR="00270C6F" w:rsidRPr="007B2CE1" w:rsidRDefault="00270C6F" w:rsidP="00270C6F">
      <w:pPr>
        <w:pStyle w:val="Bibliography"/>
        <w:rPr>
          <w:rFonts w:ascii="Calibri" w:hAnsi="Calibri" w:cs="Calibri"/>
        </w:rPr>
      </w:pPr>
      <w:r w:rsidRPr="007B2CE1">
        <w:rPr>
          <w:rFonts w:ascii="Calibri" w:hAnsi="Calibri" w:cs="Calibri"/>
        </w:rPr>
        <w:t>[9]</w:t>
      </w:r>
      <w:r w:rsidRPr="007B2CE1">
        <w:rPr>
          <w:rFonts w:ascii="Calibri" w:hAnsi="Calibri" w:cs="Calibri"/>
        </w:rPr>
        <w:tab/>
        <w:t>A. Reese, T. Zimmermann, D. Pröfrock, J. Irrgeher, Extreme spatial variation of Sr, Nd and Pb isotopic signatures and 48 element mass fractions in surface sediment of the Elbe River Estuary - Suitable tracers for processes in dynamic environments?, Sci. Total Environ. 668 (2019) 512–523. https://doi.org/10.1016/j.scitotenv.2019.02.401.</w:t>
      </w:r>
    </w:p>
    <w:p w14:paraId="4EDD067F" w14:textId="77777777" w:rsidR="00270C6F" w:rsidRPr="007B2CE1" w:rsidRDefault="00270C6F" w:rsidP="00270C6F">
      <w:pPr>
        <w:pStyle w:val="Bibliography"/>
        <w:rPr>
          <w:rFonts w:ascii="Calibri" w:hAnsi="Calibri" w:cs="Calibri"/>
        </w:rPr>
      </w:pPr>
      <w:r w:rsidRPr="007B2CE1">
        <w:rPr>
          <w:rFonts w:ascii="Calibri" w:hAnsi="Calibri" w:cs="Calibri"/>
        </w:rPr>
        <w:t>[10]</w:t>
      </w:r>
      <w:r w:rsidRPr="007B2CE1">
        <w:rPr>
          <w:rFonts w:ascii="Calibri" w:hAnsi="Calibri" w:cs="Calibri"/>
        </w:rPr>
        <w:tab/>
        <w:t xml:space="preserve">P.A. Neale, W. Brack, S. Aït-Aïssa, W. Busch, J. Hollender, M. Krauss, E. Maillot-Maréchal, N.A. Munz, R. Schlichting, T. Schulze, B. Vogler, B.I. Escher, Solid-phase extraction as sample preparation of water samples for cell-based and other </w:t>
      </w:r>
      <w:r w:rsidRPr="007B2CE1">
        <w:rPr>
          <w:rFonts w:ascii="Calibri" w:hAnsi="Calibri" w:cs="Calibri"/>
          <w:i/>
          <w:iCs/>
        </w:rPr>
        <w:t>in vitro</w:t>
      </w:r>
      <w:r w:rsidRPr="007B2CE1">
        <w:rPr>
          <w:rFonts w:ascii="Calibri" w:hAnsi="Calibri" w:cs="Calibri"/>
        </w:rPr>
        <w:t xml:space="preserve"> bioassays, Environ. Sci. Process. Impacts. 20 (2018) 493–504. https://doi.org/10.1039/C7EM00555E.</w:t>
      </w:r>
    </w:p>
    <w:p w14:paraId="22E353C2" w14:textId="36680F5F" w:rsidR="0008310F" w:rsidRPr="0008310F" w:rsidRDefault="0008310F" w:rsidP="0008310F">
      <w:r w:rsidRPr="007B2CE1">
        <w:fldChar w:fldCharType="end"/>
      </w:r>
    </w:p>
    <w:sectPr w:rsidR="0008310F" w:rsidRPr="0008310F" w:rsidSect="006450D4">
      <w:footerReference w:type="default" r:id="rId43"/>
      <w:pgSz w:w="11906" w:h="16838"/>
      <w:pgMar w:top="1440" w:right="1440" w:bottom="1440" w:left="1440" w:header="706" w:footer="706"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C0F917" w14:textId="77777777" w:rsidR="00835E64" w:rsidRDefault="00835E64" w:rsidP="00765491">
      <w:pPr>
        <w:spacing w:after="0" w:line="240" w:lineRule="auto"/>
      </w:pPr>
      <w:r>
        <w:separator/>
      </w:r>
    </w:p>
  </w:endnote>
  <w:endnote w:type="continuationSeparator" w:id="0">
    <w:p w14:paraId="73D9EA3F" w14:textId="77777777" w:rsidR="00835E64" w:rsidRDefault="00835E64" w:rsidP="00765491">
      <w:pPr>
        <w:spacing w:after="0" w:line="240" w:lineRule="auto"/>
      </w:pPr>
      <w:r>
        <w:continuationSeparator/>
      </w:r>
    </w:p>
  </w:endnote>
  <w:endnote w:type="continuationNotice" w:id="1">
    <w:p w14:paraId="33EC55B5" w14:textId="77777777" w:rsidR="00835E64" w:rsidRDefault="00835E6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PSMT">
    <w:altName w:val="Times New Roman"/>
    <w:panose1 w:val="00000000000000000000"/>
    <w:charset w:val="00"/>
    <w:family w:val="roman"/>
    <w:notTrueType/>
    <w:pitch w:val="default"/>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41159892"/>
      <w:docPartObj>
        <w:docPartGallery w:val="Page Numbers (Bottom of Page)"/>
        <w:docPartUnique/>
      </w:docPartObj>
    </w:sdtPr>
    <w:sdtEndPr>
      <w:rPr>
        <w:noProof/>
      </w:rPr>
    </w:sdtEndPr>
    <w:sdtContent>
      <w:p w14:paraId="15CC2C15" w14:textId="0FD5257A" w:rsidR="0092303A" w:rsidRDefault="00000000">
        <w:pPr>
          <w:pStyle w:val="Footer"/>
          <w:jc w:val="right"/>
        </w:pPr>
      </w:p>
    </w:sdtContent>
  </w:sdt>
  <w:p w14:paraId="0898E4F4" w14:textId="77777777" w:rsidR="0092303A" w:rsidRDefault="0092303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08688118"/>
      <w:docPartObj>
        <w:docPartGallery w:val="Page Numbers (Bottom of Page)"/>
        <w:docPartUnique/>
      </w:docPartObj>
    </w:sdtPr>
    <w:sdtEndPr>
      <w:rPr>
        <w:noProof/>
      </w:rPr>
    </w:sdtEndPr>
    <w:sdtContent>
      <w:p w14:paraId="0D32260C" w14:textId="16F09FE9" w:rsidR="0092303A" w:rsidRDefault="0092303A">
        <w:pPr>
          <w:pStyle w:val="Footer"/>
          <w:jc w:val="right"/>
        </w:pPr>
        <w:r>
          <w:t>S</w:t>
        </w:r>
        <w:r>
          <w:fldChar w:fldCharType="begin"/>
        </w:r>
        <w:r>
          <w:instrText xml:space="preserve"> PAGE   \* MERGEFORMAT </w:instrText>
        </w:r>
        <w:r>
          <w:fldChar w:fldCharType="separate"/>
        </w:r>
        <w:r>
          <w:rPr>
            <w:noProof/>
          </w:rPr>
          <w:t>19</w:t>
        </w:r>
        <w:r>
          <w:rPr>
            <w:noProof/>
          </w:rPr>
          <w:fldChar w:fldCharType="end"/>
        </w:r>
      </w:p>
    </w:sdtContent>
  </w:sdt>
  <w:p w14:paraId="76F0D2D5" w14:textId="0BFF40D9" w:rsidR="0092303A" w:rsidRDefault="0092303A" w:rsidP="008471C2">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E58FD8" w14:textId="77777777" w:rsidR="00835E64" w:rsidRDefault="00835E64" w:rsidP="00765491">
      <w:pPr>
        <w:spacing w:after="0" w:line="240" w:lineRule="auto"/>
      </w:pPr>
      <w:r>
        <w:separator/>
      </w:r>
    </w:p>
  </w:footnote>
  <w:footnote w:type="continuationSeparator" w:id="0">
    <w:p w14:paraId="166687B0" w14:textId="77777777" w:rsidR="00835E64" w:rsidRDefault="00835E64" w:rsidP="00765491">
      <w:pPr>
        <w:spacing w:after="0" w:line="240" w:lineRule="auto"/>
      </w:pPr>
      <w:r>
        <w:continuationSeparator/>
      </w:r>
    </w:p>
  </w:footnote>
  <w:footnote w:type="continuationNotice" w:id="1">
    <w:p w14:paraId="4A258DD2" w14:textId="77777777" w:rsidR="00835E64" w:rsidRDefault="00835E64">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7EC350F"/>
    <w:multiLevelType w:val="hybridMultilevel"/>
    <w:tmpl w:val="13D6502A"/>
    <w:lvl w:ilvl="0" w:tplc="CA14FC20">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406800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0"/>
  <w:activeWritingStyle w:appName="MSWord" w:lang="en-US" w:vendorID="64" w:dllVersion="4096" w:nlCheck="1" w:checkStyle="0"/>
  <w:activeWritingStyle w:appName="MSWord" w:lang="en-GB" w:vendorID="64" w:dllVersion="0" w:nlCheck="1" w:checkStyle="0"/>
  <w:activeWritingStyle w:appName="MSWord" w:lang="en-US" w:vendorID="64" w:dllVersion="0" w:nlCheck="1" w:checkStyle="0"/>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5429"/>
    <w:rsid w:val="00012161"/>
    <w:rsid w:val="00021599"/>
    <w:rsid w:val="000250F0"/>
    <w:rsid w:val="000319AA"/>
    <w:rsid w:val="00033477"/>
    <w:rsid w:val="00052012"/>
    <w:rsid w:val="000702A1"/>
    <w:rsid w:val="000732DE"/>
    <w:rsid w:val="00076599"/>
    <w:rsid w:val="0008310F"/>
    <w:rsid w:val="000862CE"/>
    <w:rsid w:val="00092291"/>
    <w:rsid w:val="00094AE0"/>
    <w:rsid w:val="00097174"/>
    <w:rsid w:val="000C074F"/>
    <w:rsid w:val="000C530B"/>
    <w:rsid w:val="000E6F68"/>
    <w:rsid w:val="000E7D2A"/>
    <w:rsid w:val="000F4184"/>
    <w:rsid w:val="000F4517"/>
    <w:rsid w:val="001056EE"/>
    <w:rsid w:val="00106AD3"/>
    <w:rsid w:val="00110FDF"/>
    <w:rsid w:val="001114CE"/>
    <w:rsid w:val="00115D09"/>
    <w:rsid w:val="001204B2"/>
    <w:rsid w:val="00122E64"/>
    <w:rsid w:val="0013094E"/>
    <w:rsid w:val="001424B6"/>
    <w:rsid w:val="0014334B"/>
    <w:rsid w:val="0014579E"/>
    <w:rsid w:val="0017569E"/>
    <w:rsid w:val="001966B8"/>
    <w:rsid w:val="001A0CA8"/>
    <w:rsid w:val="001A2654"/>
    <w:rsid w:val="001A32FA"/>
    <w:rsid w:val="001A5362"/>
    <w:rsid w:val="001A7DC9"/>
    <w:rsid w:val="001B0B49"/>
    <w:rsid w:val="001C138D"/>
    <w:rsid w:val="001D32D7"/>
    <w:rsid w:val="001D5BEC"/>
    <w:rsid w:val="001D6EC3"/>
    <w:rsid w:val="001E23AD"/>
    <w:rsid w:val="001E39E4"/>
    <w:rsid w:val="001F5D52"/>
    <w:rsid w:val="001F7897"/>
    <w:rsid w:val="0020065D"/>
    <w:rsid w:val="00200CAF"/>
    <w:rsid w:val="00201DDD"/>
    <w:rsid w:val="00201F55"/>
    <w:rsid w:val="002031A5"/>
    <w:rsid w:val="00204776"/>
    <w:rsid w:val="0020752A"/>
    <w:rsid w:val="00235B99"/>
    <w:rsid w:val="00236F83"/>
    <w:rsid w:val="002463E7"/>
    <w:rsid w:val="002504C7"/>
    <w:rsid w:val="00250839"/>
    <w:rsid w:val="00253E9F"/>
    <w:rsid w:val="00257021"/>
    <w:rsid w:val="002577E7"/>
    <w:rsid w:val="00266A09"/>
    <w:rsid w:val="00270C6F"/>
    <w:rsid w:val="0027383B"/>
    <w:rsid w:val="00277C4F"/>
    <w:rsid w:val="0028204B"/>
    <w:rsid w:val="00282482"/>
    <w:rsid w:val="00282EA2"/>
    <w:rsid w:val="00286080"/>
    <w:rsid w:val="00292565"/>
    <w:rsid w:val="0029511E"/>
    <w:rsid w:val="002A1B04"/>
    <w:rsid w:val="002A62B9"/>
    <w:rsid w:val="002B6F42"/>
    <w:rsid w:val="002C1BF4"/>
    <w:rsid w:val="002C32B4"/>
    <w:rsid w:val="002C463D"/>
    <w:rsid w:val="002D1AC3"/>
    <w:rsid w:val="002D1B61"/>
    <w:rsid w:val="002E1788"/>
    <w:rsid w:val="002E5B13"/>
    <w:rsid w:val="0030475C"/>
    <w:rsid w:val="0031243F"/>
    <w:rsid w:val="00317D73"/>
    <w:rsid w:val="00321B64"/>
    <w:rsid w:val="00332B5B"/>
    <w:rsid w:val="003345E6"/>
    <w:rsid w:val="0033681E"/>
    <w:rsid w:val="00354C33"/>
    <w:rsid w:val="00355033"/>
    <w:rsid w:val="00356432"/>
    <w:rsid w:val="0035688B"/>
    <w:rsid w:val="00357EA8"/>
    <w:rsid w:val="00360BBB"/>
    <w:rsid w:val="00365F3B"/>
    <w:rsid w:val="00373D18"/>
    <w:rsid w:val="00375E88"/>
    <w:rsid w:val="003778F8"/>
    <w:rsid w:val="00387C14"/>
    <w:rsid w:val="00391041"/>
    <w:rsid w:val="0039187B"/>
    <w:rsid w:val="003A2B4A"/>
    <w:rsid w:val="003A5057"/>
    <w:rsid w:val="003A7DB4"/>
    <w:rsid w:val="003B09FF"/>
    <w:rsid w:val="003B0A5B"/>
    <w:rsid w:val="003C5783"/>
    <w:rsid w:val="003D47C4"/>
    <w:rsid w:val="003D4993"/>
    <w:rsid w:val="003D5246"/>
    <w:rsid w:val="003D5295"/>
    <w:rsid w:val="003D704E"/>
    <w:rsid w:val="00400AD1"/>
    <w:rsid w:val="004106A3"/>
    <w:rsid w:val="00417357"/>
    <w:rsid w:val="00420413"/>
    <w:rsid w:val="0042471C"/>
    <w:rsid w:val="00432DDD"/>
    <w:rsid w:val="004401E6"/>
    <w:rsid w:val="00460AEE"/>
    <w:rsid w:val="004623C5"/>
    <w:rsid w:val="00463840"/>
    <w:rsid w:val="00464788"/>
    <w:rsid w:val="004753F7"/>
    <w:rsid w:val="004868F3"/>
    <w:rsid w:val="00487596"/>
    <w:rsid w:val="00495B60"/>
    <w:rsid w:val="004A506D"/>
    <w:rsid w:val="004B3FD3"/>
    <w:rsid w:val="004B684B"/>
    <w:rsid w:val="004C0F22"/>
    <w:rsid w:val="004C1B2B"/>
    <w:rsid w:val="004D1591"/>
    <w:rsid w:val="004D5AB8"/>
    <w:rsid w:val="004E0C5A"/>
    <w:rsid w:val="004E3A2F"/>
    <w:rsid w:val="004F241A"/>
    <w:rsid w:val="0050659C"/>
    <w:rsid w:val="00511E60"/>
    <w:rsid w:val="00514ED9"/>
    <w:rsid w:val="0052145C"/>
    <w:rsid w:val="00523FA1"/>
    <w:rsid w:val="00531425"/>
    <w:rsid w:val="0053348A"/>
    <w:rsid w:val="005371A2"/>
    <w:rsid w:val="005412F6"/>
    <w:rsid w:val="0054567A"/>
    <w:rsid w:val="00554D73"/>
    <w:rsid w:val="0056023A"/>
    <w:rsid w:val="00587CCA"/>
    <w:rsid w:val="00590298"/>
    <w:rsid w:val="00591E5C"/>
    <w:rsid w:val="00594C01"/>
    <w:rsid w:val="00597CA0"/>
    <w:rsid w:val="005A182D"/>
    <w:rsid w:val="005A2D98"/>
    <w:rsid w:val="005A5500"/>
    <w:rsid w:val="005B06A4"/>
    <w:rsid w:val="005C1063"/>
    <w:rsid w:val="005C1857"/>
    <w:rsid w:val="005C23E7"/>
    <w:rsid w:val="005D2397"/>
    <w:rsid w:val="005D4348"/>
    <w:rsid w:val="005E5B0C"/>
    <w:rsid w:val="005F02F7"/>
    <w:rsid w:val="005F3261"/>
    <w:rsid w:val="005F6339"/>
    <w:rsid w:val="006004B1"/>
    <w:rsid w:val="0060512E"/>
    <w:rsid w:val="00610C1C"/>
    <w:rsid w:val="00613649"/>
    <w:rsid w:val="00616124"/>
    <w:rsid w:val="006207F1"/>
    <w:rsid w:val="00620CB9"/>
    <w:rsid w:val="00625CBF"/>
    <w:rsid w:val="00625CFA"/>
    <w:rsid w:val="006355F1"/>
    <w:rsid w:val="006450D4"/>
    <w:rsid w:val="00650854"/>
    <w:rsid w:val="00650A5F"/>
    <w:rsid w:val="0065276E"/>
    <w:rsid w:val="00654F48"/>
    <w:rsid w:val="006652A1"/>
    <w:rsid w:val="00681134"/>
    <w:rsid w:val="00691DB7"/>
    <w:rsid w:val="00694961"/>
    <w:rsid w:val="006A0333"/>
    <w:rsid w:val="006A5EC4"/>
    <w:rsid w:val="006A6D10"/>
    <w:rsid w:val="006B116C"/>
    <w:rsid w:val="006B1F05"/>
    <w:rsid w:val="006C42A5"/>
    <w:rsid w:val="006D1BB0"/>
    <w:rsid w:val="006D52DF"/>
    <w:rsid w:val="006F53D0"/>
    <w:rsid w:val="00701AA9"/>
    <w:rsid w:val="00702128"/>
    <w:rsid w:val="00706211"/>
    <w:rsid w:val="007138EA"/>
    <w:rsid w:val="00731A0B"/>
    <w:rsid w:val="00736126"/>
    <w:rsid w:val="00736BE6"/>
    <w:rsid w:val="00741093"/>
    <w:rsid w:val="00741BA8"/>
    <w:rsid w:val="00752626"/>
    <w:rsid w:val="007614FD"/>
    <w:rsid w:val="00764526"/>
    <w:rsid w:val="00765491"/>
    <w:rsid w:val="00772E25"/>
    <w:rsid w:val="007747DD"/>
    <w:rsid w:val="00780685"/>
    <w:rsid w:val="0078246B"/>
    <w:rsid w:val="007838B8"/>
    <w:rsid w:val="00790C7D"/>
    <w:rsid w:val="00795460"/>
    <w:rsid w:val="007A1D8F"/>
    <w:rsid w:val="007A26E8"/>
    <w:rsid w:val="007A69EB"/>
    <w:rsid w:val="007B2CE1"/>
    <w:rsid w:val="007B61D2"/>
    <w:rsid w:val="007C0C2A"/>
    <w:rsid w:val="007C3F4D"/>
    <w:rsid w:val="007C4DA8"/>
    <w:rsid w:val="007C5137"/>
    <w:rsid w:val="007C631B"/>
    <w:rsid w:val="007D04EE"/>
    <w:rsid w:val="007E31EE"/>
    <w:rsid w:val="007E3A87"/>
    <w:rsid w:val="007E4D31"/>
    <w:rsid w:val="007E7B5E"/>
    <w:rsid w:val="00801285"/>
    <w:rsid w:val="00804DFD"/>
    <w:rsid w:val="00815429"/>
    <w:rsid w:val="00835E64"/>
    <w:rsid w:val="00840215"/>
    <w:rsid w:val="008471C2"/>
    <w:rsid w:val="008602DD"/>
    <w:rsid w:val="008609C2"/>
    <w:rsid w:val="00865DCE"/>
    <w:rsid w:val="00866203"/>
    <w:rsid w:val="00874C8E"/>
    <w:rsid w:val="00880FF7"/>
    <w:rsid w:val="008920BF"/>
    <w:rsid w:val="00897801"/>
    <w:rsid w:val="008B2C1D"/>
    <w:rsid w:val="008B339D"/>
    <w:rsid w:val="008B45B3"/>
    <w:rsid w:val="008B55CA"/>
    <w:rsid w:val="008C37F1"/>
    <w:rsid w:val="008D1138"/>
    <w:rsid w:val="008D4DFE"/>
    <w:rsid w:val="008D7063"/>
    <w:rsid w:val="008E09ED"/>
    <w:rsid w:val="008E1A48"/>
    <w:rsid w:val="008F355F"/>
    <w:rsid w:val="00904835"/>
    <w:rsid w:val="00905932"/>
    <w:rsid w:val="00905E75"/>
    <w:rsid w:val="009131BC"/>
    <w:rsid w:val="00920657"/>
    <w:rsid w:val="00920F00"/>
    <w:rsid w:val="009211E9"/>
    <w:rsid w:val="0092303A"/>
    <w:rsid w:val="00927FAB"/>
    <w:rsid w:val="00940F1B"/>
    <w:rsid w:val="00962053"/>
    <w:rsid w:val="00962A09"/>
    <w:rsid w:val="009633B1"/>
    <w:rsid w:val="009860D8"/>
    <w:rsid w:val="009878CB"/>
    <w:rsid w:val="0099220C"/>
    <w:rsid w:val="009959C6"/>
    <w:rsid w:val="00997FA9"/>
    <w:rsid w:val="009A04DD"/>
    <w:rsid w:val="009A3530"/>
    <w:rsid w:val="009C095C"/>
    <w:rsid w:val="009C0F81"/>
    <w:rsid w:val="009C23AB"/>
    <w:rsid w:val="009C6190"/>
    <w:rsid w:val="009E5351"/>
    <w:rsid w:val="009E56CD"/>
    <w:rsid w:val="009E5E67"/>
    <w:rsid w:val="009F27E2"/>
    <w:rsid w:val="009F579C"/>
    <w:rsid w:val="009F5CA3"/>
    <w:rsid w:val="00A0009F"/>
    <w:rsid w:val="00A04187"/>
    <w:rsid w:val="00A11F82"/>
    <w:rsid w:val="00A23790"/>
    <w:rsid w:val="00A24FDC"/>
    <w:rsid w:val="00A25571"/>
    <w:rsid w:val="00A26382"/>
    <w:rsid w:val="00A27043"/>
    <w:rsid w:val="00A44381"/>
    <w:rsid w:val="00A445FF"/>
    <w:rsid w:val="00A502F7"/>
    <w:rsid w:val="00A550EF"/>
    <w:rsid w:val="00A56EE0"/>
    <w:rsid w:val="00A7039F"/>
    <w:rsid w:val="00A758F0"/>
    <w:rsid w:val="00A7621C"/>
    <w:rsid w:val="00A77984"/>
    <w:rsid w:val="00A812EE"/>
    <w:rsid w:val="00A827B3"/>
    <w:rsid w:val="00A86840"/>
    <w:rsid w:val="00A8685A"/>
    <w:rsid w:val="00A9514C"/>
    <w:rsid w:val="00AA3A90"/>
    <w:rsid w:val="00AB0275"/>
    <w:rsid w:val="00AB0531"/>
    <w:rsid w:val="00AB2FBB"/>
    <w:rsid w:val="00AC2770"/>
    <w:rsid w:val="00AD3A67"/>
    <w:rsid w:val="00AD4BC1"/>
    <w:rsid w:val="00AD4D3F"/>
    <w:rsid w:val="00AD6928"/>
    <w:rsid w:val="00AF2740"/>
    <w:rsid w:val="00B0166F"/>
    <w:rsid w:val="00B230CF"/>
    <w:rsid w:val="00B24289"/>
    <w:rsid w:val="00B372B5"/>
    <w:rsid w:val="00B434B3"/>
    <w:rsid w:val="00B51992"/>
    <w:rsid w:val="00B61DCE"/>
    <w:rsid w:val="00B66880"/>
    <w:rsid w:val="00B66B13"/>
    <w:rsid w:val="00B70193"/>
    <w:rsid w:val="00B70D1D"/>
    <w:rsid w:val="00B76EA1"/>
    <w:rsid w:val="00B80F8E"/>
    <w:rsid w:val="00B86283"/>
    <w:rsid w:val="00B92855"/>
    <w:rsid w:val="00B950D0"/>
    <w:rsid w:val="00BA1273"/>
    <w:rsid w:val="00BA1B17"/>
    <w:rsid w:val="00BA4387"/>
    <w:rsid w:val="00BB1AE6"/>
    <w:rsid w:val="00BB4F88"/>
    <w:rsid w:val="00BB644F"/>
    <w:rsid w:val="00BC0F90"/>
    <w:rsid w:val="00BC1216"/>
    <w:rsid w:val="00BC1F27"/>
    <w:rsid w:val="00BD2536"/>
    <w:rsid w:val="00BD46D7"/>
    <w:rsid w:val="00BD50BD"/>
    <w:rsid w:val="00BE5126"/>
    <w:rsid w:val="00BE6BC9"/>
    <w:rsid w:val="00BF436C"/>
    <w:rsid w:val="00C02D67"/>
    <w:rsid w:val="00C03019"/>
    <w:rsid w:val="00C0324A"/>
    <w:rsid w:val="00C0651A"/>
    <w:rsid w:val="00C12F2B"/>
    <w:rsid w:val="00C17C1F"/>
    <w:rsid w:val="00C213F6"/>
    <w:rsid w:val="00C235ED"/>
    <w:rsid w:val="00C31498"/>
    <w:rsid w:val="00C45882"/>
    <w:rsid w:val="00C45EB2"/>
    <w:rsid w:val="00C4721E"/>
    <w:rsid w:val="00C47E21"/>
    <w:rsid w:val="00C53F2A"/>
    <w:rsid w:val="00C63BBD"/>
    <w:rsid w:val="00C64A7D"/>
    <w:rsid w:val="00C7253E"/>
    <w:rsid w:val="00C729D7"/>
    <w:rsid w:val="00C935F8"/>
    <w:rsid w:val="00CB4EA6"/>
    <w:rsid w:val="00CB732E"/>
    <w:rsid w:val="00CC55AE"/>
    <w:rsid w:val="00CD1844"/>
    <w:rsid w:val="00CD3F03"/>
    <w:rsid w:val="00CD7391"/>
    <w:rsid w:val="00CE0E8E"/>
    <w:rsid w:val="00CE42AA"/>
    <w:rsid w:val="00CF0135"/>
    <w:rsid w:val="00CF1586"/>
    <w:rsid w:val="00CF7C68"/>
    <w:rsid w:val="00D03CCE"/>
    <w:rsid w:val="00D06EF6"/>
    <w:rsid w:val="00D14315"/>
    <w:rsid w:val="00D145D8"/>
    <w:rsid w:val="00D160E9"/>
    <w:rsid w:val="00D16790"/>
    <w:rsid w:val="00D17BA2"/>
    <w:rsid w:val="00D21AF0"/>
    <w:rsid w:val="00D25F83"/>
    <w:rsid w:val="00D31000"/>
    <w:rsid w:val="00D40B73"/>
    <w:rsid w:val="00D46414"/>
    <w:rsid w:val="00D46677"/>
    <w:rsid w:val="00D5464A"/>
    <w:rsid w:val="00D603BD"/>
    <w:rsid w:val="00D66BE8"/>
    <w:rsid w:val="00D72EE0"/>
    <w:rsid w:val="00D815F2"/>
    <w:rsid w:val="00D87840"/>
    <w:rsid w:val="00D87DFB"/>
    <w:rsid w:val="00DA5399"/>
    <w:rsid w:val="00DC012F"/>
    <w:rsid w:val="00DC07BD"/>
    <w:rsid w:val="00DC41F1"/>
    <w:rsid w:val="00DC64D4"/>
    <w:rsid w:val="00DC6F7C"/>
    <w:rsid w:val="00DD3A08"/>
    <w:rsid w:val="00DD766E"/>
    <w:rsid w:val="00DF3FE4"/>
    <w:rsid w:val="00DF7D5F"/>
    <w:rsid w:val="00E02165"/>
    <w:rsid w:val="00E031D8"/>
    <w:rsid w:val="00E1321E"/>
    <w:rsid w:val="00E16227"/>
    <w:rsid w:val="00E17B47"/>
    <w:rsid w:val="00E205BE"/>
    <w:rsid w:val="00E3042E"/>
    <w:rsid w:val="00E321C7"/>
    <w:rsid w:val="00E34964"/>
    <w:rsid w:val="00E4120E"/>
    <w:rsid w:val="00E41F90"/>
    <w:rsid w:val="00E429DC"/>
    <w:rsid w:val="00E4371B"/>
    <w:rsid w:val="00E471C1"/>
    <w:rsid w:val="00E53A0F"/>
    <w:rsid w:val="00E53A1C"/>
    <w:rsid w:val="00E63B8C"/>
    <w:rsid w:val="00E6770C"/>
    <w:rsid w:val="00E72F8D"/>
    <w:rsid w:val="00E94150"/>
    <w:rsid w:val="00E94670"/>
    <w:rsid w:val="00E94F33"/>
    <w:rsid w:val="00E96ADB"/>
    <w:rsid w:val="00E975F1"/>
    <w:rsid w:val="00EA1587"/>
    <w:rsid w:val="00EB4567"/>
    <w:rsid w:val="00EC6E65"/>
    <w:rsid w:val="00EE0FA4"/>
    <w:rsid w:val="00EE2CB0"/>
    <w:rsid w:val="00EF3319"/>
    <w:rsid w:val="00F01DB3"/>
    <w:rsid w:val="00F0457A"/>
    <w:rsid w:val="00F04B5B"/>
    <w:rsid w:val="00F04D67"/>
    <w:rsid w:val="00F067B7"/>
    <w:rsid w:val="00F15EA4"/>
    <w:rsid w:val="00F163D2"/>
    <w:rsid w:val="00F171BD"/>
    <w:rsid w:val="00F21E6F"/>
    <w:rsid w:val="00F24C19"/>
    <w:rsid w:val="00F26EF4"/>
    <w:rsid w:val="00F324E8"/>
    <w:rsid w:val="00F32D9B"/>
    <w:rsid w:val="00F650AA"/>
    <w:rsid w:val="00F67259"/>
    <w:rsid w:val="00F7029E"/>
    <w:rsid w:val="00F71726"/>
    <w:rsid w:val="00F720C6"/>
    <w:rsid w:val="00F77A1D"/>
    <w:rsid w:val="00F9408B"/>
    <w:rsid w:val="00F94329"/>
    <w:rsid w:val="00F9483B"/>
    <w:rsid w:val="00FB2198"/>
    <w:rsid w:val="00FC78DD"/>
    <w:rsid w:val="00FD1959"/>
    <w:rsid w:val="00FE03F8"/>
    <w:rsid w:val="00FE0F0E"/>
    <w:rsid w:val="00FE34CE"/>
    <w:rsid w:val="00FE3691"/>
    <w:rsid w:val="00FE5AAF"/>
    <w:rsid w:val="00FE76B8"/>
    <w:rsid w:val="00FF572E"/>
    <w:rsid w:val="1A9E289C"/>
    <w:rsid w:val="22091733"/>
    <w:rsid w:val="266F0345"/>
    <w:rsid w:val="32DA53BC"/>
    <w:rsid w:val="385DBFD3"/>
    <w:rsid w:val="3E6E17B7"/>
    <w:rsid w:val="444DFF4D"/>
    <w:rsid w:val="567F0FB4"/>
    <w:rsid w:val="613245B9"/>
    <w:rsid w:val="625E3773"/>
    <w:rsid w:val="6BD2799D"/>
    <w:rsid w:val="7182E34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875F0A"/>
  <w15:chartTrackingRefBased/>
  <w15:docId w15:val="{08BE1F6B-ABC6-4724-B7B6-2B67301CF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5429"/>
  </w:style>
  <w:style w:type="paragraph" w:styleId="Heading1">
    <w:name w:val="heading 1"/>
    <w:basedOn w:val="Normal"/>
    <w:next w:val="Normal"/>
    <w:link w:val="Heading1Char"/>
    <w:uiPriority w:val="9"/>
    <w:qFormat/>
    <w:rsid w:val="00CC55A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A1D8F"/>
    <w:pPr>
      <w:keepNext/>
      <w:keepLines/>
      <w:spacing w:before="40" w:after="0"/>
      <w:outlineLvl w:val="1"/>
    </w:pPr>
    <w:rPr>
      <w:rFonts w:asciiTheme="majorHAnsi" w:eastAsiaTheme="majorEastAsia" w:hAnsiTheme="majorHAnsi" w:cstheme="majorBidi"/>
      <w:color w:val="2F5496" w:themeColor="accent1" w:themeShade="BF"/>
      <w:sz w:val="26"/>
      <w:szCs w:val="26"/>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ontstyle01">
    <w:name w:val="fontstyle01"/>
    <w:basedOn w:val="DefaultParagraphFont"/>
    <w:rsid w:val="00815429"/>
    <w:rPr>
      <w:rFonts w:ascii="TimesNewRomanPSMT" w:hAnsi="TimesNewRomanPSMT" w:hint="default"/>
      <w:b w:val="0"/>
      <w:bCs w:val="0"/>
      <w:i w:val="0"/>
      <w:iCs w:val="0"/>
      <w:color w:val="000000"/>
      <w:sz w:val="20"/>
      <w:szCs w:val="20"/>
    </w:rPr>
  </w:style>
  <w:style w:type="paragraph" w:customStyle="1" w:styleId="TAMainText">
    <w:name w:val="TA_Main_Text"/>
    <w:basedOn w:val="Normal"/>
    <w:link w:val="TAMainTextChar"/>
    <w:rsid w:val="004E0C5A"/>
    <w:pPr>
      <w:spacing w:after="0" w:line="480" w:lineRule="auto"/>
      <w:ind w:firstLine="202"/>
      <w:jc w:val="both"/>
    </w:pPr>
    <w:rPr>
      <w:rFonts w:ascii="Times" w:eastAsia="Times New Roman" w:hAnsi="Times" w:cs="Times New Roman"/>
      <w:sz w:val="24"/>
      <w:szCs w:val="20"/>
      <w:lang w:val="en-US"/>
    </w:rPr>
  </w:style>
  <w:style w:type="character" w:customStyle="1" w:styleId="TAMainTextChar">
    <w:name w:val="TA_Main_Text Char"/>
    <w:basedOn w:val="DefaultParagraphFont"/>
    <w:link w:val="TAMainText"/>
    <w:rsid w:val="004E0C5A"/>
    <w:rPr>
      <w:rFonts w:ascii="Times" w:eastAsia="Times New Roman" w:hAnsi="Times" w:cs="Times New Roman"/>
      <w:sz w:val="24"/>
      <w:szCs w:val="20"/>
      <w:lang w:val="en-US"/>
    </w:rPr>
  </w:style>
  <w:style w:type="character" w:styleId="CommentReference">
    <w:name w:val="annotation reference"/>
    <w:basedOn w:val="DefaultParagraphFont"/>
    <w:uiPriority w:val="99"/>
    <w:semiHidden/>
    <w:unhideWhenUsed/>
    <w:rsid w:val="004E0C5A"/>
    <w:rPr>
      <w:sz w:val="16"/>
      <w:szCs w:val="16"/>
    </w:rPr>
  </w:style>
  <w:style w:type="paragraph" w:styleId="CommentText">
    <w:name w:val="annotation text"/>
    <w:basedOn w:val="Normal"/>
    <w:link w:val="CommentTextChar"/>
    <w:uiPriority w:val="99"/>
    <w:unhideWhenUsed/>
    <w:rsid w:val="004E0C5A"/>
    <w:pPr>
      <w:spacing w:line="240" w:lineRule="auto"/>
    </w:pPr>
    <w:rPr>
      <w:sz w:val="20"/>
      <w:szCs w:val="20"/>
    </w:rPr>
  </w:style>
  <w:style w:type="character" w:customStyle="1" w:styleId="CommentTextChar">
    <w:name w:val="Comment Text Char"/>
    <w:basedOn w:val="DefaultParagraphFont"/>
    <w:link w:val="CommentText"/>
    <w:uiPriority w:val="99"/>
    <w:rsid w:val="004E0C5A"/>
    <w:rPr>
      <w:sz w:val="20"/>
      <w:szCs w:val="20"/>
    </w:rPr>
  </w:style>
  <w:style w:type="paragraph" w:styleId="Caption">
    <w:name w:val="caption"/>
    <w:basedOn w:val="Normal"/>
    <w:next w:val="Normal"/>
    <w:uiPriority w:val="35"/>
    <w:unhideWhenUsed/>
    <w:qFormat/>
    <w:rsid w:val="004E0C5A"/>
    <w:pPr>
      <w:spacing w:after="200" w:line="240" w:lineRule="auto"/>
    </w:pPr>
    <w:rPr>
      <w:i/>
      <w:iCs/>
      <w:color w:val="44546A" w:themeColor="text2"/>
      <w:sz w:val="18"/>
      <w:szCs w:val="18"/>
    </w:rPr>
  </w:style>
  <w:style w:type="character" w:customStyle="1" w:styleId="Heading1Char">
    <w:name w:val="Heading 1 Char"/>
    <w:basedOn w:val="DefaultParagraphFont"/>
    <w:link w:val="Heading1"/>
    <w:uiPriority w:val="9"/>
    <w:rsid w:val="00CC55AE"/>
    <w:rPr>
      <w:rFonts w:asciiTheme="majorHAnsi" w:eastAsiaTheme="majorEastAsia" w:hAnsiTheme="majorHAnsi" w:cstheme="majorBidi"/>
      <w:color w:val="2F5496" w:themeColor="accent1" w:themeShade="BF"/>
      <w:sz w:val="32"/>
      <w:szCs w:val="32"/>
    </w:rPr>
  </w:style>
  <w:style w:type="paragraph" w:styleId="CommentSubject">
    <w:name w:val="annotation subject"/>
    <w:basedOn w:val="CommentText"/>
    <w:next w:val="CommentText"/>
    <w:link w:val="CommentSubjectChar"/>
    <w:uiPriority w:val="99"/>
    <w:semiHidden/>
    <w:unhideWhenUsed/>
    <w:rsid w:val="00F24C19"/>
    <w:rPr>
      <w:b/>
      <w:bCs/>
    </w:rPr>
  </w:style>
  <w:style w:type="character" w:customStyle="1" w:styleId="CommentSubjectChar">
    <w:name w:val="Comment Subject Char"/>
    <w:basedOn w:val="CommentTextChar"/>
    <w:link w:val="CommentSubject"/>
    <w:uiPriority w:val="99"/>
    <w:semiHidden/>
    <w:rsid w:val="00F24C19"/>
    <w:rPr>
      <w:b/>
      <w:bCs/>
      <w:sz w:val="20"/>
      <w:szCs w:val="20"/>
    </w:rPr>
  </w:style>
  <w:style w:type="paragraph" w:styleId="BalloonText">
    <w:name w:val="Balloon Text"/>
    <w:basedOn w:val="Normal"/>
    <w:link w:val="BalloonTextChar"/>
    <w:uiPriority w:val="99"/>
    <w:semiHidden/>
    <w:unhideWhenUsed/>
    <w:rsid w:val="00FF572E"/>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F572E"/>
    <w:rPr>
      <w:rFonts w:ascii="Times New Roman" w:hAnsi="Times New Roman" w:cs="Times New Roman"/>
      <w:sz w:val="18"/>
      <w:szCs w:val="18"/>
    </w:rPr>
  </w:style>
  <w:style w:type="paragraph" w:styleId="TOCHeading">
    <w:name w:val="TOC Heading"/>
    <w:basedOn w:val="Heading1"/>
    <w:next w:val="Normal"/>
    <w:uiPriority w:val="39"/>
    <w:unhideWhenUsed/>
    <w:qFormat/>
    <w:rsid w:val="004868F3"/>
    <w:pPr>
      <w:outlineLvl w:val="9"/>
    </w:pPr>
    <w:rPr>
      <w:lang w:val="en-US"/>
    </w:rPr>
  </w:style>
  <w:style w:type="paragraph" w:styleId="TOC1">
    <w:name w:val="toc 1"/>
    <w:basedOn w:val="Normal"/>
    <w:next w:val="Normal"/>
    <w:autoRedefine/>
    <w:uiPriority w:val="39"/>
    <w:unhideWhenUsed/>
    <w:rsid w:val="002031A5"/>
    <w:pPr>
      <w:spacing w:after="100"/>
    </w:pPr>
  </w:style>
  <w:style w:type="character" w:styleId="Hyperlink">
    <w:name w:val="Hyperlink"/>
    <w:basedOn w:val="DefaultParagraphFont"/>
    <w:uiPriority w:val="99"/>
    <w:unhideWhenUsed/>
    <w:rsid w:val="002031A5"/>
    <w:rPr>
      <w:color w:val="0563C1" w:themeColor="hyperlink"/>
      <w:u w:val="single"/>
    </w:rPr>
  </w:style>
  <w:style w:type="table" w:styleId="TableGrid">
    <w:name w:val="Table Grid"/>
    <w:basedOn w:val="TableNormal"/>
    <w:uiPriority w:val="59"/>
    <w:rsid w:val="00F77A1D"/>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65491"/>
    <w:pPr>
      <w:tabs>
        <w:tab w:val="center" w:pos="4513"/>
        <w:tab w:val="right" w:pos="9026"/>
      </w:tabs>
      <w:spacing w:after="0" w:line="240" w:lineRule="auto"/>
    </w:pPr>
  </w:style>
  <w:style w:type="character" w:customStyle="1" w:styleId="HeaderChar">
    <w:name w:val="Header Char"/>
    <w:basedOn w:val="DefaultParagraphFont"/>
    <w:link w:val="Header"/>
    <w:uiPriority w:val="99"/>
    <w:rsid w:val="00765491"/>
  </w:style>
  <w:style w:type="paragraph" w:styleId="Footer">
    <w:name w:val="footer"/>
    <w:basedOn w:val="Normal"/>
    <w:link w:val="FooterChar"/>
    <w:uiPriority w:val="99"/>
    <w:unhideWhenUsed/>
    <w:rsid w:val="00765491"/>
    <w:pPr>
      <w:tabs>
        <w:tab w:val="center" w:pos="4513"/>
        <w:tab w:val="right" w:pos="9026"/>
      </w:tabs>
      <w:spacing w:after="0" w:line="240" w:lineRule="auto"/>
    </w:pPr>
  </w:style>
  <w:style w:type="character" w:customStyle="1" w:styleId="FooterChar">
    <w:name w:val="Footer Char"/>
    <w:basedOn w:val="DefaultParagraphFont"/>
    <w:link w:val="Footer"/>
    <w:uiPriority w:val="99"/>
    <w:rsid w:val="00765491"/>
  </w:style>
  <w:style w:type="paragraph" w:styleId="Revision">
    <w:name w:val="Revision"/>
    <w:hidden/>
    <w:uiPriority w:val="99"/>
    <w:semiHidden/>
    <w:rsid w:val="002C1BF4"/>
    <w:pPr>
      <w:spacing w:after="0" w:line="240" w:lineRule="auto"/>
    </w:pPr>
  </w:style>
  <w:style w:type="character" w:styleId="FollowedHyperlink">
    <w:name w:val="FollowedHyperlink"/>
    <w:basedOn w:val="DefaultParagraphFont"/>
    <w:uiPriority w:val="99"/>
    <w:semiHidden/>
    <w:unhideWhenUsed/>
    <w:rsid w:val="009A04DD"/>
    <w:rPr>
      <w:color w:val="954F72" w:themeColor="followedHyperlink"/>
      <w:u w:val="single"/>
    </w:rPr>
  </w:style>
  <w:style w:type="paragraph" w:styleId="Bibliography">
    <w:name w:val="Bibliography"/>
    <w:basedOn w:val="Normal"/>
    <w:next w:val="Normal"/>
    <w:uiPriority w:val="37"/>
    <w:unhideWhenUsed/>
    <w:rsid w:val="00360BBB"/>
    <w:pPr>
      <w:tabs>
        <w:tab w:val="left" w:pos="384"/>
      </w:tabs>
      <w:spacing w:after="0" w:line="240" w:lineRule="auto"/>
      <w:ind w:left="384" w:hanging="384"/>
    </w:pPr>
  </w:style>
  <w:style w:type="paragraph" w:styleId="ListParagraph">
    <w:name w:val="List Paragraph"/>
    <w:basedOn w:val="Normal"/>
    <w:uiPriority w:val="34"/>
    <w:qFormat/>
    <w:rsid w:val="007D04EE"/>
    <w:pPr>
      <w:ind w:left="720"/>
      <w:contextualSpacing/>
    </w:pPr>
  </w:style>
  <w:style w:type="character" w:customStyle="1" w:styleId="UnresolvedMention1">
    <w:name w:val="Unresolved Mention1"/>
    <w:basedOn w:val="DefaultParagraphFont"/>
    <w:uiPriority w:val="99"/>
    <w:semiHidden/>
    <w:unhideWhenUsed/>
    <w:rsid w:val="00780685"/>
    <w:rPr>
      <w:color w:val="605E5C"/>
      <w:shd w:val="clear" w:color="auto" w:fill="E1DFDD"/>
    </w:rPr>
  </w:style>
  <w:style w:type="character" w:customStyle="1" w:styleId="NichtaufgelsteErwhnung1">
    <w:name w:val="Nicht aufgelöste Erwähnung1"/>
    <w:basedOn w:val="DefaultParagraphFont"/>
    <w:uiPriority w:val="99"/>
    <w:semiHidden/>
    <w:unhideWhenUsed/>
    <w:rsid w:val="00706211"/>
    <w:rPr>
      <w:color w:val="605E5C"/>
      <w:shd w:val="clear" w:color="auto" w:fill="E1DFDD"/>
    </w:rPr>
  </w:style>
  <w:style w:type="paragraph" w:styleId="NoSpacing">
    <w:name w:val="No Spacing"/>
    <w:uiPriority w:val="1"/>
    <w:qFormat/>
    <w:rsid w:val="00706211"/>
    <w:pPr>
      <w:spacing w:after="0" w:line="240" w:lineRule="auto"/>
    </w:pPr>
    <w:rPr>
      <w:rFonts w:ascii="Arial" w:hAnsi="Arial"/>
    </w:rPr>
  </w:style>
  <w:style w:type="character" w:customStyle="1" w:styleId="Heading2Char">
    <w:name w:val="Heading 2 Char"/>
    <w:basedOn w:val="DefaultParagraphFont"/>
    <w:link w:val="Heading2"/>
    <w:uiPriority w:val="9"/>
    <w:rsid w:val="007A1D8F"/>
    <w:rPr>
      <w:rFonts w:asciiTheme="majorHAnsi" w:eastAsiaTheme="majorEastAsia" w:hAnsiTheme="majorHAnsi" w:cstheme="majorBidi"/>
      <w:color w:val="2F5496" w:themeColor="accent1" w:themeShade="BF"/>
      <w:sz w:val="26"/>
      <w:szCs w:val="26"/>
      <w:lang w:val="de-DE"/>
    </w:rPr>
  </w:style>
  <w:style w:type="character" w:styleId="LineNumber">
    <w:name w:val="line number"/>
    <w:basedOn w:val="DefaultParagraphFont"/>
    <w:uiPriority w:val="99"/>
    <w:semiHidden/>
    <w:unhideWhenUsed/>
    <w:rsid w:val="00795460"/>
  </w:style>
  <w:style w:type="paragraph" w:styleId="TableofFigures">
    <w:name w:val="table of figures"/>
    <w:basedOn w:val="Normal"/>
    <w:next w:val="Normal"/>
    <w:uiPriority w:val="99"/>
    <w:unhideWhenUsed/>
    <w:rsid w:val="008609C2"/>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6738740">
      <w:bodyDiv w:val="1"/>
      <w:marLeft w:val="0"/>
      <w:marRight w:val="0"/>
      <w:marTop w:val="0"/>
      <w:marBottom w:val="0"/>
      <w:divBdr>
        <w:top w:val="none" w:sz="0" w:space="0" w:color="auto"/>
        <w:left w:val="none" w:sz="0" w:space="0" w:color="auto"/>
        <w:bottom w:val="none" w:sz="0" w:space="0" w:color="auto"/>
        <w:right w:val="none" w:sz="0" w:space="0" w:color="auto"/>
      </w:divBdr>
    </w:div>
    <w:div w:id="338433688">
      <w:bodyDiv w:val="1"/>
      <w:marLeft w:val="0"/>
      <w:marRight w:val="0"/>
      <w:marTop w:val="0"/>
      <w:marBottom w:val="0"/>
      <w:divBdr>
        <w:top w:val="none" w:sz="0" w:space="0" w:color="auto"/>
        <w:left w:val="none" w:sz="0" w:space="0" w:color="auto"/>
        <w:bottom w:val="none" w:sz="0" w:space="0" w:color="auto"/>
        <w:right w:val="none" w:sz="0" w:space="0" w:color="auto"/>
      </w:divBdr>
    </w:div>
    <w:div w:id="405880950">
      <w:bodyDiv w:val="1"/>
      <w:marLeft w:val="0"/>
      <w:marRight w:val="0"/>
      <w:marTop w:val="0"/>
      <w:marBottom w:val="0"/>
      <w:divBdr>
        <w:top w:val="none" w:sz="0" w:space="0" w:color="auto"/>
        <w:left w:val="none" w:sz="0" w:space="0" w:color="auto"/>
        <w:bottom w:val="none" w:sz="0" w:space="0" w:color="auto"/>
        <w:right w:val="none" w:sz="0" w:space="0" w:color="auto"/>
      </w:divBdr>
    </w:div>
    <w:div w:id="511066169">
      <w:bodyDiv w:val="1"/>
      <w:marLeft w:val="0"/>
      <w:marRight w:val="0"/>
      <w:marTop w:val="0"/>
      <w:marBottom w:val="0"/>
      <w:divBdr>
        <w:top w:val="none" w:sz="0" w:space="0" w:color="auto"/>
        <w:left w:val="none" w:sz="0" w:space="0" w:color="auto"/>
        <w:bottom w:val="none" w:sz="0" w:space="0" w:color="auto"/>
        <w:right w:val="none" w:sz="0" w:space="0" w:color="auto"/>
      </w:divBdr>
    </w:div>
    <w:div w:id="526404425">
      <w:bodyDiv w:val="1"/>
      <w:marLeft w:val="0"/>
      <w:marRight w:val="0"/>
      <w:marTop w:val="0"/>
      <w:marBottom w:val="0"/>
      <w:divBdr>
        <w:top w:val="none" w:sz="0" w:space="0" w:color="auto"/>
        <w:left w:val="none" w:sz="0" w:space="0" w:color="auto"/>
        <w:bottom w:val="none" w:sz="0" w:space="0" w:color="auto"/>
        <w:right w:val="none" w:sz="0" w:space="0" w:color="auto"/>
      </w:divBdr>
    </w:div>
    <w:div w:id="564030326">
      <w:bodyDiv w:val="1"/>
      <w:marLeft w:val="0"/>
      <w:marRight w:val="0"/>
      <w:marTop w:val="0"/>
      <w:marBottom w:val="0"/>
      <w:divBdr>
        <w:top w:val="none" w:sz="0" w:space="0" w:color="auto"/>
        <w:left w:val="none" w:sz="0" w:space="0" w:color="auto"/>
        <w:bottom w:val="none" w:sz="0" w:space="0" w:color="auto"/>
        <w:right w:val="none" w:sz="0" w:space="0" w:color="auto"/>
      </w:divBdr>
    </w:div>
    <w:div w:id="576134964">
      <w:bodyDiv w:val="1"/>
      <w:marLeft w:val="0"/>
      <w:marRight w:val="0"/>
      <w:marTop w:val="0"/>
      <w:marBottom w:val="0"/>
      <w:divBdr>
        <w:top w:val="none" w:sz="0" w:space="0" w:color="auto"/>
        <w:left w:val="none" w:sz="0" w:space="0" w:color="auto"/>
        <w:bottom w:val="none" w:sz="0" w:space="0" w:color="auto"/>
        <w:right w:val="none" w:sz="0" w:space="0" w:color="auto"/>
      </w:divBdr>
    </w:div>
    <w:div w:id="586963739">
      <w:bodyDiv w:val="1"/>
      <w:marLeft w:val="0"/>
      <w:marRight w:val="0"/>
      <w:marTop w:val="0"/>
      <w:marBottom w:val="0"/>
      <w:divBdr>
        <w:top w:val="none" w:sz="0" w:space="0" w:color="auto"/>
        <w:left w:val="none" w:sz="0" w:space="0" w:color="auto"/>
        <w:bottom w:val="none" w:sz="0" w:space="0" w:color="auto"/>
        <w:right w:val="none" w:sz="0" w:space="0" w:color="auto"/>
      </w:divBdr>
      <w:divsChild>
        <w:div w:id="30570983">
          <w:marLeft w:val="0"/>
          <w:marRight w:val="0"/>
          <w:marTop w:val="0"/>
          <w:marBottom w:val="0"/>
          <w:divBdr>
            <w:top w:val="none" w:sz="0" w:space="0" w:color="auto"/>
            <w:left w:val="none" w:sz="0" w:space="0" w:color="auto"/>
            <w:bottom w:val="none" w:sz="0" w:space="0" w:color="auto"/>
            <w:right w:val="none" w:sz="0" w:space="0" w:color="auto"/>
          </w:divBdr>
        </w:div>
        <w:div w:id="49573628">
          <w:marLeft w:val="0"/>
          <w:marRight w:val="0"/>
          <w:marTop w:val="0"/>
          <w:marBottom w:val="0"/>
          <w:divBdr>
            <w:top w:val="none" w:sz="0" w:space="0" w:color="auto"/>
            <w:left w:val="none" w:sz="0" w:space="0" w:color="auto"/>
            <w:bottom w:val="none" w:sz="0" w:space="0" w:color="auto"/>
            <w:right w:val="none" w:sz="0" w:space="0" w:color="auto"/>
          </w:divBdr>
        </w:div>
        <w:div w:id="198125293">
          <w:marLeft w:val="0"/>
          <w:marRight w:val="0"/>
          <w:marTop w:val="0"/>
          <w:marBottom w:val="0"/>
          <w:divBdr>
            <w:top w:val="none" w:sz="0" w:space="0" w:color="auto"/>
            <w:left w:val="none" w:sz="0" w:space="0" w:color="auto"/>
            <w:bottom w:val="none" w:sz="0" w:space="0" w:color="auto"/>
            <w:right w:val="none" w:sz="0" w:space="0" w:color="auto"/>
          </w:divBdr>
        </w:div>
        <w:div w:id="256600982">
          <w:marLeft w:val="0"/>
          <w:marRight w:val="0"/>
          <w:marTop w:val="0"/>
          <w:marBottom w:val="0"/>
          <w:divBdr>
            <w:top w:val="none" w:sz="0" w:space="0" w:color="auto"/>
            <w:left w:val="none" w:sz="0" w:space="0" w:color="auto"/>
            <w:bottom w:val="none" w:sz="0" w:space="0" w:color="auto"/>
            <w:right w:val="none" w:sz="0" w:space="0" w:color="auto"/>
          </w:divBdr>
        </w:div>
        <w:div w:id="586429070">
          <w:marLeft w:val="0"/>
          <w:marRight w:val="0"/>
          <w:marTop w:val="0"/>
          <w:marBottom w:val="0"/>
          <w:divBdr>
            <w:top w:val="none" w:sz="0" w:space="0" w:color="auto"/>
            <w:left w:val="none" w:sz="0" w:space="0" w:color="auto"/>
            <w:bottom w:val="none" w:sz="0" w:space="0" w:color="auto"/>
            <w:right w:val="none" w:sz="0" w:space="0" w:color="auto"/>
          </w:divBdr>
        </w:div>
        <w:div w:id="1074856342">
          <w:marLeft w:val="0"/>
          <w:marRight w:val="0"/>
          <w:marTop w:val="0"/>
          <w:marBottom w:val="0"/>
          <w:divBdr>
            <w:top w:val="none" w:sz="0" w:space="0" w:color="auto"/>
            <w:left w:val="none" w:sz="0" w:space="0" w:color="auto"/>
            <w:bottom w:val="none" w:sz="0" w:space="0" w:color="auto"/>
            <w:right w:val="none" w:sz="0" w:space="0" w:color="auto"/>
          </w:divBdr>
        </w:div>
        <w:div w:id="1105348700">
          <w:marLeft w:val="0"/>
          <w:marRight w:val="0"/>
          <w:marTop w:val="0"/>
          <w:marBottom w:val="0"/>
          <w:divBdr>
            <w:top w:val="none" w:sz="0" w:space="0" w:color="auto"/>
            <w:left w:val="none" w:sz="0" w:space="0" w:color="auto"/>
            <w:bottom w:val="none" w:sz="0" w:space="0" w:color="auto"/>
            <w:right w:val="none" w:sz="0" w:space="0" w:color="auto"/>
          </w:divBdr>
        </w:div>
        <w:div w:id="1426462944">
          <w:marLeft w:val="0"/>
          <w:marRight w:val="0"/>
          <w:marTop w:val="0"/>
          <w:marBottom w:val="0"/>
          <w:divBdr>
            <w:top w:val="none" w:sz="0" w:space="0" w:color="auto"/>
            <w:left w:val="none" w:sz="0" w:space="0" w:color="auto"/>
            <w:bottom w:val="none" w:sz="0" w:space="0" w:color="auto"/>
            <w:right w:val="none" w:sz="0" w:space="0" w:color="auto"/>
          </w:divBdr>
        </w:div>
        <w:div w:id="1444114307">
          <w:marLeft w:val="0"/>
          <w:marRight w:val="0"/>
          <w:marTop w:val="0"/>
          <w:marBottom w:val="0"/>
          <w:divBdr>
            <w:top w:val="none" w:sz="0" w:space="0" w:color="auto"/>
            <w:left w:val="none" w:sz="0" w:space="0" w:color="auto"/>
            <w:bottom w:val="none" w:sz="0" w:space="0" w:color="auto"/>
            <w:right w:val="none" w:sz="0" w:space="0" w:color="auto"/>
          </w:divBdr>
        </w:div>
        <w:div w:id="1811359594">
          <w:marLeft w:val="0"/>
          <w:marRight w:val="0"/>
          <w:marTop w:val="0"/>
          <w:marBottom w:val="0"/>
          <w:divBdr>
            <w:top w:val="none" w:sz="0" w:space="0" w:color="auto"/>
            <w:left w:val="none" w:sz="0" w:space="0" w:color="auto"/>
            <w:bottom w:val="none" w:sz="0" w:space="0" w:color="auto"/>
            <w:right w:val="none" w:sz="0" w:space="0" w:color="auto"/>
          </w:divBdr>
        </w:div>
        <w:div w:id="1941908078">
          <w:marLeft w:val="0"/>
          <w:marRight w:val="0"/>
          <w:marTop w:val="0"/>
          <w:marBottom w:val="0"/>
          <w:divBdr>
            <w:top w:val="none" w:sz="0" w:space="0" w:color="auto"/>
            <w:left w:val="none" w:sz="0" w:space="0" w:color="auto"/>
            <w:bottom w:val="none" w:sz="0" w:space="0" w:color="auto"/>
            <w:right w:val="none" w:sz="0" w:space="0" w:color="auto"/>
          </w:divBdr>
        </w:div>
        <w:div w:id="2050371838">
          <w:marLeft w:val="0"/>
          <w:marRight w:val="0"/>
          <w:marTop w:val="0"/>
          <w:marBottom w:val="0"/>
          <w:divBdr>
            <w:top w:val="none" w:sz="0" w:space="0" w:color="auto"/>
            <w:left w:val="none" w:sz="0" w:space="0" w:color="auto"/>
            <w:bottom w:val="none" w:sz="0" w:space="0" w:color="auto"/>
            <w:right w:val="none" w:sz="0" w:space="0" w:color="auto"/>
          </w:divBdr>
        </w:div>
      </w:divsChild>
    </w:div>
    <w:div w:id="779298425">
      <w:bodyDiv w:val="1"/>
      <w:marLeft w:val="0"/>
      <w:marRight w:val="0"/>
      <w:marTop w:val="0"/>
      <w:marBottom w:val="0"/>
      <w:divBdr>
        <w:top w:val="none" w:sz="0" w:space="0" w:color="auto"/>
        <w:left w:val="none" w:sz="0" w:space="0" w:color="auto"/>
        <w:bottom w:val="none" w:sz="0" w:space="0" w:color="auto"/>
        <w:right w:val="none" w:sz="0" w:space="0" w:color="auto"/>
      </w:divBdr>
    </w:div>
    <w:div w:id="825587219">
      <w:bodyDiv w:val="1"/>
      <w:marLeft w:val="0"/>
      <w:marRight w:val="0"/>
      <w:marTop w:val="0"/>
      <w:marBottom w:val="0"/>
      <w:divBdr>
        <w:top w:val="none" w:sz="0" w:space="0" w:color="auto"/>
        <w:left w:val="none" w:sz="0" w:space="0" w:color="auto"/>
        <w:bottom w:val="none" w:sz="0" w:space="0" w:color="auto"/>
        <w:right w:val="none" w:sz="0" w:space="0" w:color="auto"/>
      </w:divBdr>
    </w:div>
    <w:div w:id="857156245">
      <w:bodyDiv w:val="1"/>
      <w:marLeft w:val="0"/>
      <w:marRight w:val="0"/>
      <w:marTop w:val="0"/>
      <w:marBottom w:val="0"/>
      <w:divBdr>
        <w:top w:val="none" w:sz="0" w:space="0" w:color="auto"/>
        <w:left w:val="none" w:sz="0" w:space="0" w:color="auto"/>
        <w:bottom w:val="none" w:sz="0" w:space="0" w:color="auto"/>
        <w:right w:val="none" w:sz="0" w:space="0" w:color="auto"/>
      </w:divBdr>
    </w:div>
    <w:div w:id="961500177">
      <w:bodyDiv w:val="1"/>
      <w:marLeft w:val="0"/>
      <w:marRight w:val="0"/>
      <w:marTop w:val="0"/>
      <w:marBottom w:val="0"/>
      <w:divBdr>
        <w:top w:val="none" w:sz="0" w:space="0" w:color="auto"/>
        <w:left w:val="none" w:sz="0" w:space="0" w:color="auto"/>
        <w:bottom w:val="none" w:sz="0" w:space="0" w:color="auto"/>
        <w:right w:val="none" w:sz="0" w:space="0" w:color="auto"/>
      </w:divBdr>
    </w:div>
    <w:div w:id="997266180">
      <w:bodyDiv w:val="1"/>
      <w:marLeft w:val="0"/>
      <w:marRight w:val="0"/>
      <w:marTop w:val="0"/>
      <w:marBottom w:val="0"/>
      <w:divBdr>
        <w:top w:val="none" w:sz="0" w:space="0" w:color="auto"/>
        <w:left w:val="none" w:sz="0" w:space="0" w:color="auto"/>
        <w:bottom w:val="none" w:sz="0" w:space="0" w:color="auto"/>
        <w:right w:val="none" w:sz="0" w:space="0" w:color="auto"/>
      </w:divBdr>
    </w:div>
    <w:div w:id="1003820688">
      <w:bodyDiv w:val="1"/>
      <w:marLeft w:val="0"/>
      <w:marRight w:val="0"/>
      <w:marTop w:val="0"/>
      <w:marBottom w:val="0"/>
      <w:divBdr>
        <w:top w:val="none" w:sz="0" w:space="0" w:color="auto"/>
        <w:left w:val="none" w:sz="0" w:space="0" w:color="auto"/>
        <w:bottom w:val="none" w:sz="0" w:space="0" w:color="auto"/>
        <w:right w:val="none" w:sz="0" w:space="0" w:color="auto"/>
      </w:divBdr>
    </w:div>
    <w:div w:id="1019699982">
      <w:bodyDiv w:val="1"/>
      <w:marLeft w:val="0"/>
      <w:marRight w:val="0"/>
      <w:marTop w:val="0"/>
      <w:marBottom w:val="0"/>
      <w:divBdr>
        <w:top w:val="none" w:sz="0" w:space="0" w:color="auto"/>
        <w:left w:val="none" w:sz="0" w:space="0" w:color="auto"/>
        <w:bottom w:val="none" w:sz="0" w:space="0" w:color="auto"/>
        <w:right w:val="none" w:sz="0" w:space="0" w:color="auto"/>
      </w:divBdr>
    </w:div>
    <w:div w:id="1108236439">
      <w:bodyDiv w:val="1"/>
      <w:marLeft w:val="0"/>
      <w:marRight w:val="0"/>
      <w:marTop w:val="0"/>
      <w:marBottom w:val="0"/>
      <w:divBdr>
        <w:top w:val="none" w:sz="0" w:space="0" w:color="auto"/>
        <w:left w:val="none" w:sz="0" w:space="0" w:color="auto"/>
        <w:bottom w:val="none" w:sz="0" w:space="0" w:color="auto"/>
        <w:right w:val="none" w:sz="0" w:space="0" w:color="auto"/>
      </w:divBdr>
    </w:div>
    <w:div w:id="1123112342">
      <w:bodyDiv w:val="1"/>
      <w:marLeft w:val="0"/>
      <w:marRight w:val="0"/>
      <w:marTop w:val="0"/>
      <w:marBottom w:val="0"/>
      <w:divBdr>
        <w:top w:val="none" w:sz="0" w:space="0" w:color="auto"/>
        <w:left w:val="none" w:sz="0" w:space="0" w:color="auto"/>
        <w:bottom w:val="none" w:sz="0" w:space="0" w:color="auto"/>
        <w:right w:val="none" w:sz="0" w:space="0" w:color="auto"/>
      </w:divBdr>
    </w:div>
    <w:div w:id="1243560493">
      <w:bodyDiv w:val="1"/>
      <w:marLeft w:val="0"/>
      <w:marRight w:val="0"/>
      <w:marTop w:val="0"/>
      <w:marBottom w:val="0"/>
      <w:divBdr>
        <w:top w:val="none" w:sz="0" w:space="0" w:color="auto"/>
        <w:left w:val="none" w:sz="0" w:space="0" w:color="auto"/>
        <w:bottom w:val="none" w:sz="0" w:space="0" w:color="auto"/>
        <w:right w:val="none" w:sz="0" w:space="0" w:color="auto"/>
      </w:divBdr>
    </w:div>
    <w:div w:id="1246836650">
      <w:bodyDiv w:val="1"/>
      <w:marLeft w:val="0"/>
      <w:marRight w:val="0"/>
      <w:marTop w:val="0"/>
      <w:marBottom w:val="0"/>
      <w:divBdr>
        <w:top w:val="none" w:sz="0" w:space="0" w:color="auto"/>
        <w:left w:val="none" w:sz="0" w:space="0" w:color="auto"/>
        <w:bottom w:val="none" w:sz="0" w:space="0" w:color="auto"/>
        <w:right w:val="none" w:sz="0" w:space="0" w:color="auto"/>
      </w:divBdr>
    </w:div>
    <w:div w:id="1351447205">
      <w:bodyDiv w:val="1"/>
      <w:marLeft w:val="0"/>
      <w:marRight w:val="0"/>
      <w:marTop w:val="0"/>
      <w:marBottom w:val="0"/>
      <w:divBdr>
        <w:top w:val="none" w:sz="0" w:space="0" w:color="auto"/>
        <w:left w:val="none" w:sz="0" w:space="0" w:color="auto"/>
        <w:bottom w:val="none" w:sz="0" w:space="0" w:color="auto"/>
        <w:right w:val="none" w:sz="0" w:space="0" w:color="auto"/>
      </w:divBdr>
    </w:div>
    <w:div w:id="1364745352">
      <w:bodyDiv w:val="1"/>
      <w:marLeft w:val="0"/>
      <w:marRight w:val="0"/>
      <w:marTop w:val="0"/>
      <w:marBottom w:val="0"/>
      <w:divBdr>
        <w:top w:val="none" w:sz="0" w:space="0" w:color="auto"/>
        <w:left w:val="none" w:sz="0" w:space="0" w:color="auto"/>
        <w:bottom w:val="none" w:sz="0" w:space="0" w:color="auto"/>
        <w:right w:val="none" w:sz="0" w:space="0" w:color="auto"/>
      </w:divBdr>
    </w:div>
    <w:div w:id="1405444452">
      <w:bodyDiv w:val="1"/>
      <w:marLeft w:val="0"/>
      <w:marRight w:val="0"/>
      <w:marTop w:val="0"/>
      <w:marBottom w:val="0"/>
      <w:divBdr>
        <w:top w:val="none" w:sz="0" w:space="0" w:color="auto"/>
        <w:left w:val="none" w:sz="0" w:space="0" w:color="auto"/>
        <w:bottom w:val="none" w:sz="0" w:space="0" w:color="auto"/>
        <w:right w:val="none" w:sz="0" w:space="0" w:color="auto"/>
      </w:divBdr>
      <w:divsChild>
        <w:div w:id="360787380">
          <w:marLeft w:val="0"/>
          <w:marRight w:val="0"/>
          <w:marTop w:val="0"/>
          <w:marBottom w:val="0"/>
          <w:divBdr>
            <w:top w:val="none" w:sz="0" w:space="0" w:color="auto"/>
            <w:left w:val="none" w:sz="0" w:space="0" w:color="auto"/>
            <w:bottom w:val="none" w:sz="0" w:space="0" w:color="auto"/>
            <w:right w:val="none" w:sz="0" w:space="0" w:color="auto"/>
          </w:divBdr>
        </w:div>
        <w:div w:id="541752324">
          <w:marLeft w:val="0"/>
          <w:marRight w:val="0"/>
          <w:marTop w:val="0"/>
          <w:marBottom w:val="0"/>
          <w:divBdr>
            <w:top w:val="none" w:sz="0" w:space="0" w:color="auto"/>
            <w:left w:val="none" w:sz="0" w:space="0" w:color="auto"/>
            <w:bottom w:val="none" w:sz="0" w:space="0" w:color="auto"/>
            <w:right w:val="none" w:sz="0" w:space="0" w:color="auto"/>
          </w:divBdr>
        </w:div>
        <w:div w:id="802386169">
          <w:marLeft w:val="0"/>
          <w:marRight w:val="0"/>
          <w:marTop w:val="0"/>
          <w:marBottom w:val="0"/>
          <w:divBdr>
            <w:top w:val="none" w:sz="0" w:space="0" w:color="auto"/>
            <w:left w:val="none" w:sz="0" w:space="0" w:color="auto"/>
            <w:bottom w:val="none" w:sz="0" w:space="0" w:color="auto"/>
            <w:right w:val="none" w:sz="0" w:space="0" w:color="auto"/>
          </w:divBdr>
        </w:div>
        <w:div w:id="920063633">
          <w:marLeft w:val="0"/>
          <w:marRight w:val="0"/>
          <w:marTop w:val="0"/>
          <w:marBottom w:val="0"/>
          <w:divBdr>
            <w:top w:val="none" w:sz="0" w:space="0" w:color="auto"/>
            <w:left w:val="none" w:sz="0" w:space="0" w:color="auto"/>
            <w:bottom w:val="none" w:sz="0" w:space="0" w:color="auto"/>
            <w:right w:val="none" w:sz="0" w:space="0" w:color="auto"/>
          </w:divBdr>
        </w:div>
        <w:div w:id="1100224352">
          <w:marLeft w:val="0"/>
          <w:marRight w:val="0"/>
          <w:marTop w:val="0"/>
          <w:marBottom w:val="0"/>
          <w:divBdr>
            <w:top w:val="none" w:sz="0" w:space="0" w:color="auto"/>
            <w:left w:val="none" w:sz="0" w:space="0" w:color="auto"/>
            <w:bottom w:val="none" w:sz="0" w:space="0" w:color="auto"/>
            <w:right w:val="none" w:sz="0" w:space="0" w:color="auto"/>
          </w:divBdr>
        </w:div>
        <w:div w:id="1274822255">
          <w:marLeft w:val="0"/>
          <w:marRight w:val="0"/>
          <w:marTop w:val="0"/>
          <w:marBottom w:val="0"/>
          <w:divBdr>
            <w:top w:val="none" w:sz="0" w:space="0" w:color="auto"/>
            <w:left w:val="none" w:sz="0" w:space="0" w:color="auto"/>
            <w:bottom w:val="none" w:sz="0" w:space="0" w:color="auto"/>
            <w:right w:val="none" w:sz="0" w:space="0" w:color="auto"/>
          </w:divBdr>
        </w:div>
        <w:div w:id="1321228313">
          <w:marLeft w:val="0"/>
          <w:marRight w:val="0"/>
          <w:marTop w:val="0"/>
          <w:marBottom w:val="0"/>
          <w:divBdr>
            <w:top w:val="none" w:sz="0" w:space="0" w:color="auto"/>
            <w:left w:val="none" w:sz="0" w:space="0" w:color="auto"/>
            <w:bottom w:val="none" w:sz="0" w:space="0" w:color="auto"/>
            <w:right w:val="none" w:sz="0" w:space="0" w:color="auto"/>
          </w:divBdr>
        </w:div>
        <w:div w:id="1473792526">
          <w:marLeft w:val="0"/>
          <w:marRight w:val="0"/>
          <w:marTop w:val="0"/>
          <w:marBottom w:val="0"/>
          <w:divBdr>
            <w:top w:val="none" w:sz="0" w:space="0" w:color="auto"/>
            <w:left w:val="none" w:sz="0" w:space="0" w:color="auto"/>
            <w:bottom w:val="none" w:sz="0" w:space="0" w:color="auto"/>
            <w:right w:val="none" w:sz="0" w:space="0" w:color="auto"/>
          </w:divBdr>
        </w:div>
        <w:div w:id="1555700228">
          <w:marLeft w:val="0"/>
          <w:marRight w:val="0"/>
          <w:marTop w:val="0"/>
          <w:marBottom w:val="0"/>
          <w:divBdr>
            <w:top w:val="none" w:sz="0" w:space="0" w:color="auto"/>
            <w:left w:val="none" w:sz="0" w:space="0" w:color="auto"/>
            <w:bottom w:val="none" w:sz="0" w:space="0" w:color="auto"/>
            <w:right w:val="none" w:sz="0" w:space="0" w:color="auto"/>
          </w:divBdr>
        </w:div>
        <w:div w:id="1672373775">
          <w:marLeft w:val="0"/>
          <w:marRight w:val="0"/>
          <w:marTop w:val="0"/>
          <w:marBottom w:val="0"/>
          <w:divBdr>
            <w:top w:val="none" w:sz="0" w:space="0" w:color="auto"/>
            <w:left w:val="none" w:sz="0" w:space="0" w:color="auto"/>
            <w:bottom w:val="none" w:sz="0" w:space="0" w:color="auto"/>
            <w:right w:val="none" w:sz="0" w:space="0" w:color="auto"/>
          </w:divBdr>
        </w:div>
        <w:div w:id="1790247144">
          <w:marLeft w:val="0"/>
          <w:marRight w:val="0"/>
          <w:marTop w:val="0"/>
          <w:marBottom w:val="0"/>
          <w:divBdr>
            <w:top w:val="none" w:sz="0" w:space="0" w:color="auto"/>
            <w:left w:val="none" w:sz="0" w:space="0" w:color="auto"/>
            <w:bottom w:val="none" w:sz="0" w:space="0" w:color="auto"/>
            <w:right w:val="none" w:sz="0" w:space="0" w:color="auto"/>
          </w:divBdr>
        </w:div>
        <w:div w:id="2011635336">
          <w:marLeft w:val="0"/>
          <w:marRight w:val="0"/>
          <w:marTop w:val="0"/>
          <w:marBottom w:val="0"/>
          <w:divBdr>
            <w:top w:val="none" w:sz="0" w:space="0" w:color="auto"/>
            <w:left w:val="none" w:sz="0" w:space="0" w:color="auto"/>
            <w:bottom w:val="none" w:sz="0" w:space="0" w:color="auto"/>
            <w:right w:val="none" w:sz="0" w:space="0" w:color="auto"/>
          </w:divBdr>
        </w:div>
      </w:divsChild>
    </w:div>
    <w:div w:id="1659647668">
      <w:bodyDiv w:val="1"/>
      <w:marLeft w:val="0"/>
      <w:marRight w:val="0"/>
      <w:marTop w:val="0"/>
      <w:marBottom w:val="0"/>
      <w:divBdr>
        <w:top w:val="none" w:sz="0" w:space="0" w:color="auto"/>
        <w:left w:val="none" w:sz="0" w:space="0" w:color="auto"/>
        <w:bottom w:val="none" w:sz="0" w:space="0" w:color="auto"/>
        <w:right w:val="none" w:sz="0" w:space="0" w:color="auto"/>
      </w:divBdr>
    </w:div>
    <w:div w:id="1695883540">
      <w:bodyDiv w:val="1"/>
      <w:marLeft w:val="0"/>
      <w:marRight w:val="0"/>
      <w:marTop w:val="0"/>
      <w:marBottom w:val="0"/>
      <w:divBdr>
        <w:top w:val="none" w:sz="0" w:space="0" w:color="auto"/>
        <w:left w:val="none" w:sz="0" w:space="0" w:color="auto"/>
        <w:bottom w:val="none" w:sz="0" w:space="0" w:color="auto"/>
        <w:right w:val="none" w:sz="0" w:space="0" w:color="auto"/>
      </w:divBdr>
    </w:div>
    <w:div w:id="1800220532">
      <w:bodyDiv w:val="1"/>
      <w:marLeft w:val="0"/>
      <w:marRight w:val="0"/>
      <w:marTop w:val="0"/>
      <w:marBottom w:val="0"/>
      <w:divBdr>
        <w:top w:val="none" w:sz="0" w:space="0" w:color="auto"/>
        <w:left w:val="none" w:sz="0" w:space="0" w:color="auto"/>
        <w:bottom w:val="none" w:sz="0" w:space="0" w:color="auto"/>
        <w:right w:val="none" w:sz="0" w:space="0" w:color="auto"/>
      </w:divBdr>
    </w:div>
    <w:div w:id="1870146896">
      <w:bodyDiv w:val="1"/>
      <w:marLeft w:val="0"/>
      <w:marRight w:val="0"/>
      <w:marTop w:val="0"/>
      <w:marBottom w:val="0"/>
      <w:divBdr>
        <w:top w:val="none" w:sz="0" w:space="0" w:color="auto"/>
        <w:left w:val="none" w:sz="0" w:space="0" w:color="auto"/>
        <w:bottom w:val="none" w:sz="0" w:space="0" w:color="auto"/>
        <w:right w:val="none" w:sz="0" w:space="0" w:color="auto"/>
      </w:divBdr>
      <w:divsChild>
        <w:div w:id="113838454">
          <w:marLeft w:val="0"/>
          <w:marRight w:val="0"/>
          <w:marTop w:val="0"/>
          <w:marBottom w:val="0"/>
          <w:divBdr>
            <w:top w:val="none" w:sz="0" w:space="0" w:color="auto"/>
            <w:left w:val="none" w:sz="0" w:space="0" w:color="auto"/>
            <w:bottom w:val="none" w:sz="0" w:space="0" w:color="auto"/>
            <w:right w:val="none" w:sz="0" w:space="0" w:color="auto"/>
          </w:divBdr>
          <w:divsChild>
            <w:div w:id="1576554001">
              <w:marLeft w:val="0"/>
              <w:marRight w:val="0"/>
              <w:marTop w:val="0"/>
              <w:marBottom w:val="0"/>
              <w:divBdr>
                <w:top w:val="none" w:sz="0" w:space="0" w:color="auto"/>
                <w:left w:val="none" w:sz="0" w:space="0" w:color="auto"/>
                <w:bottom w:val="none" w:sz="0" w:space="0" w:color="auto"/>
                <w:right w:val="none" w:sz="0" w:space="0" w:color="auto"/>
              </w:divBdr>
              <w:divsChild>
                <w:div w:id="1865095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190720">
          <w:marLeft w:val="0"/>
          <w:marRight w:val="0"/>
          <w:marTop w:val="0"/>
          <w:marBottom w:val="0"/>
          <w:divBdr>
            <w:top w:val="none" w:sz="0" w:space="0" w:color="auto"/>
            <w:left w:val="none" w:sz="0" w:space="0" w:color="auto"/>
            <w:bottom w:val="none" w:sz="0" w:space="0" w:color="auto"/>
            <w:right w:val="none" w:sz="0" w:space="0" w:color="auto"/>
          </w:divBdr>
          <w:divsChild>
            <w:div w:id="854465678">
              <w:marLeft w:val="0"/>
              <w:marRight w:val="0"/>
              <w:marTop w:val="0"/>
              <w:marBottom w:val="0"/>
              <w:divBdr>
                <w:top w:val="none" w:sz="0" w:space="0" w:color="auto"/>
                <w:left w:val="none" w:sz="0" w:space="0" w:color="auto"/>
                <w:bottom w:val="none" w:sz="0" w:space="0" w:color="auto"/>
                <w:right w:val="none" w:sz="0" w:space="0" w:color="auto"/>
              </w:divBdr>
              <w:divsChild>
                <w:div w:id="125897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216709">
          <w:marLeft w:val="0"/>
          <w:marRight w:val="0"/>
          <w:marTop w:val="0"/>
          <w:marBottom w:val="0"/>
          <w:divBdr>
            <w:top w:val="none" w:sz="0" w:space="0" w:color="auto"/>
            <w:left w:val="none" w:sz="0" w:space="0" w:color="auto"/>
            <w:bottom w:val="none" w:sz="0" w:space="0" w:color="auto"/>
            <w:right w:val="none" w:sz="0" w:space="0" w:color="auto"/>
          </w:divBdr>
          <w:divsChild>
            <w:div w:id="215316469">
              <w:marLeft w:val="0"/>
              <w:marRight w:val="0"/>
              <w:marTop w:val="0"/>
              <w:marBottom w:val="0"/>
              <w:divBdr>
                <w:top w:val="none" w:sz="0" w:space="0" w:color="auto"/>
                <w:left w:val="none" w:sz="0" w:space="0" w:color="auto"/>
                <w:bottom w:val="none" w:sz="0" w:space="0" w:color="auto"/>
                <w:right w:val="none" w:sz="0" w:space="0" w:color="auto"/>
              </w:divBdr>
              <w:divsChild>
                <w:div w:id="1880237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5287249">
          <w:marLeft w:val="0"/>
          <w:marRight w:val="0"/>
          <w:marTop w:val="0"/>
          <w:marBottom w:val="0"/>
          <w:divBdr>
            <w:top w:val="none" w:sz="0" w:space="0" w:color="auto"/>
            <w:left w:val="none" w:sz="0" w:space="0" w:color="auto"/>
            <w:bottom w:val="none" w:sz="0" w:space="0" w:color="auto"/>
            <w:right w:val="none" w:sz="0" w:space="0" w:color="auto"/>
          </w:divBdr>
          <w:divsChild>
            <w:div w:id="305400660">
              <w:marLeft w:val="0"/>
              <w:marRight w:val="0"/>
              <w:marTop w:val="0"/>
              <w:marBottom w:val="0"/>
              <w:divBdr>
                <w:top w:val="none" w:sz="0" w:space="0" w:color="auto"/>
                <w:left w:val="none" w:sz="0" w:space="0" w:color="auto"/>
                <w:bottom w:val="none" w:sz="0" w:space="0" w:color="auto"/>
                <w:right w:val="none" w:sz="0" w:space="0" w:color="auto"/>
              </w:divBdr>
              <w:divsChild>
                <w:div w:id="995260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6560080">
          <w:marLeft w:val="0"/>
          <w:marRight w:val="0"/>
          <w:marTop w:val="0"/>
          <w:marBottom w:val="0"/>
          <w:divBdr>
            <w:top w:val="none" w:sz="0" w:space="0" w:color="auto"/>
            <w:left w:val="none" w:sz="0" w:space="0" w:color="auto"/>
            <w:bottom w:val="none" w:sz="0" w:space="0" w:color="auto"/>
            <w:right w:val="none" w:sz="0" w:space="0" w:color="auto"/>
          </w:divBdr>
          <w:divsChild>
            <w:div w:id="286593436">
              <w:marLeft w:val="0"/>
              <w:marRight w:val="0"/>
              <w:marTop w:val="0"/>
              <w:marBottom w:val="0"/>
              <w:divBdr>
                <w:top w:val="none" w:sz="0" w:space="0" w:color="auto"/>
                <w:left w:val="none" w:sz="0" w:space="0" w:color="auto"/>
                <w:bottom w:val="none" w:sz="0" w:space="0" w:color="auto"/>
                <w:right w:val="none" w:sz="0" w:space="0" w:color="auto"/>
              </w:divBdr>
              <w:divsChild>
                <w:div w:id="375937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351914">
          <w:marLeft w:val="0"/>
          <w:marRight w:val="0"/>
          <w:marTop w:val="0"/>
          <w:marBottom w:val="0"/>
          <w:divBdr>
            <w:top w:val="none" w:sz="0" w:space="0" w:color="auto"/>
            <w:left w:val="none" w:sz="0" w:space="0" w:color="auto"/>
            <w:bottom w:val="none" w:sz="0" w:space="0" w:color="auto"/>
            <w:right w:val="none" w:sz="0" w:space="0" w:color="auto"/>
          </w:divBdr>
          <w:divsChild>
            <w:div w:id="1625229754">
              <w:marLeft w:val="0"/>
              <w:marRight w:val="0"/>
              <w:marTop w:val="0"/>
              <w:marBottom w:val="0"/>
              <w:divBdr>
                <w:top w:val="none" w:sz="0" w:space="0" w:color="auto"/>
                <w:left w:val="none" w:sz="0" w:space="0" w:color="auto"/>
                <w:bottom w:val="none" w:sz="0" w:space="0" w:color="auto"/>
                <w:right w:val="none" w:sz="0" w:space="0" w:color="auto"/>
              </w:divBdr>
              <w:divsChild>
                <w:div w:id="1141531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491276">
          <w:marLeft w:val="0"/>
          <w:marRight w:val="0"/>
          <w:marTop w:val="0"/>
          <w:marBottom w:val="0"/>
          <w:divBdr>
            <w:top w:val="none" w:sz="0" w:space="0" w:color="auto"/>
            <w:left w:val="none" w:sz="0" w:space="0" w:color="auto"/>
            <w:bottom w:val="none" w:sz="0" w:space="0" w:color="auto"/>
            <w:right w:val="none" w:sz="0" w:space="0" w:color="auto"/>
          </w:divBdr>
          <w:divsChild>
            <w:div w:id="686518521">
              <w:marLeft w:val="0"/>
              <w:marRight w:val="0"/>
              <w:marTop w:val="0"/>
              <w:marBottom w:val="0"/>
              <w:divBdr>
                <w:top w:val="none" w:sz="0" w:space="0" w:color="auto"/>
                <w:left w:val="none" w:sz="0" w:space="0" w:color="auto"/>
                <w:bottom w:val="none" w:sz="0" w:space="0" w:color="auto"/>
                <w:right w:val="none" w:sz="0" w:space="0" w:color="auto"/>
              </w:divBdr>
              <w:divsChild>
                <w:div w:id="161481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6471595">
          <w:marLeft w:val="0"/>
          <w:marRight w:val="0"/>
          <w:marTop w:val="0"/>
          <w:marBottom w:val="0"/>
          <w:divBdr>
            <w:top w:val="none" w:sz="0" w:space="0" w:color="auto"/>
            <w:left w:val="none" w:sz="0" w:space="0" w:color="auto"/>
            <w:bottom w:val="none" w:sz="0" w:space="0" w:color="auto"/>
            <w:right w:val="none" w:sz="0" w:space="0" w:color="auto"/>
          </w:divBdr>
          <w:divsChild>
            <w:div w:id="2141148884">
              <w:marLeft w:val="0"/>
              <w:marRight w:val="0"/>
              <w:marTop w:val="0"/>
              <w:marBottom w:val="0"/>
              <w:divBdr>
                <w:top w:val="none" w:sz="0" w:space="0" w:color="auto"/>
                <w:left w:val="none" w:sz="0" w:space="0" w:color="auto"/>
                <w:bottom w:val="none" w:sz="0" w:space="0" w:color="auto"/>
                <w:right w:val="none" w:sz="0" w:space="0" w:color="auto"/>
              </w:divBdr>
              <w:divsChild>
                <w:div w:id="2140369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5677986">
          <w:marLeft w:val="0"/>
          <w:marRight w:val="0"/>
          <w:marTop w:val="0"/>
          <w:marBottom w:val="0"/>
          <w:divBdr>
            <w:top w:val="none" w:sz="0" w:space="0" w:color="auto"/>
            <w:left w:val="none" w:sz="0" w:space="0" w:color="auto"/>
            <w:bottom w:val="none" w:sz="0" w:space="0" w:color="auto"/>
            <w:right w:val="none" w:sz="0" w:space="0" w:color="auto"/>
          </w:divBdr>
          <w:divsChild>
            <w:div w:id="123961044">
              <w:marLeft w:val="0"/>
              <w:marRight w:val="0"/>
              <w:marTop w:val="0"/>
              <w:marBottom w:val="0"/>
              <w:divBdr>
                <w:top w:val="none" w:sz="0" w:space="0" w:color="auto"/>
                <w:left w:val="none" w:sz="0" w:space="0" w:color="auto"/>
                <w:bottom w:val="none" w:sz="0" w:space="0" w:color="auto"/>
                <w:right w:val="none" w:sz="0" w:space="0" w:color="auto"/>
              </w:divBdr>
              <w:divsChild>
                <w:div w:id="208098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466710">
          <w:marLeft w:val="0"/>
          <w:marRight w:val="0"/>
          <w:marTop w:val="0"/>
          <w:marBottom w:val="0"/>
          <w:divBdr>
            <w:top w:val="none" w:sz="0" w:space="0" w:color="auto"/>
            <w:left w:val="none" w:sz="0" w:space="0" w:color="auto"/>
            <w:bottom w:val="none" w:sz="0" w:space="0" w:color="auto"/>
            <w:right w:val="none" w:sz="0" w:space="0" w:color="auto"/>
          </w:divBdr>
          <w:divsChild>
            <w:div w:id="1598710255">
              <w:marLeft w:val="0"/>
              <w:marRight w:val="0"/>
              <w:marTop w:val="0"/>
              <w:marBottom w:val="0"/>
              <w:divBdr>
                <w:top w:val="none" w:sz="0" w:space="0" w:color="auto"/>
                <w:left w:val="none" w:sz="0" w:space="0" w:color="auto"/>
                <w:bottom w:val="none" w:sz="0" w:space="0" w:color="auto"/>
                <w:right w:val="none" w:sz="0" w:space="0" w:color="auto"/>
              </w:divBdr>
              <w:divsChild>
                <w:div w:id="778061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268641">
          <w:marLeft w:val="0"/>
          <w:marRight w:val="0"/>
          <w:marTop w:val="0"/>
          <w:marBottom w:val="0"/>
          <w:divBdr>
            <w:top w:val="none" w:sz="0" w:space="0" w:color="auto"/>
            <w:left w:val="none" w:sz="0" w:space="0" w:color="auto"/>
            <w:bottom w:val="none" w:sz="0" w:space="0" w:color="auto"/>
            <w:right w:val="none" w:sz="0" w:space="0" w:color="auto"/>
          </w:divBdr>
          <w:divsChild>
            <w:div w:id="546262707">
              <w:marLeft w:val="0"/>
              <w:marRight w:val="0"/>
              <w:marTop w:val="0"/>
              <w:marBottom w:val="0"/>
              <w:divBdr>
                <w:top w:val="none" w:sz="0" w:space="0" w:color="auto"/>
                <w:left w:val="none" w:sz="0" w:space="0" w:color="auto"/>
                <w:bottom w:val="none" w:sz="0" w:space="0" w:color="auto"/>
                <w:right w:val="none" w:sz="0" w:space="0" w:color="auto"/>
              </w:divBdr>
              <w:divsChild>
                <w:div w:id="386610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354921">
          <w:marLeft w:val="0"/>
          <w:marRight w:val="0"/>
          <w:marTop w:val="0"/>
          <w:marBottom w:val="0"/>
          <w:divBdr>
            <w:top w:val="none" w:sz="0" w:space="0" w:color="auto"/>
            <w:left w:val="none" w:sz="0" w:space="0" w:color="auto"/>
            <w:bottom w:val="none" w:sz="0" w:space="0" w:color="auto"/>
            <w:right w:val="none" w:sz="0" w:space="0" w:color="auto"/>
          </w:divBdr>
          <w:divsChild>
            <w:div w:id="1350529241">
              <w:marLeft w:val="0"/>
              <w:marRight w:val="0"/>
              <w:marTop w:val="0"/>
              <w:marBottom w:val="0"/>
              <w:divBdr>
                <w:top w:val="none" w:sz="0" w:space="0" w:color="auto"/>
                <w:left w:val="none" w:sz="0" w:space="0" w:color="auto"/>
                <w:bottom w:val="none" w:sz="0" w:space="0" w:color="auto"/>
                <w:right w:val="none" w:sz="0" w:space="0" w:color="auto"/>
              </w:divBdr>
              <w:divsChild>
                <w:div w:id="1275868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009231">
          <w:marLeft w:val="0"/>
          <w:marRight w:val="0"/>
          <w:marTop w:val="0"/>
          <w:marBottom w:val="0"/>
          <w:divBdr>
            <w:top w:val="none" w:sz="0" w:space="0" w:color="auto"/>
            <w:left w:val="none" w:sz="0" w:space="0" w:color="auto"/>
            <w:bottom w:val="none" w:sz="0" w:space="0" w:color="auto"/>
            <w:right w:val="none" w:sz="0" w:space="0" w:color="auto"/>
          </w:divBdr>
          <w:divsChild>
            <w:div w:id="614409591">
              <w:marLeft w:val="0"/>
              <w:marRight w:val="0"/>
              <w:marTop w:val="0"/>
              <w:marBottom w:val="0"/>
              <w:divBdr>
                <w:top w:val="none" w:sz="0" w:space="0" w:color="auto"/>
                <w:left w:val="none" w:sz="0" w:space="0" w:color="auto"/>
                <w:bottom w:val="none" w:sz="0" w:space="0" w:color="auto"/>
                <w:right w:val="none" w:sz="0" w:space="0" w:color="auto"/>
              </w:divBdr>
              <w:divsChild>
                <w:div w:id="1085414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2227025">
          <w:marLeft w:val="0"/>
          <w:marRight w:val="0"/>
          <w:marTop w:val="0"/>
          <w:marBottom w:val="0"/>
          <w:divBdr>
            <w:top w:val="none" w:sz="0" w:space="0" w:color="auto"/>
            <w:left w:val="none" w:sz="0" w:space="0" w:color="auto"/>
            <w:bottom w:val="none" w:sz="0" w:space="0" w:color="auto"/>
            <w:right w:val="none" w:sz="0" w:space="0" w:color="auto"/>
          </w:divBdr>
          <w:divsChild>
            <w:div w:id="1626892184">
              <w:marLeft w:val="0"/>
              <w:marRight w:val="0"/>
              <w:marTop w:val="0"/>
              <w:marBottom w:val="0"/>
              <w:divBdr>
                <w:top w:val="none" w:sz="0" w:space="0" w:color="auto"/>
                <w:left w:val="none" w:sz="0" w:space="0" w:color="auto"/>
                <w:bottom w:val="none" w:sz="0" w:space="0" w:color="auto"/>
                <w:right w:val="none" w:sz="0" w:space="0" w:color="auto"/>
              </w:divBdr>
              <w:divsChild>
                <w:div w:id="784078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502009">
          <w:marLeft w:val="0"/>
          <w:marRight w:val="0"/>
          <w:marTop w:val="0"/>
          <w:marBottom w:val="0"/>
          <w:divBdr>
            <w:top w:val="none" w:sz="0" w:space="0" w:color="auto"/>
            <w:left w:val="none" w:sz="0" w:space="0" w:color="auto"/>
            <w:bottom w:val="none" w:sz="0" w:space="0" w:color="auto"/>
            <w:right w:val="none" w:sz="0" w:space="0" w:color="auto"/>
          </w:divBdr>
          <w:divsChild>
            <w:div w:id="1798448583">
              <w:marLeft w:val="0"/>
              <w:marRight w:val="0"/>
              <w:marTop w:val="0"/>
              <w:marBottom w:val="0"/>
              <w:divBdr>
                <w:top w:val="none" w:sz="0" w:space="0" w:color="auto"/>
                <w:left w:val="none" w:sz="0" w:space="0" w:color="auto"/>
                <w:bottom w:val="none" w:sz="0" w:space="0" w:color="auto"/>
                <w:right w:val="none" w:sz="0" w:space="0" w:color="auto"/>
              </w:divBdr>
              <w:divsChild>
                <w:div w:id="172624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000234">
          <w:marLeft w:val="0"/>
          <w:marRight w:val="0"/>
          <w:marTop w:val="0"/>
          <w:marBottom w:val="0"/>
          <w:divBdr>
            <w:top w:val="none" w:sz="0" w:space="0" w:color="auto"/>
            <w:left w:val="none" w:sz="0" w:space="0" w:color="auto"/>
            <w:bottom w:val="none" w:sz="0" w:space="0" w:color="auto"/>
            <w:right w:val="none" w:sz="0" w:space="0" w:color="auto"/>
          </w:divBdr>
          <w:divsChild>
            <w:div w:id="613901325">
              <w:marLeft w:val="0"/>
              <w:marRight w:val="0"/>
              <w:marTop w:val="0"/>
              <w:marBottom w:val="0"/>
              <w:divBdr>
                <w:top w:val="none" w:sz="0" w:space="0" w:color="auto"/>
                <w:left w:val="none" w:sz="0" w:space="0" w:color="auto"/>
                <w:bottom w:val="none" w:sz="0" w:space="0" w:color="auto"/>
                <w:right w:val="none" w:sz="0" w:space="0" w:color="auto"/>
              </w:divBdr>
              <w:divsChild>
                <w:div w:id="955599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7434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DBC137-4E1A-42BA-8FB9-33A4853AE1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37</Pages>
  <Words>14500</Words>
  <Characters>82652</Characters>
  <Application>Microsoft Office Word</Application>
  <DocSecurity>0</DocSecurity>
  <Lines>688</Lines>
  <Paragraphs>193</Paragraphs>
  <ScaleCrop>false</ScaleCrop>
  <Company/>
  <LinksUpToDate>false</LinksUpToDate>
  <CharactersWithSpaces>96959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 Menger</dc:creator>
  <cp:keywords/>
  <dc:description/>
  <cp:lastModifiedBy>Menger, Frank</cp:lastModifiedBy>
  <cp:revision>2</cp:revision>
  <cp:lastPrinted>2023-12-18T14:27:00Z</cp:lastPrinted>
  <dcterms:created xsi:type="dcterms:W3CDTF">2024-08-02T10:04:00Z</dcterms:created>
  <dcterms:modified xsi:type="dcterms:W3CDTF">2024-08-02T10:04:00Z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zotero-version="6.0.30"&gt;&lt;session id="ehfA7N1M"/&gt;&lt;style id="http://www.zotero.org/styles/journal-of-hazardous-materials" hasBibliography="1" bibliographyStyleHasBeenSet="1"/&gt;&lt;prefs&gt;&lt;pref name="fieldType" value="Field"/&gt;&lt;pref name="au</vt:lpwstr>
  </property>
  <property fmtid="{D5CDD505-2E9C-101B-9397-08002B2CF9AE}" pid="3" name="ZOTERO_PREF_2">
    <vt:lpwstr>tomaticJournalAbbreviations" value="true"/&gt;&lt;/prefs&gt;&lt;/data&gt;</vt:lpwstr>
  </property>
</Properties>
</file>