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278D" w:rsidRPr="00B539A5" w:rsidRDefault="00C61C48" w:rsidP="0032278D">
      <w:pPr>
        <w:jc w:val="both"/>
        <w:rPr>
          <w:rFonts w:ascii="Arial" w:hAnsi="Arial"/>
          <w:lang w:val="de-DE"/>
        </w:rPr>
      </w:pPr>
      <w:bookmarkStart w:id="0" w:name="_GoBack"/>
      <w:bookmarkEnd w:id="0"/>
      <w:r w:rsidRPr="00B539A5">
        <w:rPr>
          <w:rFonts w:ascii="Arial" w:hAnsi="Arial"/>
          <w:noProof/>
          <w:lang w:val="de-DE" w:eastAsia="de-DE"/>
        </w:rPr>
        <w:drawing>
          <wp:inline distT="0" distB="0" distL="0" distR="0">
            <wp:extent cx="5088051" cy="2336800"/>
            <wp:effectExtent l="25400" t="0" r="0" b="0"/>
            <wp:docPr id="14" name="Bild 13" descr="NRA_Daily_Cycle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RA_Daily_Cycle1.tif"/>
                    <pic:cNvPicPr/>
                  </pic:nvPicPr>
                  <pic:blipFill>
                    <a:blip r:embed="rId8" cstate="print"/>
                    <a:srcRect t="42646" r="11677" b="6553"/>
                    <a:stretch>
                      <a:fillRect/>
                    </a:stretch>
                  </pic:blipFill>
                  <pic:spPr>
                    <a:xfrm>
                      <a:off x="0" y="0"/>
                      <a:ext cx="5088051" cy="23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78D" w:rsidRPr="00B539A5" w:rsidRDefault="00C61C48" w:rsidP="0032278D">
      <w:pPr>
        <w:jc w:val="both"/>
        <w:rPr>
          <w:rFonts w:ascii="Arial" w:hAnsi="Arial"/>
          <w:lang w:val="de-DE"/>
        </w:rPr>
      </w:pPr>
      <w:r w:rsidRPr="00B539A5">
        <w:rPr>
          <w:rFonts w:ascii="Arial" w:hAnsi="Arial"/>
          <w:lang w:val="de-DE"/>
        </w:rPr>
        <w:t xml:space="preserve">Figure 1. Daily cycle of mean (± SE, n=3) nitrate reductase activity in </w:t>
      </w:r>
      <w:r w:rsidRPr="00B539A5">
        <w:rPr>
          <w:rFonts w:ascii="Arial" w:hAnsi="Arial"/>
          <w:i/>
          <w:lang w:val="de-DE"/>
        </w:rPr>
        <w:t>C. officinalis</w:t>
      </w:r>
      <w:r w:rsidRPr="00B539A5">
        <w:rPr>
          <w:rFonts w:ascii="Arial" w:hAnsi="Arial"/>
          <w:lang w:val="de-DE"/>
        </w:rPr>
        <w:t xml:space="preserve"> in the light  in April 2011. The hourly light intensity is shown by the dotted lines. </w:t>
      </w:r>
    </w:p>
    <w:p w:rsidR="0032278D" w:rsidRPr="00B539A5" w:rsidRDefault="0032278D">
      <w:pPr>
        <w:rPr>
          <w:rFonts w:ascii="Arial" w:hAnsi="Arial"/>
        </w:rPr>
        <w:sectPr w:rsidR="0032278D" w:rsidRPr="00B539A5">
          <w:footerReference w:type="even" r:id="rId9"/>
          <w:footerReference w:type="default" r:id="rId10"/>
          <w:pgSz w:w="11894" w:h="16834"/>
          <w:pgMar w:top="1411" w:right="1411" w:bottom="1138" w:left="1411" w:header="706" w:footer="706" w:gutter="0"/>
          <w:cols w:space="708"/>
        </w:sectPr>
      </w:pPr>
    </w:p>
    <w:p w:rsidR="0032278D" w:rsidRPr="00B539A5" w:rsidRDefault="0032278D">
      <w:pPr>
        <w:rPr>
          <w:rFonts w:ascii="Arial" w:hAnsi="Arial"/>
        </w:rPr>
      </w:pPr>
    </w:p>
    <w:p w:rsidR="0032278D" w:rsidRPr="00B539A5" w:rsidRDefault="0032278D" w:rsidP="0032278D">
      <w:pPr>
        <w:rPr>
          <w:rFonts w:ascii="Arial" w:hAnsi="Arial"/>
        </w:rPr>
      </w:pPr>
    </w:p>
    <w:p w:rsidR="0032278D" w:rsidRPr="00B539A5" w:rsidRDefault="00C61C48" w:rsidP="0032278D">
      <w:pPr>
        <w:jc w:val="both"/>
        <w:rPr>
          <w:rFonts w:ascii="Arial" w:hAnsi="Arial"/>
          <w:lang w:val="de-DE"/>
        </w:rPr>
      </w:pPr>
      <w:r w:rsidRPr="00B539A5">
        <w:rPr>
          <w:rFonts w:ascii="Arial" w:hAnsi="Arial"/>
          <w:noProof/>
          <w:lang w:val="de-DE" w:eastAsia="de-DE"/>
        </w:rPr>
        <w:drawing>
          <wp:inline distT="0" distB="0" distL="0" distR="0">
            <wp:extent cx="8107045" cy="4940275"/>
            <wp:effectExtent l="25400" t="0" r="0" b="0"/>
            <wp:docPr id="22" name="Bild 21" descr="Temp_over_ti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_over_time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09884" cy="494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78D" w:rsidRPr="00B539A5" w:rsidRDefault="00C61C48" w:rsidP="0032278D">
      <w:pPr>
        <w:jc w:val="both"/>
        <w:rPr>
          <w:rFonts w:ascii="Arial" w:hAnsi="Arial"/>
          <w:lang w:val="de-DE"/>
        </w:rPr>
      </w:pPr>
      <w:r w:rsidRPr="00B539A5">
        <w:rPr>
          <w:rFonts w:ascii="Arial" w:hAnsi="Arial"/>
          <w:lang w:val="de-DE"/>
        </w:rPr>
        <w:t>Figure 2. Mean</w:t>
      </w:r>
      <w:r w:rsidR="00DA620A">
        <w:rPr>
          <w:rFonts w:ascii="Arial" w:hAnsi="Arial"/>
          <w:lang w:val="de-DE"/>
        </w:rPr>
        <w:t xml:space="preserve"> </w:t>
      </w:r>
      <w:r w:rsidRPr="00B539A5">
        <w:rPr>
          <w:rFonts w:ascii="Arial" w:hAnsi="Arial"/>
          <w:lang w:val="de-DE"/>
        </w:rPr>
        <w:t>(±</w:t>
      </w:r>
      <w:r w:rsidR="00A568DE">
        <w:rPr>
          <w:rFonts w:ascii="Arial" w:hAnsi="Arial"/>
          <w:lang w:val="de-DE"/>
        </w:rPr>
        <w:t xml:space="preserve"> </w:t>
      </w:r>
      <w:r w:rsidRPr="00B539A5">
        <w:rPr>
          <w:rFonts w:ascii="Arial" w:hAnsi="Arial"/>
          <w:lang w:val="de-DE"/>
        </w:rPr>
        <w:t>SE, n = 4) seawater temperature in the mesocosm tanks during the experimental period. Circles: 385, squares = 665, triangles = 1486 µatm CO</w:t>
      </w:r>
      <w:r w:rsidRPr="00B539A5">
        <w:rPr>
          <w:rFonts w:ascii="Arial" w:hAnsi="Arial"/>
          <w:vertAlign w:val="subscript"/>
          <w:lang w:val="de-DE"/>
        </w:rPr>
        <w:t>2</w:t>
      </w:r>
      <w:r w:rsidRPr="00B539A5">
        <w:rPr>
          <w:rFonts w:ascii="Arial" w:hAnsi="Arial"/>
          <w:lang w:val="de-DE"/>
        </w:rPr>
        <w:t>.</w:t>
      </w:r>
    </w:p>
    <w:p w:rsidR="0032278D" w:rsidRPr="00B539A5" w:rsidRDefault="0032278D" w:rsidP="0032278D">
      <w:pPr>
        <w:jc w:val="both"/>
        <w:rPr>
          <w:rFonts w:ascii="Arial" w:hAnsi="Arial"/>
          <w:i/>
          <w:lang w:val="de-DE"/>
        </w:rPr>
      </w:pPr>
      <w:r w:rsidRPr="00B539A5">
        <w:rPr>
          <w:rFonts w:ascii="Arial" w:hAnsi="Arial"/>
          <w:i/>
          <w:noProof/>
          <w:lang w:val="de-DE" w:eastAsia="de-DE"/>
        </w:rPr>
        <w:lastRenderedPageBreak/>
        <w:drawing>
          <wp:inline distT="0" distB="0" distL="0" distR="0">
            <wp:extent cx="5638800" cy="4495800"/>
            <wp:effectExtent l="25400" t="0" r="0" b="0"/>
            <wp:docPr id="2" name="Bild 1" descr="Nutrient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trients.tif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78D" w:rsidRPr="00B539A5" w:rsidRDefault="00C61C48" w:rsidP="0032278D">
      <w:pPr>
        <w:jc w:val="both"/>
        <w:rPr>
          <w:rFonts w:ascii="Arial" w:hAnsi="Arial"/>
          <w:lang w:val="de-DE"/>
        </w:rPr>
      </w:pPr>
      <w:r w:rsidRPr="00B539A5">
        <w:rPr>
          <w:rFonts w:ascii="Arial" w:hAnsi="Arial"/>
          <w:lang w:val="de-DE"/>
        </w:rPr>
        <w:t xml:space="preserve">Figure 3. </w:t>
      </w:r>
      <w:r w:rsidR="00240358" w:rsidRPr="00B539A5">
        <w:rPr>
          <w:rFonts w:ascii="Arial" w:hAnsi="Arial"/>
          <w:lang w:val="de-DE"/>
        </w:rPr>
        <w:t>Inorganic n</w:t>
      </w:r>
      <w:r w:rsidRPr="00B539A5">
        <w:rPr>
          <w:rFonts w:ascii="Arial" w:hAnsi="Arial"/>
          <w:lang w:val="de-DE"/>
        </w:rPr>
        <w:t xml:space="preserve">utrient concentrations of the ambient seawater throughout the duration of the experiment, from March 30th to June 17th, 2011. </w:t>
      </w:r>
    </w:p>
    <w:p w:rsidR="0032278D" w:rsidRPr="00B539A5" w:rsidRDefault="0032278D" w:rsidP="0032278D">
      <w:pPr>
        <w:jc w:val="both"/>
        <w:rPr>
          <w:rFonts w:ascii="Arial" w:hAnsi="Arial"/>
          <w:lang w:val="de-DE"/>
        </w:rPr>
      </w:pPr>
    </w:p>
    <w:p w:rsidR="0032278D" w:rsidRPr="00B539A5" w:rsidRDefault="0032278D" w:rsidP="0032278D">
      <w:pPr>
        <w:jc w:val="both"/>
        <w:rPr>
          <w:rFonts w:ascii="Arial" w:hAnsi="Arial"/>
          <w:lang w:val="de-DE"/>
        </w:rPr>
      </w:pPr>
    </w:p>
    <w:p w:rsidR="0032278D" w:rsidRPr="00B539A5" w:rsidRDefault="0032278D" w:rsidP="0032278D">
      <w:pPr>
        <w:jc w:val="both"/>
        <w:rPr>
          <w:rFonts w:ascii="Arial" w:hAnsi="Arial"/>
          <w:lang w:val="de-DE"/>
        </w:rPr>
      </w:pPr>
    </w:p>
    <w:p w:rsidR="0032278D" w:rsidRPr="00B539A5" w:rsidRDefault="0032278D" w:rsidP="0032278D">
      <w:pPr>
        <w:jc w:val="both"/>
        <w:rPr>
          <w:rFonts w:ascii="Arial" w:hAnsi="Arial"/>
          <w:lang w:val="de-DE"/>
        </w:rPr>
      </w:pPr>
    </w:p>
    <w:p w:rsidR="0032278D" w:rsidRPr="00B539A5" w:rsidRDefault="0032278D" w:rsidP="0032278D">
      <w:pPr>
        <w:jc w:val="both"/>
        <w:rPr>
          <w:rFonts w:ascii="Arial" w:hAnsi="Arial"/>
          <w:lang w:val="de-DE"/>
        </w:rPr>
      </w:pPr>
    </w:p>
    <w:p w:rsidR="0032278D" w:rsidRPr="00B539A5" w:rsidRDefault="00B539A5" w:rsidP="0032278D">
      <w:pPr>
        <w:jc w:val="both"/>
        <w:rPr>
          <w:rFonts w:ascii="Arial" w:hAnsi="Arial"/>
          <w:lang w:val="de-DE"/>
        </w:rPr>
      </w:pPr>
      <w:r>
        <w:rPr>
          <w:rFonts w:ascii="Arial" w:hAnsi="Arial"/>
          <w:lang w:val="de-DE"/>
        </w:rPr>
        <w:lastRenderedPageBreak/>
        <w:t>A</w:t>
      </w:r>
      <w:r w:rsidR="00C61C48" w:rsidRPr="00B539A5">
        <w:rPr>
          <w:rFonts w:ascii="Arial" w:hAnsi="Arial"/>
          <w:lang w:val="de-DE"/>
        </w:rPr>
        <w:t>)</w:t>
      </w:r>
      <w:r w:rsidR="00C61C48" w:rsidRPr="00B539A5">
        <w:rPr>
          <w:rFonts w:ascii="Arial" w:hAnsi="Arial"/>
          <w:lang w:val="de-DE"/>
        </w:rPr>
        <w:tab/>
      </w:r>
      <w:r w:rsidR="00C61C48" w:rsidRPr="00B539A5">
        <w:rPr>
          <w:rFonts w:ascii="Arial" w:hAnsi="Arial"/>
          <w:lang w:val="de-DE"/>
        </w:rPr>
        <w:tab/>
      </w:r>
      <w:r w:rsidR="00C61C48" w:rsidRPr="00B539A5">
        <w:rPr>
          <w:rFonts w:ascii="Arial" w:hAnsi="Arial"/>
          <w:lang w:val="de-DE"/>
        </w:rPr>
        <w:tab/>
      </w:r>
      <w:r w:rsidR="00C61C48" w:rsidRPr="00B539A5">
        <w:rPr>
          <w:rFonts w:ascii="Arial" w:hAnsi="Arial"/>
          <w:lang w:val="de-DE"/>
        </w:rPr>
        <w:tab/>
      </w:r>
      <w:r w:rsidR="00C61C48" w:rsidRPr="00B539A5">
        <w:rPr>
          <w:rFonts w:ascii="Arial" w:hAnsi="Arial"/>
          <w:lang w:val="de-DE"/>
        </w:rPr>
        <w:tab/>
      </w:r>
      <w:r w:rsidR="00C61C48" w:rsidRPr="00B539A5">
        <w:rPr>
          <w:rFonts w:ascii="Arial" w:hAnsi="Arial"/>
          <w:lang w:val="de-DE"/>
        </w:rPr>
        <w:tab/>
      </w:r>
      <w:r w:rsidR="00C61C48" w:rsidRPr="00B539A5">
        <w:rPr>
          <w:rFonts w:ascii="Arial" w:hAnsi="Arial"/>
          <w:lang w:val="de-DE"/>
        </w:rPr>
        <w:tab/>
      </w:r>
      <w:r w:rsidR="00C61C48" w:rsidRPr="00B539A5">
        <w:rPr>
          <w:rFonts w:ascii="Arial" w:hAnsi="Arial"/>
          <w:lang w:val="de-DE"/>
        </w:rPr>
        <w:tab/>
      </w:r>
      <w:r w:rsidR="00C61C48" w:rsidRPr="00B539A5">
        <w:rPr>
          <w:rFonts w:ascii="Arial" w:hAnsi="Arial"/>
          <w:lang w:val="de-DE"/>
        </w:rPr>
        <w:tab/>
      </w:r>
      <w:r>
        <w:rPr>
          <w:rFonts w:ascii="Arial" w:hAnsi="Arial"/>
          <w:lang w:val="de-DE"/>
        </w:rPr>
        <w:t>B</w:t>
      </w:r>
      <w:r w:rsidR="00C61C48" w:rsidRPr="00B539A5">
        <w:rPr>
          <w:rFonts w:ascii="Arial" w:hAnsi="Arial"/>
          <w:lang w:val="de-DE"/>
        </w:rPr>
        <w:t>)</w:t>
      </w:r>
    </w:p>
    <w:p w:rsidR="0032278D" w:rsidRPr="00B539A5" w:rsidRDefault="0032278D" w:rsidP="0032278D">
      <w:pPr>
        <w:jc w:val="both"/>
        <w:rPr>
          <w:rFonts w:ascii="Arial" w:hAnsi="Arial"/>
          <w:lang w:val="de-DE"/>
        </w:rPr>
      </w:pPr>
      <w:r w:rsidRPr="00B539A5">
        <w:rPr>
          <w:rFonts w:ascii="Arial" w:hAnsi="Arial"/>
          <w:noProof/>
          <w:lang w:val="de-DE" w:eastAsia="de-DE"/>
        </w:rPr>
        <w:drawing>
          <wp:inline distT="0" distB="0" distL="0" distR="0">
            <wp:extent cx="3703955" cy="3625946"/>
            <wp:effectExtent l="25400" t="0" r="4445" b="0"/>
            <wp:docPr id="6" name="Bild 5" descr="Boxplot_Nitrate_Ammonum_Uptake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xplot_Nitrate_Ammonum_Uptake1.tif"/>
                    <pic:cNvPicPr/>
                  </pic:nvPicPr>
                  <pic:blipFill>
                    <a:blip r:embed="rId13" cstate="print"/>
                    <a:srcRect t="8794" r="19695"/>
                    <a:stretch>
                      <a:fillRect/>
                    </a:stretch>
                  </pic:blipFill>
                  <pic:spPr>
                    <a:xfrm>
                      <a:off x="0" y="0"/>
                      <a:ext cx="3707038" cy="3628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539A5">
        <w:rPr>
          <w:rFonts w:ascii="Arial" w:hAnsi="Arial"/>
          <w:noProof/>
          <w:lang w:val="de-DE" w:eastAsia="de-DE"/>
        </w:rPr>
        <w:drawing>
          <wp:inline distT="0" distB="0" distL="0" distR="0">
            <wp:extent cx="4429527" cy="3545037"/>
            <wp:effectExtent l="25400" t="0" r="0" b="0"/>
            <wp:docPr id="7" name="Bild 6" descr="Boxplot_Phosphate_Uptake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xplot_Phosphate_Uptake1.tif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1460" cy="3546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78D" w:rsidRPr="00B539A5" w:rsidRDefault="00C61C48" w:rsidP="0032278D">
      <w:pPr>
        <w:jc w:val="both"/>
        <w:rPr>
          <w:rFonts w:ascii="Arial" w:hAnsi="Arial"/>
          <w:lang w:val="de-DE"/>
        </w:rPr>
      </w:pPr>
      <w:r w:rsidRPr="00B539A5">
        <w:rPr>
          <w:rFonts w:ascii="Arial" w:hAnsi="Arial"/>
          <w:lang w:val="de-DE"/>
        </w:rPr>
        <w:t xml:space="preserve"> </w:t>
      </w:r>
    </w:p>
    <w:p w:rsidR="0032278D" w:rsidRPr="00B539A5" w:rsidRDefault="00C61C48" w:rsidP="0090624B">
      <w:pPr>
        <w:rPr>
          <w:rFonts w:ascii="Arial" w:hAnsi="Arial"/>
          <w:lang w:val="de-DE"/>
        </w:rPr>
        <w:sectPr w:rsidR="0032278D" w:rsidRPr="00B539A5">
          <w:pgSz w:w="16834" w:h="11894" w:orient="landscape"/>
          <w:pgMar w:top="1411" w:right="1138" w:bottom="1411" w:left="1411" w:header="706" w:footer="706" w:gutter="0"/>
          <w:cols w:space="708"/>
        </w:sectPr>
      </w:pPr>
      <w:r w:rsidRPr="00B539A5">
        <w:rPr>
          <w:rFonts w:ascii="Arial" w:hAnsi="Arial"/>
          <w:lang w:val="de-DE"/>
        </w:rPr>
        <w:t xml:space="preserve">Figure 4. Boxplots showing the median, minimum, maximum, and first and third quartiles of </w:t>
      </w:r>
      <w:r w:rsidRPr="00B539A5">
        <w:rPr>
          <w:rFonts w:ascii="Arial" w:hAnsi="Arial"/>
          <w:i/>
          <w:lang w:val="de-DE"/>
        </w:rPr>
        <w:t xml:space="preserve">C. officinalis </w:t>
      </w:r>
      <w:r w:rsidRPr="00B539A5">
        <w:rPr>
          <w:rFonts w:ascii="Arial" w:hAnsi="Arial"/>
          <w:lang w:val="de-DE"/>
        </w:rPr>
        <w:t xml:space="preserve">uptake rates for </w:t>
      </w:r>
      <w:r w:rsidR="00815945">
        <w:rPr>
          <w:rFonts w:ascii="Arial" w:hAnsi="Arial"/>
          <w:lang w:val="de-DE"/>
        </w:rPr>
        <w:t>A</w:t>
      </w:r>
      <w:r w:rsidRPr="00B539A5">
        <w:rPr>
          <w:rFonts w:ascii="Arial" w:hAnsi="Arial"/>
          <w:lang w:val="de-DE"/>
        </w:rPr>
        <w:t xml:space="preserve">) nitrate and ammonium and </w:t>
      </w:r>
      <w:r w:rsidR="00815945">
        <w:rPr>
          <w:rFonts w:ascii="Arial" w:hAnsi="Arial"/>
          <w:lang w:val="de-DE"/>
        </w:rPr>
        <w:t>B</w:t>
      </w:r>
      <w:r w:rsidRPr="00B539A5">
        <w:rPr>
          <w:rFonts w:ascii="Arial" w:hAnsi="Arial"/>
          <w:lang w:val="de-DE"/>
        </w:rPr>
        <w:t>) phosphate as a function of CO</w:t>
      </w:r>
      <w:r w:rsidRPr="00B539A5">
        <w:rPr>
          <w:rFonts w:ascii="Arial" w:hAnsi="Arial"/>
          <w:vertAlign w:val="subscript"/>
          <w:lang w:val="de-DE"/>
        </w:rPr>
        <w:t>2</w:t>
      </w:r>
      <w:r w:rsidRPr="00B539A5">
        <w:rPr>
          <w:rFonts w:ascii="Arial" w:hAnsi="Arial"/>
          <w:lang w:val="de-DE"/>
        </w:rPr>
        <w:t xml:space="preserve"> concentration. </w:t>
      </w:r>
    </w:p>
    <w:p w:rsidR="0032278D" w:rsidRPr="00B539A5" w:rsidRDefault="00C61C48" w:rsidP="0032278D">
      <w:pPr>
        <w:rPr>
          <w:rFonts w:ascii="Arial" w:hAnsi="Arial"/>
          <w:lang w:val="de-DE"/>
        </w:rPr>
      </w:pPr>
      <w:r w:rsidRPr="00B539A5">
        <w:rPr>
          <w:rFonts w:ascii="Arial" w:hAnsi="Arial"/>
          <w:lang w:val="de-DE"/>
        </w:rPr>
        <w:lastRenderedPageBreak/>
        <w:t>A)</w:t>
      </w:r>
      <w:r w:rsidRPr="00B539A5">
        <w:rPr>
          <w:rFonts w:ascii="Arial" w:hAnsi="Arial"/>
          <w:lang w:val="de-DE"/>
        </w:rPr>
        <w:tab/>
      </w:r>
      <w:r w:rsidRPr="00B539A5">
        <w:rPr>
          <w:rFonts w:ascii="Arial" w:hAnsi="Arial"/>
          <w:lang w:val="de-DE"/>
        </w:rPr>
        <w:tab/>
      </w:r>
      <w:r w:rsidRPr="00B539A5">
        <w:rPr>
          <w:rFonts w:ascii="Arial" w:hAnsi="Arial"/>
          <w:lang w:val="de-DE"/>
        </w:rPr>
        <w:tab/>
      </w:r>
      <w:r w:rsidRPr="00B539A5">
        <w:rPr>
          <w:rFonts w:ascii="Arial" w:hAnsi="Arial"/>
          <w:lang w:val="de-DE"/>
        </w:rPr>
        <w:tab/>
      </w:r>
      <w:r w:rsidRPr="00B539A5">
        <w:rPr>
          <w:rFonts w:ascii="Arial" w:hAnsi="Arial"/>
          <w:lang w:val="de-DE"/>
        </w:rPr>
        <w:tab/>
      </w:r>
      <w:r w:rsidRPr="00B539A5">
        <w:rPr>
          <w:rFonts w:ascii="Arial" w:hAnsi="Arial"/>
          <w:lang w:val="de-DE"/>
        </w:rPr>
        <w:tab/>
      </w:r>
      <w:r w:rsidRPr="00B539A5">
        <w:rPr>
          <w:rFonts w:ascii="Arial" w:hAnsi="Arial"/>
          <w:lang w:val="de-DE"/>
        </w:rPr>
        <w:tab/>
      </w:r>
      <w:r w:rsidRPr="00B539A5">
        <w:rPr>
          <w:rFonts w:ascii="Arial" w:hAnsi="Arial"/>
          <w:lang w:val="de-DE"/>
        </w:rPr>
        <w:tab/>
      </w:r>
      <w:r w:rsidRPr="00B539A5">
        <w:rPr>
          <w:rFonts w:ascii="Arial" w:hAnsi="Arial"/>
          <w:lang w:val="de-DE"/>
        </w:rPr>
        <w:tab/>
        <w:t>B)</w:t>
      </w:r>
    </w:p>
    <w:p w:rsidR="0032278D" w:rsidRPr="00B539A5" w:rsidRDefault="00C61C48" w:rsidP="0032278D">
      <w:pPr>
        <w:jc w:val="both"/>
        <w:rPr>
          <w:rFonts w:ascii="Arial" w:hAnsi="Arial"/>
          <w:lang w:val="de-DE"/>
        </w:rPr>
      </w:pPr>
      <w:r w:rsidRPr="00B539A5">
        <w:rPr>
          <w:rFonts w:ascii="Arial" w:hAnsi="Arial"/>
          <w:noProof/>
          <w:lang w:val="de-DE" w:eastAsia="de-DE"/>
        </w:rPr>
        <w:drawing>
          <wp:inline distT="0" distB="0" distL="0" distR="0">
            <wp:extent cx="3347466" cy="2303780"/>
            <wp:effectExtent l="25400" t="0" r="5334" b="0"/>
            <wp:docPr id="17" name="Bild 16" descr="Fig5a_NRA_over_ti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5a_NRA_over_time.jpg"/>
                    <pic:cNvPicPr/>
                  </pic:nvPicPr>
                  <pic:blipFill>
                    <a:blip r:embed="rId15" cstate="print"/>
                    <a:srcRect b="7785"/>
                    <a:stretch>
                      <a:fillRect/>
                    </a:stretch>
                  </pic:blipFill>
                  <pic:spPr>
                    <a:xfrm>
                      <a:off x="0" y="0"/>
                      <a:ext cx="3350355" cy="2305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539A5">
        <w:rPr>
          <w:rFonts w:ascii="Arial" w:hAnsi="Arial"/>
          <w:noProof/>
          <w:lang w:val="de-DE" w:eastAsia="de-DE"/>
        </w:rPr>
        <w:drawing>
          <wp:inline distT="0" distB="0" distL="0" distR="0">
            <wp:extent cx="3605088" cy="2291842"/>
            <wp:effectExtent l="25400" t="0" r="1712" b="0"/>
            <wp:docPr id="18" name="Bild 17" descr="Fig5b_eCAA_PercIniti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5b_eCAA_PercInitial.jpg"/>
                    <pic:cNvPicPr/>
                  </pic:nvPicPr>
                  <pic:blipFill>
                    <a:blip r:embed="rId16" cstate="print"/>
                    <a:srcRect b="14249"/>
                    <a:stretch>
                      <a:fillRect/>
                    </a:stretch>
                  </pic:blipFill>
                  <pic:spPr>
                    <a:xfrm>
                      <a:off x="0" y="0"/>
                      <a:ext cx="3605088" cy="2291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78D" w:rsidRPr="00B539A5" w:rsidRDefault="00C61C48" w:rsidP="0032278D">
      <w:pPr>
        <w:jc w:val="both"/>
        <w:rPr>
          <w:rFonts w:ascii="Arial" w:hAnsi="Arial"/>
          <w:lang w:val="de-DE"/>
        </w:rPr>
      </w:pPr>
      <w:r w:rsidRPr="00B539A5">
        <w:rPr>
          <w:rFonts w:ascii="Arial" w:hAnsi="Arial"/>
          <w:lang w:val="de-DE"/>
        </w:rPr>
        <w:t>C)</w:t>
      </w:r>
      <w:r w:rsidRPr="00B539A5">
        <w:rPr>
          <w:rFonts w:ascii="Arial" w:hAnsi="Arial"/>
          <w:lang w:val="de-DE"/>
        </w:rPr>
        <w:tab/>
      </w:r>
      <w:r w:rsidRPr="00B539A5">
        <w:rPr>
          <w:rFonts w:ascii="Arial" w:hAnsi="Arial"/>
          <w:lang w:val="de-DE"/>
        </w:rPr>
        <w:tab/>
      </w:r>
      <w:r w:rsidRPr="00B539A5">
        <w:rPr>
          <w:rFonts w:ascii="Arial" w:hAnsi="Arial"/>
          <w:lang w:val="de-DE"/>
        </w:rPr>
        <w:tab/>
      </w:r>
      <w:r w:rsidRPr="00B539A5">
        <w:rPr>
          <w:rFonts w:ascii="Arial" w:hAnsi="Arial"/>
          <w:lang w:val="de-DE"/>
        </w:rPr>
        <w:tab/>
      </w:r>
      <w:r w:rsidRPr="00B539A5">
        <w:rPr>
          <w:rFonts w:ascii="Arial" w:hAnsi="Arial"/>
          <w:lang w:val="de-DE"/>
        </w:rPr>
        <w:tab/>
      </w:r>
      <w:r w:rsidRPr="00B539A5">
        <w:rPr>
          <w:rFonts w:ascii="Arial" w:hAnsi="Arial"/>
          <w:lang w:val="de-DE"/>
        </w:rPr>
        <w:tab/>
      </w:r>
      <w:r w:rsidRPr="00B539A5">
        <w:rPr>
          <w:rFonts w:ascii="Arial" w:hAnsi="Arial"/>
          <w:lang w:val="de-DE"/>
        </w:rPr>
        <w:tab/>
      </w:r>
      <w:r w:rsidRPr="00B539A5">
        <w:rPr>
          <w:rFonts w:ascii="Arial" w:hAnsi="Arial"/>
          <w:lang w:val="de-DE"/>
        </w:rPr>
        <w:tab/>
      </w:r>
      <w:r w:rsidRPr="00B539A5">
        <w:rPr>
          <w:rFonts w:ascii="Arial" w:hAnsi="Arial"/>
          <w:lang w:val="de-DE"/>
        </w:rPr>
        <w:tab/>
        <w:t>D)</w:t>
      </w:r>
    </w:p>
    <w:p w:rsidR="0032278D" w:rsidRPr="00B539A5" w:rsidRDefault="00C61C48" w:rsidP="0032278D">
      <w:pPr>
        <w:jc w:val="both"/>
        <w:rPr>
          <w:rFonts w:ascii="Arial" w:hAnsi="Arial"/>
          <w:lang w:val="de-DE"/>
        </w:rPr>
      </w:pPr>
      <w:r w:rsidRPr="00B539A5">
        <w:rPr>
          <w:rFonts w:ascii="Arial" w:hAnsi="Arial"/>
          <w:noProof/>
          <w:lang w:val="de-DE" w:eastAsia="de-DE"/>
        </w:rPr>
        <w:drawing>
          <wp:inline distT="0" distB="0" distL="0" distR="0">
            <wp:extent cx="3630932" cy="2541653"/>
            <wp:effectExtent l="25400" t="0" r="1268" b="0"/>
            <wp:docPr id="19" name="Bild 18" descr="Fig5c_iCAA_PercIniti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5c_iCAA_PercInitial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0932" cy="2541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539A5">
        <w:rPr>
          <w:rFonts w:ascii="Arial" w:hAnsi="Arial"/>
          <w:noProof/>
          <w:lang w:val="de-DE" w:eastAsia="de-DE"/>
        </w:rPr>
        <w:drawing>
          <wp:inline distT="0" distB="0" distL="0" distR="0">
            <wp:extent cx="3539566" cy="2562940"/>
            <wp:effectExtent l="25400" t="0" r="0" b="0"/>
            <wp:docPr id="20" name="Bild 19" descr="Fig5d_Cinorg_over_ti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5d_Cinorg_over_time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9566" cy="256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78D" w:rsidRPr="00B539A5" w:rsidRDefault="00C61C48" w:rsidP="0032278D">
      <w:pPr>
        <w:jc w:val="both"/>
        <w:rPr>
          <w:rFonts w:ascii="Arial" w:hAnsi="Arial"/>
          <w:lang w:val="de-DE"/>
        </w:rPr>
      </w:pPr>
      <w:r w:rsidRPr="00B539A5">
        <w:rPr>
          <w:rFonts w:ascii="Arial" w:hAnsi="Arial"/>
          <w:lang w:val="de-DE"/>
        </w:rPr>
        <w:t>Figure 5. Time series of mean (± SE</w:t>
      </w:r>
      <w:r w:rsidR="00480A72">
        <w:rPr>
          <w:rFonts w:ascii="Arial" w:hAnsi="Arial"/>
          <w:lang w:val="de-DE"/>
        </w:rPr>
        <w:t>, n = 4</w:t>
      </w:r>
      <w:r w:rsidRPr="00B539A5">
        <w:rPr>
          <w:rFonts w:ascii="Arial" w:hAnsi="Arial"/>
          <w:lang w:val="de-DE"/>
        </w:rPr>
        <w:t xml:space="preserve">) A) nitrate reductase activity B) external carbonic anhydrase activity C) internal carbonic anhydrase activity and D) percent inorganic carbon of </w:t>
      </w:r>
      <w:r w:rsidRPr="00B539A5">
        <w:rPr>
          <w:rFonts w:ascii="Arial" w:hAnsi="Arial"/>
          <w:i/>
          <w:lang w:val="de-DE"/>
        </w:rPr>
        <w:t xml:space="preserve">C. officinalis </w:t>
      </w:r>
      <w:r w:rsidRPr="00B539A5">
        <w:rPr>
          <w:rFonts w:ascii="Arial" w:hAnsi="Arial"/>
          <w:lang w:val="de-DE"/>
        </w:rPr>
        <w:t>exposed to three carbon dioxide concentrations. Circles: 385, squares = 665, triangles = 1486 µatm CO</w:t>
      </w:r>
      <w:r w:rsidRPr="00B539A5">
        <w:rPr>
          <w:rFonts w:ascii="Arial" w:hAnsi="Arial"/>
          <w:vertAlign w:val="subscript"/>
          <w:lang w:val="de-DE"/>
        </w:rPr>
        <w:t>2</w:t>
      </w:r>
      <w:r w:rsidRPr="00B539A5">
        <w:rPr>
          <w:rFonts w:ascii="Arial" w:hAnsi="Arial"/>
          <w:lang w:val="de-DE"/>
        </w:rPr>
        <w:t>.</w:t>
      </w:r>
    </w:p>
    <w:p w:rsidR="0032278D" w:rsidRPr="00B539A5" w:rsidRDefault="009A21B7" w:rsidP="0032278D">
      <w:pPr>
        <w:jc w:val="both"/>
        <w:rPr>
          <w:rFonts w:ascii="Arial" w:hAnsi="Arial"/>
          <w:lang w:val="de-DE"/>
        </w:rPr>
      </w:pPr>
      <w:r w:rsidRPr="00B539A5">
        <w:rPr>
          <w:rFonts w:ascii="Arial" w:hAnsi="Arial"/>
          <w:lang w:val="de-DE"/>
        </w:rPr>
        <w:lastRenderedPageBreak/>
        <w:tab/>
      </w:r>
      <w:r w:rsidRPr="00B539A5">
        <w:rPr>
          <w:rFonts w:ascii="Arial" w:hAnsi="Arial"/>
          <w:lang w:val="de-DE"/>
        </w:rPr>
        <w:tab/>
      </w:r>
      <w:r w:rsidRPr="00B539A5">
        <w:rPr>
          <w:rFonts w:ascii="Arial" w:hAnsi="Arial"/>
          <w:lang w:val="de-DE"/>
        </w:rPr>
        <w:tab/>
      </w:r>
      <w:r w:rsidRPr="00B539A5">
        <w:rPr>
          <w:rFonts w:ascii="Arial" w:hAnsi="Arial"/>
          <w:lang w:val="de-DE"/>
        </w:rPr>
        <w:tab/>
      </w:r>
      <w:r w:rsidRPr="00B539A5">
        <w:rPr>
          <w:rFonts w:ascii="Arial" w:hAnsi="Arial"/>
          <w:lang w:val="de-DE"/>
        </w:rPr>
        <w:tab/>
      </w:r>
      <w:r w:rsidRPr="00B539A5">
        <w:rPr>
          <w:rFonts w:ascii="Arial" w:hAnsi="Arial"/>
          <w:lang w:val="de-DE"/>
        </w:rPr>
        <w:tab/>
      </w:r>
      <w:r w:rsidRPr="00B539A5">
        <w:rPr>
          <w:rFonts w:ascii="Arial" w:hAnsi="Arial"/>
          <w:lang w:val="de-DE"/>
        </w:rPr>
        <w:tab/>
      </w:r>
      <w:r w:rsidRPr="00B539A5">
        <w:rPr>
          <w:rFonts w:ascii="Arial" w:hAnsi="Arial"/>
          <w:lang w:val="de-DE"/>
        </w:rPr>
        <w:tab/>
      </w:r>
      <w:r w:rsidRPr="00B539A5">
        <w:rPr>
          <w:rFonts w:ascii="Arial" w:hAnsi="Arial"/>
          <w:lang w:val="de-DE"/>
        </w:rPr>
        <w:tab/>
      </w:r>
    </w:p>
    <w:p w:rsidR="0032278D" w:rsidRPr="00B539A5" w:rsidRDefault="00C61C48" w:rsidP="0032278D">
      <w:pPr>
        <w:jc w:val="both"/>
        <w:rPr>
          <w:rFonts w:ascii="Arial" w:hAnsi="Arial"/>
          <w:lang w:val="de-DE"/>
        </w:rPr>
      </w:pPr>
      <w:r w:rsidRPr="00B539A5">
        <w:rPr>
          <w:rFonts w:ascii="Arial" w:hAnsi="Arial"/>
          <w:noProof/>
          <w:lang w:val="de-DE" w:eastAsia="de-DE"/>
        </w:rPr>
        <w:drawing>
          <wp:inline distT="0" distB="0" distL="0" distR="0">
            <wp:extent cx="3970655" cy="3614420"/>
            <wp:effectExtent l="25400" t="0" r="0" b="0"/>
            <wp:docPr id="11" name="D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32278D" w:rsidRPr="00B539A5" w:rsidRDefault="00C61C48" w:rsidP="0032278D">
      <w:pPr>
        <w:jc w:val="both"/>
        <w:rPr>
          <w:rFonts w:ascii="Arial" w:hAnsi="Arial"/>
          <w:lang w:val="de-DE"/>
        </w:rPr>
      </w:pPr>
      <w:r w:rsidRPr="00B539A5">
        <w:rPr>
          <w:rFonts w:ascii="Arial" w:hAnsi="Arial"/>
          <w:lang w:val="de-DE"/>
        </w:rPr>
        <w:t>Figure 6. Mean nitrate reductase activity (± SE</w:t>
      </w:r>
      <w:r w:rsidR="00480A72">
        <w:rPr>
          <w:rFonts w:ascii="Arial" w:hAnsi="Arial"/>
          <w:lang w:val="de-DE"/>
        </w:rPr>
        <w:t>, n = 4</w:t>
      </w:r>
      <w:r w:rsidRPr="00B539A5">
        <w:rPr>
          <w:rFonts w:ascii="Arial" w:hAnsi="Arial"/>
          <w:lang w:val="de-DE"/>
        </w:rPr>
        <w:t xml:space="preserve">) as a function of mean nitrate uptake rates in </w:t>
      </w:r>
      <w:r w:rsidRPr="00B539A5">
        <w:rPr>
          <w:rFonts w:ascii="Arial" w:hAnsi="Arial"/>
          <w:i/>
          <w:lang w:val="de-DE"/>
        </w:rPr>
        <w:t xml:space="preserve">C. officinalis </w:t>
      </w:r>
      <w:r w:rsidRPr="00B539A5">
        <w:rPr>
          <w:rFonts w:ascii="Arial" w:hAnsi="Arial"/>
          <w:lang w:val="de-DE"/>
        </w:rPr>
        <w:t>exposed to the three CO</w:t>
      </w:r>
      <w:r w:rsidRPr="00B539A5">
        <w:rPr>
          <w:rFonts w:ascii="Arial" w:hAnsi="Arial"/>
          <w:vertAlign w:val="subscript"/>
          <w:lang w:val="de-DE"/>
        </w:rPr>
        <w:t>2</w:t>
      </w:r>
      <w:r w:rsidRPr="00B539A5">
        <w:rPr>
          <w:rFonts w:ascii="Arial" w:hAnsi="Arial"/>
          <w:lang w:val="de-DE"/>
        </w:rPr>
        <w:t xml:space="preserve"> levels. Circles: 385, squares = 665, triangles = 1486 µatm CO</w:t>
      </w:r>
      <w:r w:rsidRPr="00B539A5">
        <w:rPr>
          <w:rFonts w:ascii="Arial" w:hAnsi="Arial"/>
          <w:vertAlign w:val="subscript"/>
          <w:lang w:val="de-DE"/>
        </w:rPr>
        <w:t>2</w:t>
      </w:r>
      <w:r w:rsidRPr="00B539A5">
        <w:rPr>
          <w:rFonts w:ascii="Arial" w:hAnsi="Arial"/>
          <w:lang w:val="de-DE"/>
        </w:rPr>
        <w:t>.</w:t>
      </w:r>
    </w:p>
    <w:p w:rsidR="0032278D" w:rsidRPr="00B539A5" w:rsidRDefault="0032278D" w:rsidP="0032278D">
      <w:pPr>
        <w:jc w:val="both"/>
        <w:rPr>
          <w:rFonts w:ascii="Arial" w:hAnsi="Arial"/>
          <w:lang w:val="de-DE"/>
        </w:rPr>
      </w:pPr>
    </w:p>
    <w:p w:rsidR="0032278D" w:rsidRPr="00B539A5" w:rsidRDefault="0032278D">
      <w:pPr>
        <w:rPr>
          <w:rFonts w:ascii="Arial" w:hAnsi="Arial"/>
          <w:lang w:val="de-DE"/>
        </w:rPr>
        <w:sectPr w:rsidR="0032278D" w:rsidRPr="00B539A5">
          <w:pgSz w:w="16834" w:h="11894" w:orient="landscape"/>
          <w:pgMar w:top="1411" w:right="1138" w:bottom="1411" w:left="1411" w:header="706" w:footer="706" w:gutter="0"/>
          <w:cols w:space="708"/>
        </w:sectPr>
      </w:pPr>
    </w:p>
    <w:p w:rsidR="0032278D" w:rsidRPr="00B539A5" w:rsidRDefault="0032278D">
      <w:pPr>
        <w:rPr>
          <w:rFonts w:ascii="Arial" w:hAnsi="Arial"/>
          <w:lang w:val="de-DE"/>
        </w:rPr>
      </w:pPr>
    </w:p>
    <w:p w:rsidR="0032278D" w:rsidRPr="00B539A5" w:rsidRDefault="0032278D" w:rsidP="0032278D">
      <w:pPr>
        <w:jc w:val="both"/>
        <w:rPr>
          <w:rFonts w:ascii="Arial" w:hAnsi="Arial"/>
          <w:lang w:val="de-DE"/>
        </w:rPr>
      </w:pPr>
    </w:p>
    <w:p w:rsidR="0032278D" w:rsidRPr="00B539A5" w:rsidRDefault="00170E98" w:rsidP="0032278D">
      <w:pPr>
        <w:jc w:val="both"/>
        <w:rPr>
          <w:rFonts w:ascii="Arial" w:hAnsi="Arial"/>
          <w:lang w:val="de-DE"/>
        </w:rPr>
      </w:pPr>
      <w:r>
        <w:rPr>
          <w:rFonts w:ascii="Arial" w:hAnsi="Arial"/>
          <w:lang w:val="de-DE"/>
        </w:rPr>
        <w:t>A</w:t>
      </w:r>
      <w:r w:rsidR="00C61C48" w:rsidRPr="00B539A5">
        <w:rPr>
          <w:rFonts w:ascii="Arial" w:hAnsi="Arial"/>
          <w:lang w:val="de-DE"/>
        </w:rPr>
        <w:t>)</w:t>
      </w:r>
      <w:r w:rsidR="00C61C48" w:rsidRPr="00B539A5">
        <w:rPr>
          <w:rFonts w:ascii="Arial" w:hAnsi="Arial"/>
          <w:lang w:val="de-DE"/>
        </w:rPr>
        <w:tab/>
      </w:r>
      <w:r w:rsidR="00C61C48" w:rsidRPr="00B539A5">
        <w:rPr>
          <w:rFonts w:ascii="Arial" w:hAnsi="Arial"/>
          <w:lang w:val="de-DE"/>
        </w:rPr>
        <w:tab/>
      </w:r>
      <w:r w:rsidR="00C61C48" w:rsidRPr="00B539A5">
        <w:rPr>
          <w:rFonts w:ascii="Arial" w:hAnsi="Arial"/>
          <w:lang w:val="de-DE"/>
        </w:rPr>
        <w:tab/>
      </w:r>
      <w:r w:rsidR="00C61C48" w:rsidRPr="00B539A5">
        <w:rPr>
          <w:rFonts w:ascii="Arial" w:hAnsi="Arial"/>
          <w:lang w:val="de-DE"/>
        </w:rPr>
        <w:tab/>
      </w:r>
      <w:r w:rsidR="00C61C48" w:rsidRPr="00B539A5">
        <w:rPr>
          <w:rFonts w:ascii="Arial" w:hAnsi="Arial"/>
          <w:lang w:val="de-DE"/>
        </w:rPr>
        <w:tab/>
      </w:r>
      <w:r w:rsidR="00C61C48" w:rsidRPr="00B539A5">
        <w:rPr>
          <w:rFonts w:ascii="Arial" w:hAnsi="Arial"/>
          <w:lang w:val="de-DE"/>
        </w:rPr>
        <w:tab/>
      </w:r>
      <w:r>
        <w:rPr>
          <w:rFonts w:ascii="Arial" w:hAnsi="Arial"/>
          <w:lang w:val="de-DE"/>
        </w:rPr>
        <w:t>B</w:t>
      </w:r>
      <w:r w:rsidR="00C61C48" w:rsidRPr="00B539A5">
        <w:rPr>
          <w:rFonts w:ascii="Arial" w:hAnsi="Arial"/>
          <w:lang w:val="de-DE"/>
        </w:rPr>
        <w:t>)</w:t>
      </w:r>
    </w:p>
    <w:p w:rsidR="0032278D" w:rsidRPr="00B539A5" w:rsidRDefault="0032278D" w:rsidP="0032278D">
      <w:pPr>
        <w:jc w:val="both"/>
        <w:rPr>
          <w:rFonts w:ascii="Arial" w:hAnsi="Arial"/>
          <w:lang w:val="de-DE"/>
        </w:rPr>
      </w:pPr>
      <w:r w:rsidRPr="00B539A5">
        <w:rPr>
          <w:rFonts w:ascii="Arial" w:hAnsi="Arial"/>
          <w:noProof/>
          <w:lang w:val="de-DE" w:eastAsia="de-DE"/>
        </w:rPr>
        <w:drawing>
          <wp:inline distT="0" distB="0" distL="0" distR="0">
            <wp:extent cx="2675255" cy="2587673"/>
            <wp:effectExtent l="25400" t="0" r="0" b="0"/>
            <wp:docPr id="1" name="Bild 0" descr="Inorg_vs_eCAA_D3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org_vs_eCAA_D36.tif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6806" cy="2579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1C48" w:rsidRPr="00B539A5">
        <w:rPr>
          <w:rFonts w:ascii="Arial" w:hAnsi="Arial"/>
          <w:noProof/>
          <w:lang w:val="de-DE" w:eastAsia="de-DE"/>
        </w:rPr>
        <w:drawing>
          <wp:inline distT="0" distB="0" distL="0" distR="0">
            <wp:extent cx="2601595" cy="2578087"/>
            <wp:effectExtent l="25400" t="0" r="0" b="0"/>
            <wp:docPr id="12" name="Bild 51" descr="Inorganic_vs_CAA_Sylt201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51" descr="Inorganic_vs_CAA_Sylt2011.tif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621" cy="2579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78D" w:rsidRPr="00B539A5" w:rsidRDefault="00C61C48" w:rsidP="0032278D">
      <w:pPr>
        <w:jc w:val="both"/>
        <w:rPr>
          <w:rFonts w:ascii="Arial" w:hAnsi="Arial"/>
          <w:lang w:val="de-DE"/>
        </w:rPr>
      </w:pPr>
      <w:r w:rsidRPr="00B539A5">
        <w:rPr>
          <w:rFonts w:ascii="Arial" w:hAnsi="Arial"/>
          <w:lang w:val="de-DE"/>
        </w:rPr>
        <w:t xml:space="preserve">Figure 7. Inorganic content of </w:t>
      </w:r>
      <w:r w:rsidRPr="00B539A5">
        <w:rPr>
          <w:rFonts w:ascii="Arial" w:hAnsi="Arial"/>
          <w:i/>
          <w:lang w:val="de-DE"/>
        </w:rPr>
        <w:t xml:space="preserve">C. officinalis </w:t>
      </w:r>
      <w:r w:rsidRPr="00B539A5">
        <w:rPr>
          <w:rFonts w:ascii="Arial" w:hAnsi="Arial"/>
          <w:lang w:val="de-DE"/>
        </w:rPr>
        <w:t xml:space="preserve">as a function of external carbonic anhydrase activity after </w:t>
      </w:r>
      <w:r w:rsidR="00815945">
        <w:rPr>
          <w:rFonts w:ascii="Arial" w:hAnsi="Arial"/>
          <w:lang w:val="de-DE"/>
        </w:rPr>
        <w:t>A</w:t>
      </w:r>
      <w:r w:rsidRPr="00B539A5">
        <w:rPr>
          <w:rFonts w:ascii="Arial" w:hAnsi="Arial"/>
          <w:lang w:val="de-DE"/>
        </w:rPr>
        <w:t xml:space="preserve">) 36 and </w:t>
      </w:r>
      <w:r w:rsidR="00815945">
        <w:rPr>
          <w:rFonts w:ascii="Arial" w:hAnsi="Arial"/>
          <w:lang w:val="de-DE"/>
        </w:rPr>
        <w:t>B</w:t>
      </w:r>
      <w:r w:rsidRPr="00B539A5">
        <w:rPr>
          <w:rFonts w:ascii="Arial" w:hAnsi="Arial"/>
          <w:lang w:val="de-DE"/>
        </w:rPr>
        <w:t>) 71 days of exposure to three CO</w:t>
      </w:r>
      <w:r w:rsidRPr="00B539A5">
        <w:rPr>
          <w:rFonts w:ascii="Arial" w:hAnsi="Arial"/>
          <w:vertAlign w:val="subscript"/>
          <w:lang w:val="de-DE"/>
        </w:rPr>
        <w:t>2</w:t>
      </w:r>
      <w:r w:rsidRPr="00B539A5">
        <w:rPr>
          <w:rFonts w:ascii="Arial" w:hAnsi="Arial"/>
          <w:lang w:val="de-DE"/>
        </w:rPr>
        <w:t xml:space="preserve"> concentrations </w:t>
      </w:r>
    </w:p>
    <w:sectPr w:rsidR="0032278D" w:rsidRPr="00B539A5" w:rsidSect="0032278D">
      <w:pgSz w:w="11894" w:h="16834"/>
      <w:pgMar w:top="1411" w:right="1411" w:bottom="1138" w:left="1411" w:header="706" w:footer="706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7893" w:rsidRDefault="00407893" w:rsidP="00A4691A">
      <w:r>
        <w:separator/>
      </w:r>
    </w:p>
  </w:endnote>
  <w:endnote w:type="continuationSeparator" w:id="0">
    <w:p w:rsidR="00407893" w:rsidRDefault="00407893" w:rsidP="00A469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624B" w:rsidRDefault="00D108C2" w:rsidP="0032278D">
    <w:pPr>
      <w:pStyle w:val="Fuzeile"/>
      <w:framePr w:wrap="around" w:vAnchor="text" w:hAnchor="margin" w:xAlign="center" w:y="1"/>
      <w:rPr>
        <w:rStyle w:val="Seitenzahl"/>
      </w:rPr>
    </w:pPr>
    <w:r>
      <w:rPr>
        <w:rStyle w:val="Seitenzahl"/>
      </w:rPr>
      <w:fldChar w:fldCharType="begin"/>
    </w:r>
    <w:r w:rsidR="0090624B"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:rsidR="0090624B" w:rsidRDefault="0090624B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624B" w:rsidRDefault="00D108C2" w:rsidP="0032278D">
    <w:pPr>
      <w:pStyle w:val="Fuzeile"/>
      <w:framePr w:wrap="around" w:vAnchor="text" w:hAnchor="margin" w:xAlign="center" w:y="1"/>
      <w:rPr>
        <w:rStyle w:val="Seitenzahl"/>
      </w:rPr>
    </w:pPr>
    <w:r>
      <w:rPr>
        <w:rStyle w:val="Seitenzahl"/>
      </w:rPr>
      <w:fldChar w:fldCharType="begin"/>
    </w:r>
    <w:r w:rsidR="0090624B"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F5063D">
      <w:rPr>
        <w:rStyle w:val="Seitenzahl"/>
        <w:noProof/>
      </w:rPr>
      <w:t>7</w:t>
    </w:r>
    <w:r>
      <w:rPr>
        <w:rStyle w:val="Seitenzahl"/>
      </w:rPr>
      <w:fldChar w:fldCharType="end"/>
    </w:r>
  </w:p>
  <w:p w:rsidR="0090624B" w:rsidRDefault="0090624B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7893" w:rsidRDefault="00407893" w:rsidP="00A4691A">
      <w:r>
        <w:separator/>
      </w:r>
    </w:p>
  </w:footnote>
  <w:footnote w:type="continuationSeparator" w:id="0">
    <w:p w:rsidR="00407893" w:rsidRDefault="00407893" w:rsidP="00A4691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10EDB"/>
    <w:multiLevelType w:val="multilevel"/>
    <w:tmpl w:val="04070025"/>
    <w:lvl w:ilvl="0">
      <w:start w:val="1"/>
      <w:numFmt w:val="decimal"/>
      <w:pStyle w:val="berschrift1"/>
      <w:lvlText w:val="%1"/>
      <w:lvlJc w:val="left"/>
      <w:pPr>
        <w:ind w:left="432" w:hanging="432"/>
      </w:p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ind w:left="2421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abstractNum w:abstractNumId="1">
    <w:nsid w:val="05913942"/>
    <w:multiLevelType w:val="hybridMultilevel"/>
    <w:tmpl w:val="C7FE161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F83CB8"/>
    <w:multiLevelType w:val="hybridMultilevel"/>
    <w:tmpl w:val="DC58CEAE"/>
    <w:lvl w:ilvl="0" w:tplc="0407000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078539C1"/>
    <w:multiLevelType w:val="hybridMultilevel"/>
    <w:tmpl w:val="389876A4"/>
    <w:lvl w:ilvl="0" w:tplc="0407000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>
    <w:nsid w:val="07A87552"/>
    <w:multiLevelType w:val="hybridMultilevel"/>
    <w:tmpl w:val="B2E47EB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296364A"/>
    <w:multiLevelType w:val="hybridMultilevel"/>
    <w:tmpl w:val="758AA14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0B4425"/>
    <w:multiLevelType w:val="hybridMultilevel"/>
    <w:tmpl w:val="5336A292"/>
    <w:lvl w:ilvl="0" w:tplc="0407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>
    <w:nsid w:val="175B42F5"/>
    <w:multiLevelType w:val="hybridMultilevel"/>
    <w:tmpl w:val="2AE8521C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1C3C6F32"/>
    <w:multiLevelType w:val="hybridMultilevel"/>
    <w:tmpl w:val="389876A4"/>
    <w:lvl w:ilvl="0" w:tplc="0407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9">
    <w:nsid w:val="203E33DF"/>
    <w:multiLevelType w:val="hybridMultilevel"/>
    <w:tmpl w:val="5D888F1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5A575FF"/>
    <w:multiLevelType w:val="hybridMultilevel"/>
    <w:tmpl w:val="FF1A29C6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268A22E6"/>
    <w:multiLevelType w:val="hybridMultilevel"/>
    <w:tmpl w:val="88B4F3D8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28A927EE"/>
    <w:multiLevelType w:val="hybridMultilevel"/>
    <w:tmpl w:val="42BCBCC2"/>
    <w:lvl w:ilvl="0" w:tplc="0407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3">
    <w:nsid w:val="310E1684"/>
    <w:multiLevelType w:val="hybridMultilevel"/>
    <w:tmpl w:val="42BCBCC2"/>
    <w:lvl w:ilvl="0" w:tplc="0407000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>
    <w:nsid w:val="33E47B41"/>
    <w:multiLevelType w:val="hybridMultilevel"/>
    <w:tmpl w:val="28968A90"/>
    <w:lvl w:ilvl="0" w:tplc="0407000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5">
    <w:nsid w:val="350674CD"/>
    <w:multiLevelType w:val="hybridMultilevel"/>
    <w:tmpl w:val="CCF0BBA0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3DF75B59"/>
    <w:multiLevelType w:val="hybridMultilevel"/>
    <w:tmpl w:val="772A1A76"/>
    <w:lvl w:ilvl="0" w:tplc="0407000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417276F2"/>
    <w:multiLevelType w:val="hybridMultilevel"/>
    <w:tmpl w:val="3364CAF0"/>
    <w:lvl w:ilvl="0" w:tplc="0407000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>
    <w:nsid w:val="444C6096"/>
    <w:multiLevelType w:val="hybridMultilevel"/>
    <w:tmpl w:val="5336A292"/>
    <w:lvl w:ilvl="0" w:tplc="0407000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>
    <w:nsid w:val="44B05925"/>
    <w:multiLevelType w:val="hybridMultilevel"/>
    <w:tmpl w:val="282EFA5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86058E9"/>
    <w:multiLevelType w:val="hybridMultilevel"/>
    <w:tmpl w:val="A1023EAE"/>
    <w:lvl w:ilvl="0" w:tplc="0407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1">
    <w:nsid w:val="4897058F"/>
    <w:multiLevelType w:val="hybridMultilevel"/>
    <w:tmpl w:val="A87ABEB8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4D2F5699"/>
    <w:multiLevelType w:val="hybridMultilevel"/>
    <w:tmpl w:val="4880DBE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16C6BA0"/>
    <w:multiLevelType w:val="hybridMultilevel"/>
    <w:tmpl w:val="C8DE891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3077607"/>
    <w:multiLevelType w:val="hybridMultilevel"/>
    <w:tmpl w:val="039CBF5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61E14F3"/>
    <w:multiLevelType w:val="hybridMultilevel"/>
    <w:tmpl w:val="28968A90"/>
    <w:lvl w:ilvl="0" w:tplc="0407000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570A534F"/>
    <w:multiLevelType w:val="hybridMultilevel"/>
    <w:tmpl w:val="C8DE891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sz w:val="28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95724AC"/>
    <w:multiLevelType w:val="hybridMultilevel"/>
    <w:tmpl w:val="5336A292"/>
    <w:lvl w:ilvl="0" w:tplc="0407000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8">
    <w:nsid w:val="59D21D97"/>
    <w:multiLevelType w:val="hybridMultilevel"/>
    <w:tmpl w:val="FF1A29C6"/>
    <w:lvl w:ilvl="0" w:tplc="0407000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04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>
    <w:nsid w:val="5E1D5A09"/>
    <w:multiLevelType w:val="hybridMultilevel"/>
    <w:tmpl w:val="3364CAF0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>
    <w:nsid w:val="65245CF9"/>
    <w:multiLevelType w:val="hybridMultilevel"/>
    <w:tmpl w:val="F7D89E70"/>
    <w:lvl w:ilvl="0" w:tplc="0407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1">
    <w:nsid w:val="65BC21C2"/>
    <w:multiLevelType w:val="hybridMultilevel"/>
    <w:tmpl w:val="28968A90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>
    <w:nsid w:val="6A260B6C"/>
    <w:multiLevelType w:val="hybridMultilevel"/>
    <w:tmpl w:val="C8DE891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AD71376"/>
    <w:multiLevelType w:val="hybridMultilevel"/>
    <w:tmpl w:val="772A1A76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>
    <w:nsid w:val="6ED351F2"/>
    <w:multiLevelType w:val="hybridMultilevel"/>
    <w:tmpl w:val="2AE8521C"/>
    <w:lvl w:ilvl="0" w:tplc="0407000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5">
    <w:nsid w:val="6F20703A"/>
    <w:multiLevelType w:val="hybridMultilevel"/>
    <w:tmpl w:val="3EE0664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2B320C8"/>
    <w:multiLevelType w:val="hybridMultilevel"/>
    <w:tmpl w:val="DD48913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30E336E"/>
    <w:multiLevelType w:val="hybridMultilevel"/>
    <w:tmpl w:val="A1023EAE"/>
    <w:lvl w:ilvl="0" w:tplc="04070001">
      <w:start w:val="1"/>
      <w:numFmt w:val="bullet"/>
      <w:lvlText w:val="o"/>
      <w:lvlJc w:val="left"/>
      <w:pPr>
        <w:ind w:left="1776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38">
    <w:nsid w:val="73717D71"/>
    <w:multiLevelType w:val="hybridMultilevel"/>
    <w:tmpl w:val="3796D2A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8AF23A1"/>
    <w:multiLevelType w:val="hybridMultilevel"/>
    <w:tmpl w:val="A79481D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93E1939"/>
    <w:multiLevelType w:val="hybridMultilevel"/>
    <w:tmpl w:val="3796D2A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B942E1D"/>
    <w:multiLevelType w:val="hybridMultilevel"/>
    <w:tmpl w:val="70A870C4"/>
    <w:lvl w:ilvl="0" w:tplc="0407000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>
    <w:nsid w:val="7DDC22E1"/>
    <w:multiLevelType w:val="hybridMultilevel"/>
    <w:tmpl w:val="A1023EAE"/>
    <w:lvl w:ilvl="0" w:tplc="04070001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3216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393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65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376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609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81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536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8256" w:hanging="360"/>
      </w:pPr>
      <w:rPr>
        <w:rFonts w:ascii="Wingdings" w:hAnsi="Wingdings" w:hint="default"/>
      </w:rPr>
    </w:lvl>
  </w:abstractNum>
  <w:abstractNum w:abstractNumId="43">
    <w:nsid w:val="7FAB07FB"/>
    <w:multiLevelType w:val="hybridMultilevel"/>
    <w:tmpl w:val="BF52600E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4">
    <w:nsid w:val="7FEB2BC0"/>
    <w:multiLevelType w:val="hybridMultilevel"/>
    <w:tmpl w:val="DC58CEAE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4"/>
  </w:num>
  <w:num w:numId="3">
    <w:abstractNumId w:val="39"/>
  </w:num>
  <w:num w:numId="4">
    <w:abstractNumId w:val="5"/>
  </w:num>
  <w:num w:numId="5">
    <w:abstractNumId w:val="19"/>
  </w:num>
  <w:num w:numId="6">
    <w:abstractNumId w:val="36"/>
  </w:num>
  <w:num w:numId="7">
    <w:abstractNumId w:val="1"/>
  </w:num>
  <w:num w:numId="8">
    <w:abstractNumId w:val="35"/>
  </w:num>
  <w:num w:numId="9">
    <w:abstractNumId w:val="11"/>
  </w:num>
  <w:num w:numId="10">
    <w:abstractNumId w:val="21"/>
  </w:num>
  <w:num w:numId="11">
    <w:abstractNumId w:val="4"/>
  </w:num>
  <w:num w:numId="12">
    <w:abstractNumId w:val="41"/>
  </w:num>
  <w:num w:numId="13">
    <w:abstractNumId w:val="22"/>
  </w:num>
  <w:num w:numId="14">
    <w:abstractNumId w:val="33"/>
  </w:num>
  <w:num w:numId="15">
    <w:abstractNumId w:val="9"/>
  </w:num>
  <w:num w:numId="16">
    <w:abstractNumId w:val="15"/>
  </w:num>
  <w:num w:numId="17">
    <w:abstractNumId w:val="10"/>
  </w:num>
  <w:num w:numId="18">
    <w:abstractNumId w:val="29"/>
  </w:num>
  <w:num w:numId="19">
    <w:abstractNumId w:val="44"/>
  </w:num>
  <w:num w:numId="20">
    <w:abstractNumId w:val="7"/>
  </w:num>
  <w:num w:numId="21">
    <w:abstractNumId w:val="34"/>
  </w:num>
  <w:num w:numId="22">
    <w:abstractNumId w:val="2"/>
  </w:num>
  <w:num w:numId="23">
    <w:abstractNumId w:val="17"/>
  </w:num>
  <w:num w:numId="24">
    <w:abstractNumId w:val="28"/>
  </w:num>
  <w:num w:numId="25">
    <w:abstractNumId w:val="20"/>
  </w:num>
  <w:num w:numId="26">
    <w:abstractNumId w:val="31"/>
  </w:num>
  <w:num w:numId="27">
    <w:abstractNumId w:val="8"/>
  </w:num>
  <w:num w:numId="28">
    <w:abstractNumId w:val="3"/>
  </w:num>
  <w:num w:numId="29">
    <w:abstractNumId w:val="30"/>
  </w:num>
  <w:num w:numId="30">
    <w:abstractNumId w:val="6"/>
  </w:num>
  <w:num w:numId="31">
    <w:abstractNumId w:val="38"/>
  </w:num>
  <w:num w:numId="32">
    <w:abstractNumId w:val="40"/>
  </w:num>
  <w:num w:numId="33">
    <w:abstractNumId w:val="16"/>
  </w:num>
  <w:num w:numId="34">
    <w:abstractNumId w:val="12"/>
  </w:num>
  <w:num w:numId="35">
    <w:abstractNumId w:val="13"/>
  </w:num>
  <w:num w:numId="36">
    <w:abstractNumId w:val="32"/>
  </w:num>
  <w:num w:numId="37">
    <w:abstractNumId w:val="26"/>
  </w:num>
  <w:num w:numId="38">
    <w:abstractNumId w:val="23"/>
  </w:num>
  <w:num w:numId="39">
    <w:abstractNumId w:val="27"/>
  </w:num>
  <w:num w:numId="40">
    <w:abstractNumId w:val="14"/>
  </w:num>
  <w:num w:numId="41">
    <w:abstractNumId w:val="42"/>
  </w:num>
  <w:num w:numId="42">
    <w:abstractNumId w:val="25"/>
  </w:num>
  <w:num w:numId="43">
    <w:abstractNumId w:val="37"/>
  </w:num>
  <w:num w:numId="44">
    <w:abstractNumId w:val="18"/>
  </w:num>
  <w:num w:numId="45">
    <w:abstractNumId w:val="4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embedSystemFonts/>
  <w:proofState w:spelling="clean" w:grammar="clean"/>
  <w:doNotTrackMoves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36FEC"/>
    <w:rsid w:val="0005167B"/>
    <w:rsid w:val="000C56C8"/>
    <w:rsid w:val="000F641E"/>
    <w:rsid w:val="00162A86"/>
    <w:rsid w:val="00170E98"/>
    <w:rsid w:val="00204104"/>
    <w:rsid w:val="002049D1"/>
    <w:rsid w:val="00240358"/>
    <w:rsid w:val="00261D11"/>
    <w:rsid w:val="0026465A"/>
    <w:rsid w:val="002860AB"/>
    <w:rsid w:val="002B454E"/>
    <w:rsid w:val="0032278D"/>
    <w:rsid w:val="00352B42"/>
    <w:rsid w:val="003F5438"/>
    <w:rsid w:val="00407893"/>
    <w:rsid w:val="00410F34"/>
    <w:rsid w:val="00480A72"/>
    <w:rsid w:val="004C7F53"/>
    <w:rsid w:val="004F199E"/>
    <w:rsid w:val="005A602F"/>
    <w:rsid w:val="005D58B2"/>
    <w:rsid w:val="00680249"/>
    <w:rsid w:val="006A2BF3"/>
    <w:rsid w:val="006C05B5"/>
    <w:rsid w:val="007A2D73"/>
    <w:rsid w:val="007C7620"/>
    <w:rsid w:val="00815945"/>
    <w:rsid w:val="00832765"/>
    <w:rsid w:val="00836FEC"/>
    <w:rsid w:val="008D580D"/>
    <w:rsid w:val="0090624B"/>
    <w:rsid w:val="00992B51"/>
    <w:rsid w:val="009A21B7"/>
    <w:rsid w:val="009A27AF"/>
    <w:rsid w:val="00A4691A"/>
    <w:rsid w:val="00A568DE"/>
    <w:rsid w:val="00A8149B"/>
    <w:rsid w:val="00A92CD0"/>
    <w:rsid w:val="00B27025"/>
    <w:rsid w:val="00B539A5"/>
    <w:rsid w:val="00B56FB5"/>
    <w:rsid w:val="00C24C9B"/>
    <w:rsid w:val="00C61C48"/>
    <w:rsid w:val="00D108C2"/>
    <w:rsid w:val="00D5362D"/>
    <w:rsid w:val="00DA620A"/>
    <w:rsid w:val="00E773A7"/>
    <w:rsid w:val="00E964E9"/>
    <w:rsid w:val="00F5063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Times New Roman"/>
        <w:sz w:val="24"/>
        <w:szCs w:val="24"/>
        <w:lang w:val="en-US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99"/>
    <w:lsdException w:name="header" w:uiPriority="99"/>
    <w:lsdException w:name="footer" w:uiPriority="99"/>
    <w:lsdException w:name="caption" w:uiPriority="35" w:qFormat="1"/>
    <w:lsdException w:name="annotation reference" w:uiPriority="99"/>
    <w:lsdException w:name="page number" w:uiPriority="99"/>
    <w:lsdException w:name="annotation subject" w:uiPriority="99"/>
    <w:lsdException w:name="Balloon Text" w:uiPriority="99"/>
    <w:lsdException w:name="Table Grid" w:uiPriority="59"/>
    <w:lsdException w:name="No Spacing" w:uiPriority="1" w:qFormat="1"/>
    <w:lsdException w:name="TOC Heading" w:uiPriority="39" w:qFormat="1"/>
  </w:latentStyles>
  <w:style w:type="paragraph" w:default="1" w:styleId="Standard">
    <w:name w:val="Normal"/>
    <w:qFormat/>
    <w:rsid w:val="00B10A53"/>
    <w:rPr>
      <w:lang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B40FAF"/>
    <w:pPr>
      <w:keepNext/>
      <w:keepLines/>
      <w:numPr>
        <w:numId w:val="1"/>
      </w:numPr>
      <w:spacing w:before="480" w:line="276" w:lineRule="auto"/>
      <w:outlineLvl w:val="0"/>
    </w:pPr>
    <w:rPr>
      <w:rFonts w:eastAsia="Times New Roman"/>
      <w:b/>
      <w:bCs/>
      <w:color w:val="365F91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B40FAF"/>
    <w:pPr>
      <w:keepNext/>
      <w:keepLines/>
      <w:numPr>
        <w:ilvl w:val="1"/>
        <w:numId w:val="1"/>
      </w:numPr>
      <w:spacing w:before="200" w:line="276" w:lineRule="auto"/>
      <w:outlineLvl w:val="1"/>
    </w:pPr>
    <w:rPr>
      <w:rFonts w:eastAsia="Times New Roman"/>
      <w:b/>
      <w:bCs/>
      <w:color w:val="4F81BD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B40FAF"/>
    <w:pPr>
      <w:keepNext/>
      <w:keepLines/>
      <w:numPr>
        <w:ilvl w:val="2"/>
        <w:numId w:val="1"/>
      </w:numPr>
      <w:spacing w:before="200" w:line="276" w:lineRule="auto"/>
      <w:outlineLvl w:val="2"/>
    </w:pPr>
    <w:rPr>
      <w:rFonts w:eastAsia="Times New Roman"/>
      <w:b/>
      <w:bCs/>
      <w:color w:val="4F81BD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B40FAF"/>
    <w:pPr>
      <w:keepNext/>
      <w:keepLines/>
      <w:numPr>
        <w:ilvl w:val="3"/>
        <w:numId w:val="1"/>
      </w:numPr>
      <w:spacing w:before="200" w:line="276" w:lineRule="auto"/>
      <w:outlineLvl w:val="3"/>
    </w:pPr>
    <w:rPr>
      <w:rFonts w:eastAsia="Times New Roman"/>
      <w:b/>
      <w:bCs/>
      <w:i/>
      <w:iCs/>
      <w:color w:val="4F81BD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B40FAF"/>
    <w:pPr>
      <w:keepNext/>
      <w:keepLines/>
      <w:numPr>
        <w:ilvl w:val="4"/>
        <w:numId w:val="1"/>
      </w:numPr>
      <w:spacing w:before="200" w:line="276" w:lineRule="auto"/>
      <w:outlineLvl w:val="4"/>
    </w:pPr>
    <w:rPr>
      <w:rFonts w:eastAsia="Times New Roman"/>
      <w:color w:val="243F60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B40FAF"/>
    <w:pPr>
      <w:keepNext/>
      <w:keepLines/>
      <w:numPr>
        <w:ilvl w:val="5"/>
        <w:numId w:val="1"/>
      </w:numPr>
      <w:spacing w:before="200" w:line="276" w:lineRule="auto"/>
      <w:outlineLvl w:val="5"/>
    </w:pPr>
    <w:rPr>
      <w:rFonts w:eastAsia="Times New Roman"/>
      <w:i/>
      <w:iCs/>
      <w:color w:val="243F60"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qFormat/>
    <w:rsid w:val="00B40FAF"/>
    <w:pPr>
      <w:keepNext/>
      <w:keepLines/>
      <w:numPr>
        <w:ilvl w:val="6"/>
        <w:numId w:val="1"/>
      </w:numPr>
      <w:spacing w:before="200" w:line="276" w:lineRule="auto"/>
      <w:outlineLvl w:val="6"/>
    </w:pPr>
    <w:rPr>
      <w:rFonts w:eastAsia="Times New Roman"/>
      <w:i/>
      <w:iCs/>
      <w:color w:val="404040"/>
    </w:rPr>
  </w:style>
  <w:style w:type="paragraph" w:styleId="berschrift8">
    <w:name w:val="heading 8"/>
    <w:basedOn w:val="Standard"/>
    <w:next w:val="Standard"/>
    <w:link w:val="berschrift8Zchn"/>
    <w:uiPriority w:val="9"/>
    <w:unhideWhenUsed/>
    <w:qFormat/>
    <w:rsid w:val="00B40FAF"/>
    <w:pPr>
      <w:keepNext/>
      <w:keepLines/>
      <w:numPr>
        <w:ilvl w:val="7"/>
        <w:numId w:val="1"/>
      </w:numPr>
      <w:spacing w:before="200" w:line="276" w:lineRule="auto"/>
      <w:outlineLvl w:val="7"/>
    </w:pPr>
    <w:rPr>
      <w:rFonts w:eastAsia="Times New Roman"/>
      <w:color w:val="404040"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qFormat/>
    <w:rsid w:val="00B40FAF"/>
    <w:pPr>
      <w:keepNext/>
      <w:keepLines/>
      <w:numPr>
        <w:ilvl w:val="8"/>
        <w:numId w:val="1"/>
      </w:numPr>
      <w:spacing w:before="200" w:line="276" w:lineRule="auto"/>
      <w:outlineLvl w:val="8"/>
    </w:pPr>
    <w:rPr>
      <w:rFonts w:eastAsia="Times New Roman"/>
      <w:i/>
      <w:iCs/>
      <w:color w:val="40404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B40FAF"/>
    <w:rPr>
      <w:rFonts w:eastAsia="Times New Roman"/>
      <w:b/>
      <w:bCs/>
      <w:color w:val="365F91"/>
      <w:sz w:val="28"/>
      <w:szCs w:val="28"/>
      <w:lang w:eastAsia="en-US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B40FAF"/>
    <w:rPr>
      <w:rFonts w:eastAsia="Times New Roman"/>
      <w:b/>
      <w:bCs/>
      <w:color w:val="4F81BD"/>
      <w:sz w:val="26"/>
      <w:szCs w:val="26"/>
      <w:lang w:eastAsia="en-US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6C05B5"/>
    <w:rPr>
      <w:rFonts w:eastAsia="Times New Roman"/>
      <w:b/>
      <w:bCs/>
      <w:color w:val="4F81BD"/>
      <w:lang w:eastAsia="en-US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6C05B5"/>
    <w:rPr>
      <w:rFonts w:eastAsia="Times New Roman"/>
      <w:b/>
      <w:bCs/>
      <w:i/>
      <w:iCs/>
      <w:color w:val="4F81BD"/>
      <w:lang w:eastAsia="en-US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6C05B5"/>
    <w:rPr>
      <w:rFonts w:eastAsia="Times New Roman"/>
      <w:color w:val="243F60"/>
      <w:lang w:eastAsia="en-US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6C05B5"/>
    <w:rPr>
      <w:rFonts w:eastAsia="Times New Roman"/>
      <w:i/>
      <w:iCs/>
      <w:color w:val="243F60"/>
      <w:lang w:eastAsia="en-US"/>
    </w:rPr>
  </w:style>
  <w:style w:type="character" w:customStyle="1" w:styleId="berschrift7Zchn">
    <w:name w:val="Überschrift 7 Zchn"/>
    <w:basedOn w:val="Absatz-Standardschriftart"/>
    <w:link w:val="berschrift7"/>
    <w:uiPriority w:val="9"/>
    <w:rsid w:val="006C05B5"/>
    <w:rPr>
      <w:rFonts w:eastAsia="Times New Roman"/>
      <w:i/>
      <w:iCs/>
      <w:color w:val="404040"/>
      <w:lang w:eastAsia="en-US"/>
    </w:rPr>
  </w:style>
  <w:style w:type="character" w:customStyle="1" w:styleId="berschrift8Zchn">
    <w:name w:val="Überschrift 8 Zchn"/>
    <w:basedOn w:val="Absatz-Standardschriftart"/>
    <w:link w:val="berschrift8"/>
    <w:uiPriority w:val="9"/>
    <w:rsid w:val="006C05B5"/>
    <w:rPr>
      <w:rFonts w:eastAsia="Times New Roman"/>
      <w:color w:val="404040"/>
      <w:lang w:eastAsia="en-US"/>
    </w:rPr>
  </w:style>
  <w:style w:type="character" w:customStyle="1" w:styleId="berschrift9Zchn">
    <w:name w:val="Überschrift 9 Zchn"/>
    <w:basedOn w:val="Absatz-Standardschriftart"/>
    <w:link w:val="berschrift9"/>
    <w:uiPriority w:val="9"/>
    <w:rsid w:val="006C05B5"/>
    <w:rPr>
      <w:rFonts w:eastAsia="Times New Roman"/>
      <w:i/>
      <w:iCs/>
      <w:color w:val="404040"/>
      <w:lang w:eastAsia="en-US"/>
    </w:rPr>
  </w:style>
  <w:style w:type="character" w:customStyle="1" w:styleId="Absatz-Standardschriftart1">
    <w:name w:val="Absatz-Standardschriftart1"/>
    <w:semiHidden/>
    <w:rsid w:val="006C05B5"/>
  </w:style>
  <w:style w:type="paragraph" w:styleId="Fuzeile">
    <w:name w:val="footer"/>
    <w:basedOn w:val="Standard"/>
    <w:link w:val="FuzeileZchn"/>
    <w:uiPriority w:val="99"/>
    <w:unhideWhenUsed/>
    <w:rsid w:val="0027518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275183"/>
    <w:rPr>
      <w:sz w:val="24"/>
      <w:szCs w:val="24"/>
    </w:rPr>
  </w:style>
  <w:style w:type="character" w:styleId="Seitenzahl">
    <w:name w:val="page number"/>
    <w:basedOn w:val="Absatz-Standardschriftart"/>
    <w:uiPriority w:val="99"/>
    <w:unhideWhenUsed/>
    <w:rsid w:val="006C05B5"/>
  </w:style>
  <w:style w:type="character" w:styleId="Kommentarzeichen">
    <w:name w:val="annotation reference"/>
    <w:basedOn w:val="Absatz-Standardschriftart"/>
    <w:uiPriority w:val="99"/>
    <w:unhideWhenUsed/>
    <w:rsid w:val="00B40FAF"/>
    <w:rPr>
      <w:sz w:val="18"/>
      <w:szCs w:val="18"/>
    </w:rPr>
  </w:style>
  <w:style w:type="paragraph" w:styleId="Kommentartext">
    <w:name w:val="annotation text"/>
    <w:basedOn w:val="Standard"/>
    <w:link w:val="KommentartextZchn"/>
    <w:uiPriority w:val="99"/>
    <w:unhideWhenUsed/>
    <w:rsid w:val="00B40FAF"/>
  </w:style>
  <w:style w:type="character" w:customStyle="1" w:styleId="KommentartextZchn">
    <w:name w:val="Kommentartext Zchn"/>
    <w:basedOn w:val="Absatz-Standardschriftart"/>
    <w:link w:val="Kommentartext"/>
    <w:uiPriority w:val="99"/>
    <w:rsid w:val="00B40FAF"/>
    <w:rPr>
      <w:sz w:val="24"/>
      <w:szCs w:val="24"/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unhideWhenUsed/>
    <w:rsid w:val="00B40FAF"/>
    <w:rPr>
      <w:b/>
      <w:bCs/>
      <w:sz w:val="20"/>
      <w:szCs w:val="20"/>
    </w:rPr>
  </w:style>
  <w:style w:type="character" w:customStyle="1" w:styleId="KommentarthemaZchn">
    <w:name w:val="Kommentarthema Zchn"/>
    <w:basedOn w:val="KommentartextZchn"/>
    <w:link w:val="Kommentarthema"/>
    <w:uiPriority w:val="99"/>
    <w:rsid w:val="00B40FAF"/>
    <w:rPr>
      <w:b/>
      <w:bCs/>
      <w:sz w:val="24"/>
      <w:szCs w:val="24"/>
      <w:lang w:eastAsia="en-US"/>
    </w:rPr>
  </w:style>
  <w:style w:type="paragraph" w:styleId="Sprechblasentext">
    <w:name w:val="Balloon Text"/>
    <w:basedOn w:val="Standard"/>
    <w:link w:val="SprechblasentextZchn"/>
    <w:uiPriority w:val="99"/>
    <w:unhideWhenUsed/>
    <w:rsid w:val="00B40FAF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rsid w:val="00B40FAF"/>
    <w:rPr>
      <w:rFonts w:ascii="Lucida Grande" w:hAnsi="Lucida Grande"/>
      <w:sz w:val="18"/>
      <w:szCs w:val="18"/>
      <w:lang w:eastAsia="en-US"/>
    </w:rPr>
  </w:style>
  <w:style w:type="character" w:styleId="Zeilennummer">
    <w:name w:val="line number"/>
    <w:basedOn w:val="Absatz-Standardschriftart"/>
    <w:rsid w:val="006C05B5"/>
  </w:style>
  <w:style w:type="paragraph" w:styleId="NurText">
    <w:name w:val="Plain Text"/>
    <w:basedOn w:val="Standard"/>
    <w:link w:val="NurTextZchn"/>
    <w:rsid w:val="00B40FAF"/>
    <w:pPr>
      <w:spacing w:line="360" w:lineRule="auto"/>
    </w:pPr>
    <w:rPr>
      <w:rFonts w:ascii="Times New Roman" w:eastAsia="Times New Roman" w:hAnsi="Times New Roman"/>
      <w:szCs w:val="20"/>
      <w:lang w:val="de-DE" w:eastAsia="de-DE"/>
    </w:rPr>
  </w:style>
  <w:style w:type="character" w:customStyle="1" w:styleId="NurTextZchn">
    <w:name w:val="Nur Text Zchn"/>
    <w:basedOn w:val="Absatz-Standardschriftart"/>
    <w:link w:val="NurText"/>
    <w:rsid w:val="00B40FAF"/>
    <w:rPr>
      <w:rFonts w:ascii="Times New Roman" w:eastAsia="Times New Roman" w:hAnsi="Times New Roman"/>
      <w:sz w:val="24"/>
      <w:lang w:val="de-DE"/>
    </w:rPr>
  </w:style>
  <w:style w:type="paragraph" w:styleId="Kopfzeile">
    <w:name w:val="header"/>
    <w:basedOn w:val="Standard"/>
    <w:link w:val="KopfzeileZchn"/>
    <w:uiPriority w:val="99"/>
    <w:rsid w:val="00B40FAF"/>
    <w:pPr>
      <w:tabs>
        <w:tab w:val="center" w:pos="4703"/>
        <w:tab w:val="right" w:pos="9406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40FAF"/>
    <w:rPr>
      <w:sz w:val="24"/>
      <w:szCs w:val="24"/>
      <w:lang w:eastAsia="en-US"/>
    </w:rPr>
  </w:style>
  <w:style w:type="paragraph" w:styleId="Listenabsatz">
    <w:name w:val="List Paragraph"/>
    <w:basedOn w:val="Standard"/>
    <w:rsid w:val="00B40FAF"/>
    <w:pPr>
      <w:ind w:left="720"/>
      <w:contextualSpacing/>
    </w:pPr>
  </w:style>
  <w:style w:type="paragraph" w:styleId="Beschriftung">
    <w:name w:val="caption"/>
    <w:basedOn w:val="Standard"/>
    <w:next w:val="Standard"/>
    <w:uiPriority w:val="35"/>
    <w:unhideWhenUsed/>
    <w:qFormat/>
    <w:rsid w:val="00B40FAF"/>
    <w:rPr>
      <w:b/>
      <w:bCs/>
      <w:sz w:val="20"/>
      <w:szCs w:val="20"/>
    </w:rPr>
  </w:style>
  <w:style w:type="paragraph" w:styleId="KeinLeerraum">
    <w:name w:val="No Spacing"/>
    <w:link w:val="KeinLeerraumZchn"/>
    <w:uiPriority w:val="1"/>
    <w:qFormat/>
    <w:rsid w:val="00B40FAF"/>
    <w:rPr>
      <w:rFonts w:ascii="Calibri" w:eastAsia="Calibri" w:hAnsi="Calibri"/>
      <w:sz w:val="22"/>
      <w:szCs w:val="22"/>
      <w:lang w:eastAsia="en-US"/>
    </w:rPr>
  </w:style>
  <w:style w:type="character" w:customStyle="1" w:styleId="KeinLeerraumZchn">
    <w:name w:val="Kein Leerraum Zchn"/>
    <w:link w:val="KeinLeerraum"/>
    <w:uiPriority w:val="1"/>
    <w:rsid w:val="00B40FAF"/>
    <w:rPr>
      <w:rFonts w:ascii="Calibri" w:eastAsia="Calibri" w:hAnsi="Calibri"/>
      <w:sz w:val="22"/>
      <w:szCs w:val="22"/>
      <w:lang w:eastAsia="en-US" w:bidi="ar-SA"/>
    </w:rPr>
  </w:style>
  <w:style w:type="paragraph" w:styleId="Verzeichnis1">
    <w:name w:val="toc 1"/>
    <w:basedOn w:val="Standard"/>
    <w:next w:val="Standard"/>
    <w:autoRedefine/>
    <w:uiPriority w:val="39"/>
    <w:unhideWhenUsed/>
    <w:rsid w:val="00B40FAF"/>
    <w:pPr>
      <w:spacing w:before="120"/>
    </w:pPr>
    <w:rPr>
      <w:b/>
    </w:rPr>
  </w:style>
  <w:style w:type="paragraph" w:styleId="Verzeichnis2">
    <w:name w:val="toc 2"/>
    <w:basedOn w:val="Standard"/>
    <w:next w:val="Standard"/>
    <w:autoRedefine/>
    <w:uiPriority w:val="39"/>
    <w:unhideWhenUsed/>
    <w:rsid w:val="00B40FAF"/>
    <w:pPr>
      <w:ind w:left="240"/>
    </w:pPr>
    <w:rPr>
      <w:b/>
      <w:sz w:val="22"/>
      <w:szCs w:val="22"/>
    </w:rPr>
  </w:style>
  <w:style w:type="paragraph" w:styleId="Verzeichnis3">
    <w:name w:val="toc 3"/>
    <w:basedOn w:val="Standard"/>
    <w:next w:val="Standard"/>
    <w:autoRedefine/>
    <w:uiPriority w:val="39"/>
    <w:unhideWhenUsed/>
    <w:rsid w:val="00B40FAF"/>
    <w:pPr>
      <w:ind w:left="480"/>
    </w:pPr>
    <w:rPr>
      <w:sz w:val="22"/>
      <w:szCs w:val="22"/>
    </w:rPr>
  </w:style>
  <w:style w:type="paragraph" w:styleId="Verzeichnis4">
    <w:name w:val="toc 4"/>
    <w:basedOn w:val="Standard"/>
    <w:next w:val="Standard"/>
    <w:autoRedefine/>
    <w:uiPriority w:val="39"/>
    <w:unhideWhenUsed/>
    <w:rsid w:val="00B40FAF"/>
    <w:pPr>
      <w:ind w:left="720"/>
    </w:pPr>
    <w:rPr>
      <w:sz w:val="20"/>
      <w:szCs w:val="20"/>
    </w:rPr>
  </w:style>
  <w:style w:type="paragraph" w:styleId="Verzeichnis5">
    <w:name w:val="toc 5"/>
    <w:basedOn w:val="Standard"/>
    <w:next w:val="Standard"/>
    <w:autoRedefine/>
    <w:uiPriority w:val="39"/>
    <w:unhideWhenUsed/>
    <w:rsid w:val="00B40FAF"/>
    <w:pPr>
      <w:ind w:left="960"/>
    </w:pPr>
    <w:rPr>
      <w:sz w:val="20"/>
      <w:szCs w:val="20"/>
    </w:rPr>
  </w:style>
  <w:style w:type="paragraph" w:styleId="Verzeichnis6">
    <w:name w:val="toc 6"/>
    <w:basedOn w:val="Standard"/>
    <w:next w:val="Standard"/>
    <w:autoRedefine/>
    <w:uiPriority w:val="39"/>
    <w:unhideWhenUsed/>
    <w:rsid w:val="00B40FAF"/>
    <w:pPr>
      <w:ind w:left="1200"/>
    </w:pPr>
    <w:rPr>
      <w:sz w:val="20"/>
      <w:szCs w:val="20"/>
    </w:rPr>
  </w:style>
  <w:style w:type="paragraph" w:styleId="Verzeichnis7">
    <w:name w:val="toc 7"/>
    <w:basedOn w:val="Standard"/>
    <w:next w:val="Standard"/>
    <w:autoRedefine/>
    <w:uiPriority w:val="39"/>
    <w:unhideWhenUsed/>
    <w:rsid w:val="00B40FAF"/>
    <w:pPr>
      <w:ind w:left="1440"/>
    </w:pPr>
    <w:rPr>
      <w:sz w:val="20"/>
      <w:szCs w:val="20"/>
    </w:rPr>
  </w:style>
  <w:style w:type="paragraph" w:styleId="Verzeichnis8">
    <w:name w:val="toc 8"/>
    <w:basedOn w:val="Standard"/>
    <w:next w:val="Standard"/>
    <w:autoRedefine/>
    <w:uiPriority w:val="39"/>
    <w:unhideWhenUsed/>
    <w:rsid w:val="00B40FAF"/>
    <w:pPr>
      <w:ind w:left="1680"/>
    </w:pPr>
    <w:rPr>
      <w:sz w:val="20"/>
      <w:szCs w:val="20"/>
    </w:rPr>
  </w:style>
  <w:style w:type="paragraph" w:styleId="Verzeichnis9">
    <w:name w:val="toc 9"/>
    <w:basedOn w:val="Standard"/>
    <w:next w:val="Standard"/>
    <w:autoRedefine/>
    <w:uiPriority w:val="39"/>
    <w:unhideWhenUsed/>
    <w:rsid w:val="00B40FAF"/>
    <w:pPr>
      <w:ind w:left="1920"/>
    </w:pPr>
    <w:rPr>
      <w:sz w:val="20"/>
      <w:szCs w:val="20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B40FAF"/>
    <w:pPr>
      <w:numPr>
        <w:numId w:val="0"/>
      </w:numPr>
      <w:outlineLvl w:val="9"/>
    </w:pPr>
    <w:rPr>
      <w:rFonts w:ascii="Calibri" w:hAnsi="Calibri"/>
      <w:lang w:eastAsia="de-DE"/>
    </w:rPr>
  </w:style>
  <w:style w:type="character" w:styleId="Hyperlink">
    <w:name w:val="Hyperlink"/>
    <w:basedOn w:val="Absatz-Standardschriftart"/>
    <w:rsid w:val="006C05B5"/>
    <w:rPr>
      <w:color w:val="0000FF" w:themeColor="hyperlink"/>
      <w:u w:val="single"/>
    </w:rPr>
  </w:style>
  <w:style w:type="table" w:styleId="Tabellenraster">
    <w:name w:val="Table Grid"/>
    <w:basedOn w:val="NormaleTabelle"/>
    <w:uiPriority w:val="59"/>
    <w:rsid w:val="00652454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4.tiff"/><Relationship Id="rId18" Type="http://schemas.openxmlformats.org/officeDocument/2006/relationships/image" Target="media/image9.jpeg"/><Relationship Id="rId3" Type="http://schemas.microsoft.com/office/2007/relationships/stylesWithEffects" Target="stylesWithEffects.xml"/><Relationship Id="rId21" Type="http://schemas.openxmlformats.org/officeDocument/2006/relationships/image" Target="media/image11.tiff"/><Relationship Id="rId7" Type="http://schemas.openxmlformats.org/officeDocument/2006/relationships/endnotes" Target="endnotes.xml"/><Relationship Id="rId12" Type="http://schemas.openxmlformats.org/officeDocument/2006/relationships/image" Target="media/image3.tiff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0.tif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footer" Target="footer2.xml"/><Relationship Id="rId19" Type="http://schemas.openxmlformats.org/officeDocument/2006/relationships/chart" Target="charts/chart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tiff"/><Relationship Id="rId22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Macintosh%20HD:Users:makroalgenadmin:Desktop:Sylt_2011:Enzyme_Assays:Corallina_Sylt_NRA_and_CA_PercInitial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de-DE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9301878405452005"/>
          <c:y val="4.5971831882996403E-2"/>
          <c:w val="0.72358238124440377"/>
          <c:h val="0.76664112084373126"/>
        </c:manualLayout>
      </c:layout>
      <c:scatterChart>
        <c:scatterStyle val="lineMarker"/>
        <c:varyColors val="0"/>
        <c:ser>
          <c:idx val="0"/>
          <c:order val="0"/>
          <c:tx>
            <c:strRef>
              <c:f>Tabelle1!$J$25</c:f>
              <c:strCache>
                <c:ptCount val="1"/>
                <c:pt idx="0">
                  <c:v>385 µatm</c:v>
                </c:pt>
              </c:strCache>
            </c:strRef>
          </c:tx>
          <c:spPr>
            <a:ln>
              <a:solidFill>
                <a:schemeClr val="tx1"/>
              </a:solidFill>
            </a:ln>
          </c:spPr>
          <c:marker>
            <c:symbol val="circle"/>
            <c:size val="10"/>
            <c:spPr>
              <a:solidFill>
                <a:srgbClr val="000000"/>
              </a:solidFill>
              <a:ln>
                <a:solidFill>
                  <a:schemeClr val="tx1"/>
                </a:solidFill>
              </a:ln>
            </c:spPr>
          </c:marker>
          <c:errBars>
            <c:errDir val="x"/>
            <c:errBarType val="both"/>
            <c:errValType val="cust"/>
            <c:noEndCap val="1"/>
            <c:plus>
              <c:numRef>
                <c:f>Tabelle1!$K$31</c:f>
                <c:numCache>
                  <c:formatCode>General</c:formatCode>
                  <c:ptCount val="1"/>
                  <c:pt idx="0">
                    <c:v>81.282569999999993</c:v>
                  </c:pt>
                </c:numCache>
              </c:numRef>
            </c:plus>
            <c:minus>
              <c:numRef>
                <c:f>Tabelle1!$K$31</c:f>
                <c:numCache>
                  <c:formatCode>General</c:formatCode>
                  <c:ptCount val="1"/>
                  <c:pt idx="0">
                    <c:v>81.282569999999993</c:v>
                  </c:pt>
                </c:numCache>
              </c:numRef>
            </c:minus>
          </c:errBars>
          <c:errBars>
            <c:errDir val="y"/>
            <c:errBarType val="both"/>
            <c:errValType val="cust"/>
            <c:noEndCap val="1"/>
            <c:plus>
              <c:numRef>
                <c:f>Tabelle1!$L$31</c:f>
                <c:numCache>
                  <c:formatCode>General</c:formatCode>
                  <c:ptCount val="1"/>
                  <c:pt idx="0">
                    <c:v>0.16053138782359705</c:v>
                  </c:pt>
                </c:numCache>
              </c:numRef>
            </c:plus>
            <c:minus>
              <c:numRef>
                <c:f>Tabelle1!$L$31</c:f>
                <c:numCache>
                  <c:formatCode>General</c:formatCode>
                  <c:ptCount val="1"/>
                  <c:pt idx="0">
                    <c:v>0.16053138782359705</c:v>
                  </c:pt>
                </c:numCache>
              </c:numRef>
            </c:minus>
          </c:errBars>
          <c:xVal>
            <c:numRef>
              <c:f>Tabelle1!$K$25</c:f>
              <c:numCache>
                <c:formatCode>General</c:formatCode>
                <c:ptCount val="1"/>
                <c:pt idx="0">
                  <c:v>778.71651699396739</c:v>
                </c:pt>
              </c:numCache>
            </c:numRef>
          </c:xVal>
          <c:yVal>
            <c:numRef>
              <c:f>Tabelle1!$L$25</c:f>
              <c:numCache>
                <c:formatCode>General</c:formatCode>
                <c:ptCount val="1"/>
                <c:pt idx="0">
                  <c:v>1.8375303097735181</c:v>
                </c:pt>
              </c:numCache>
            </c:numRef>
          </c:yVal>
          <c:smooth val="0"/>
        </c:ser>
        <c:ser>
          <c:idx val="1"/>
          <c:order val="1"/>
          <c:tx>
            <c:strRef>
              <c:f>Tabelle1!$J$26</c:f>
              <c:strCache>
                <c:ptCount val="1"/>
                <c:pt idx="0">
                  <c:v>665 µatm</c:v>
                </c:pt>
              </c:strCache>
            </c:strRef>
          </c:tx>
          <c:spPr>
            <a:ln>
              <a:solidFill>
                <a:srgbClr val="000000"/>
              </a:solidFill>
            </a:ln>
          </c:spPr>
          <c:marker>
            <c:symbol val="square"/>
            <c:size val="10"/>
            <c:spPr>
              <a:solidFill>
                <a:srgbClr val="000000"/>
              </a:solidFill>
              <a:ln>
                <a:solidFill>
                  <a:srgbClr val="000000"/>
                </a:solidFill>
              </a:ln>
            </c:spPr>
          </c:marker>
          <c:errBars>
            <c:errDir val="x"/>
            <c:errBarType val="both"/>
            <c:errValType val="cust"/>
            <c:noEndCap val="1"/>
            <c:plus>
              <c:numRef>
                <c:f>Tabelle1!$K$32</c:f>
                <c:numCache>
                  <c:formatCode>General</c:formatCode>
                  <c:ptCount val="1"/>
                  <c:pt idx="0">
                    <c:v>63.630120000000012</c:v>
                  </c:pt>
                </c:numCache>
              </c:numRef>
            </c:plus>
            <c:minus>
              <c:numRef>
                <c:f>Tabelle1!$K$32</c:f>
                <c:numCache>
                  <c:formatCode>General</c:formatCode>
                  <c:ptCount val="1"/>
                  <c:pt idx="0">
                    <c:v>63.630120000000012</c:v>
                  </c:pt>
                </c:numCache>
              </c:numRef>
            </c:minus>
          </c:errBars>
          <c:errBars>
            <c:errDir val="y"/>
            <c:errBarType val="both"/>
            <c:errValType val="cust"/>
            <c:noEndCap val="1"/>
            <c:plus>
              <c:numRef>
                <c:f>Tabelle1!$L$32</c:f>
                <c:numCache>
                  <c:formatCode>General</c:formatCode>
                  <c:ptCount val="1"/>
                  <c:pt idx="0">
                    <c:v>0.30727406993047723</c:v>
                  </c:pt>
                </c:numCache>
              </c:numRef>
            </c:plus>
            <c:minus>
              <c:numRef>
                <c:f>Tabelle1!$L$32</c:f>
                <c:numCache>
                  <c:formatCode>General</c:formatCode>
                  <c:ptCount val="1"/>
                  <c:pt idx="0">
                    <c:v>0.30727406993047723</c:v>
                  </c:pt>
                </c:numCache>
              </c:numRef>
            </c:minus>
          </c:errBars>
          <c:xVal>
            <c:numRef>
              <c:f>Tabelle1!$K$26</c:f>
              <c:numCache>
                <c:formatCode>General</c:formatCode>
                <c:ptCount val="1"/>
                <c:pt idx="0">
                  <c:v>564.79514487327981</c:v>
                </c:pt>
              </c:numCache>
            </c:numRef>
          </c:xVal>
          <c:yVal>
            <c:numRef>
              <c:f>Tabelle1!$L$26</c:f>
              <c:numCache>
                <c:formatCode>General</c:formatCode>
                <c:ptCount val="1"/>
                <c:pt idx="0">
                  <c:v>2.8537229534110287</c:v>
                </c:pt>
              </c:numCache>
            </c:numRef>
          </c:yVal>
          <c:smooth val="0"/>
        </c:ser>
        <c:ser>
          <c:idx val="2"/>
          <c:order val="2"/>
          <c:tx>
            <c:strRef>
              <c:f>Tabelle1!$J$27</c:f>
              <c:strCache>
                <c:ptCount val="1"/>
                <c:pt idx="0">
                  <c:v>1486 µatm</c:v>
                </c:pt>
              </c:strCache>
            </c:strRef>
          </c:tx>
          <c:spPr>
            <a:ln>
              <a:solidFill>
                <a:srgbClr val="000000"/>
              </a:solidFill>
            </a:ln>
          </c:spPr>
          <c:marker>
            <c:symbol val="triangle"/>
            <c:size val="10"/>
            <c:spPr>
              <a:solidFill>
                <a:srgbClr val="000000"/>
              </a:solidFill>
              <a:ln>
                <a:solidFill>
                  <a:srgbClr val="000000"/>
                </a:solidFill>
              </a:ln>
            </c:spPr>
          </c:marker>
          <c:errBars>
            <c:errDir val="x"/>
            <c:errBarType val="both"/>
            <c:errValType val="cust"/>
            <c:noEndCap val="1"/>
            <c:plus>
              <c:numRef>
                <c:f>Tabelle1!$K$33</c:f>
                <c:numCache>
                  <c:formatCode>General</c:formatCode>
                  <c:ptCount val="1"/>
                  <c:pt idx="0">
                    <c:v>107.80386</c:v>
                  </c:pt>
                </c:numCache>
              </c:numRef>
            </c:plus>
            <c:minus>
              <c:numRef>
                <c:f>Tabelle1!$K$33</c:f>
                <c:numCache>
                  <c:formatCode>General</c:formatCode>
                  <c:ptCount val="1"/>
                  <c:pt idx="0">
                    <c:v>107.80386</c:v>
                  </c:pt>
                </c:numCache>
              </c:numRef>
            </c:minus>
          </c:errBars>
          <c:errBars>
            <c:errDir val="y"/>
            <c:errBarType val="both"/>
            <c:errValType val="cust"/>
            <c:noEndCap val="1"/>
            <c:plus>
              <c:numRef>
                <c:f>Tabelle1!$L$33</c:f>
                <c:numCache>
                  <c:formatCode>General</c:formatCode>
                  <c:ptCount val="1"/>
                  <c:pt idx="0">
                    <c:v>0.29252416585275831</c:v>
                  </c:pt>
                </c:numCache>
              </c:numRef>
            </c:plus>
            <c:minus>
              <c:numRef>
                <c:f>Tabelle1!$L$33</c:f>
                <c:numCache>
                  <c:formatCode>General</c:formatCode>
                  <c:ptCount val="1"/>
                  <c:pt idx="0">
                    <c:v>0.29252416585275831</c:v>
                  </c:pt>
                </c:numCache>
              </c:numRef>
            </c:minus>
          </c:errBars>
          <c:xVal>
            <c:numRef>
              <c:f>Tabelle1!$K$27</c:f>
              <c:numCache>
                <c:formatCode>General</c:formatCode>
                <c:ptCount val="1"/>
                <c:pt idx="0">
                  <c:v>291.23958393075009</c:v>
                </c:pt>
              </c:numCache>
            </c:numRef>
          </c:xVal>
          <c:yVal>
            <c:numRef>
              <c:f>Tabelle1!$L$27</c:f>
              <c:numCache>
                <c:formatCode>General</c:formatCode>
                <c:ptCount val="1"/>
                <c:pt idx="0">
                  <c:v>2.6270192324267936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32509056"/>
        <c:axId val="132038656"/>
      </c:scatterChart>
      <c:valAx>
        <c:axId val="132509056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1100"/>
                </a:pPr>
                <a:r>
                  <a:rPr lang="de-DE" sz="1100"/>
                  <a:t>NO</a:t>
                </a:r>
                <a:r>
                  <a:rPr lang="de-DE" sz="1100" baseline="-25000"/>
                  <a:t>3</a:t>
                </a:r>
                <a:r>
                  <a:rPr lang="de-DE" sz="1100" baseline="30000"/>
                  <a:t>-</a:t>
                </a:r>
                <a:r>
                  <a:rPr lang="de-DE" sz="1100"/>
                  <a:t> Uptake Rate (µmol NO</a:t>
                </a:r>
                <a:r>
                  <a:rPr lang="de-DE" sz="1100" baseline="-25000"/>
                  <a:t>3</a:t>
                </a:r>
                <a:r>
                  <a:rPr lang="de-DE" sz="1100" baseline="30000"/>
                  <a:t>-</a:t>
                </a:r>
                <a:r>
                  <a:rPr lang="de-DE" sz="1100"/>
                  <a:t> m</a:t>
                </a:r>
                <a:r>
                  <a:rPr lang="de-DE" sz="1100" baseline="30000"/>
                  <a:t>-2</a:t>
                </a:r>
                <a:r>
                  <a:rPr lang="de-DE" sz="1100"/>
                  <a:t> hr</a:t>
                </a:r>
                <a:r>
                  <a:rPr lang="de-DE" sz="1100" baseline="30000"/>
                  <a:t>-1</a:t>
                </a:r>
                <a:r>
                  <a:rPr lang="de-DE" sz="1100"/>
                  <a:t>)</a:t>
                </a:r>
              </a:p>
            </c:rich>
          </c:tx>
          <c:layout>
            <c:manualLayout>
              <c:xMode val="edge"/>
              <c:yMode val="edge"/>
              <c:x val="0.31214749203846709"/>
              <c:y val="0.90548552741518717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spPr>
          <a:ln>
            <a:solidFill>
              <a:srgbClr val="000000"/>
            </a:solidFill>
          </a:ln>
        </c:spPr>
        <c:crossAx val="132038656"/>
        <c:crosses val="autoZero"/>
        <c:crossBetween val="midCat"/>
      </c:valAx>
      <c:valAx>
        <c:axId val="132038656"/>
        <c:scaling>
          <c:orientation val="minMax"/>
        </c:scaling>
        <c:delete val="0"/>
        <c:axPos val="l"/>
        <c:title>
          <c:tx>
            <c:rich>
              <a:bodyPr/>
              <a:lstStyle/>
              <a:p>
                <a:pPr>
                  <a:defRPr sz="1100"/>
                </a:pPr>
                <a:r>
                  <a:rPr lang="de-DE" sz="1100"/>
                  <a:t>NRA (µmol NO</a:t>
                </a:r>
                <a:r>
                  <a:rPr lang="de-DE" sz="1100" baseline="-25000"/>
                  <a:t>2</a:t>
                </a:r>
                <a:r>
                  <a:rPr lang="de-DE" sz="1100" baseline="30000"/>
                  <a:t>-</a:t>
                </a:r>
                <a:r>
                  <a:rPr lang="de-DE" sz="1100"/>
                  <a:t> g DW</a:t>
                </a:r>
                <a:r>
                  <a:rPr lang="de-DE" sz="1100" baseline="30000"/>
                  <a:t>-1</a:t>
                </a:r>
                <a:r>
                  <a:rPr lang="de-DE" sz="1100"/>
                  <a:t> hr</a:t>
                </a:r>
                <a:r>
                  <a:rPr lang="de-DE" sz="1100" baseline="30000"/>
                  <a:t>-1</a:t>
                </a:r>
                <a:r>
                  <a:rPr lang="de-DE" sz="1100"/>
                  <a:t>)</a:t>
                </a:r>
              </a:p>
            </c:rich>
          </c:tx>
          <c:layout>
            <c:manualLayout>
              <c:xMode val="edge"/>
              <c:yMode val="edge"/>
              <c:x val="4.1666666666666713E-2"/>
              <c:y val="9.028459895902842E-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spPr>
          <a:ln>
            <a:solidFill>
              <a:schemeClr val="tx1"/>
            </a:solidFill>
          </a:ln>
        </c:spPr>
        <c:crossAx val="132509056"/>
        <c:crosses val="autoZero"/>
        <c:crossBetween val="midCat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200" b="0">
          <a:latin typeface="Arial"/>
          <a:cs typeface="Arial"/>
        </a:defRPr>
      </a:pPr>
      <a:endParaRPr lang="de-DE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200</Words>
  <Characters>1261</Characters>
  <Application>Microsoft Office Word</Application>
  <DocSecurity>0</DocSecurity>
  <Lines>10</Lines>
  <Paragraphs>2</Paragraphs>
  <ScaleCrop>false</ScaleCrop>
  <Company>Insitut für Polarökologie</Company>
  <LinksUpToDate>false</LinksUpToDate>
  <CharactersWithSpaces>1459</CharactersWithSpaces>
  <SharedDoc>false</SharedDoc>
  <HLinks>
    <vt:vector size="24" baseType="variant">
      <vt:variant>
        <vt:i4>4980827</vt:i4>
      </vt:variant>
      <vt:variant>
        <vt:i4>41636</vt:i4>
      </vt:variant>
      <vt:variant>
        <vt:i4>1027</vt:i4>
      </vt:variant>
      <vt:variant>
        <vt:i4>1</vt:i4>
      </vt:variant>
      <vt:variant>
        <vt:lpwstr>Temp_over_time</vt:lpwstr>
      </vt:variant>
      <vt:variant>
        <vt:lpwstr/>
      </vt:variant>
      <vt:variant>
        <vt:i4>4194424</vt:i4>
      </vt:variant>
      <vt:variant>
        <vt:i4>41741</vt:i4>
      </vt:variant>
      <vt:variant>
        <vt:i4>1028</vt:i4>
      </vt:variant>
      <vt:variant>
        <vt:i4>1</vt:i4>
      </vt:variant>
      <vt:variant>
        <vt:lpwstr>SW_Nutrients_over_time</vt:lpwstr>
      </vt:variant>
      <vt:variant>
        <vt:lpwstr/>
      </vt:variant>
      <vt:variant>
        <vt:i4>1638406</vt:i4>
      </vt:variant>
      <vt:variant>
        <vt:i4>41994</vt:i4>
      </vt:variant>
      <vt:variant>
        <vt:i4>1029</vt:i4>
      </vt:variant>
      <vt:variant>
        <vt:i4>1</vt:i4>
      </vt:variant>
      <vt:variant>
        <vt:lpwstr>Log_Nut_Uptake_vs_CO21</vt:lpwstr>
      </vt:variant>
      <vt:variant>
        <vt:lpwstr/>
      </vt:variant>
      <vt:variant>
        <vt:i4>3473441</vt:i4>
      </vt:variant>
      <vt:variant>
        <vt:i4>42587</vt:i4>
      </vt:variant>
      <vt:variant>
        <vt:i4>1036</vt:i4>
      </vt:variant>
      <vt:variant>
        <vt:i4>1</vt:i4>
      </vt:variant>
      <vt:variant>
        <vt:lpwstr>NRA_vs_Phosphate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IPÖ Administrator</dc:creator>
  <cp:lastModifiedBy>Schmidt, Barbara</cp:lastModifiedBy>
  <cp:revision>2</cp:revision>
  <cp:lastPrinted>2012-06-11T09:02:00Z</cp:lastPrinted>
  <dcterms:created xsi:type="dcterms:W3CDTF">2013-01-14T09:17:00Z</dcterms:created>
  <dcterms:modified xsi:type="dcterms:W3CDTF">2013-01-14T09:17:00Z</dcterms:modified>
</cp:coreProperties>
</file>