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98BD" w14:textId="1839017C" w:rsidR="000A6660" w:rsidRDefault="000A6660" w:rsidP="000A666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29C989" wp14:editId="651CAD80">
            <wp:extent cx="3200400" cy="609600"/>
            <wp:effectExtent l="0" t="0" r="0" b="0"/>
            <wp:docPr id="5" name="그림 5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A265" w14:textId="77777777" w:rsidR="000A6660" w:rsidRPr="00F40046" w:rsidRDefault="000A6660" w:rsidP="000A6660">
      <w:pPr>
        <w:wordWrap/>
        <w:jc w:val="center"/>
        <w:outlineLvl w:val="0"/>
        <w:rPr>
          <w:sz w:val="24"/>
        </w:rPr>
      </w:pPr>
      <w:r w:rsidRPr="00E54251">
        <w:rPr>
          <w:color w:val="000000" w:themeColor="text1"/>
          <w:sz w:val="24"/>
        </w:rPr>
        <w:t>GEOPHYSICAL</w:t>
      </w:r>
      <w:r>
        <w:rPr>
          <w:sz w:val="24"/>
        </w:rPr>
        <w:t xml:space="preserve"> RESEARCH LETTERS</w:t>
      </w:r>
    </w:p>
    <w:p w14:paraId="2BEAEFC1" w14:textId="77777777" w:rsidR="00E2335E" w:rsidRDefault="00E2335E" w:rsidP="00E2335E">
      <w:pPr>
        <w:spacing w:before="100" w:beforeAutospacing="1" w:after="100" w:afterAutospacing="1"/>
        <w:jc w:val="center"/>
        <w:rPr>
          <w:sz w:val="22"/>
          <w:szCs w:val="22"/>
        </w:rPr>
      </w:pPr>
    </w:p>
    <w:p w14:paraId="215A0237" w14:textId="77777777" w:rsidR="000A6660" w:rsidRDefault="000A6660" w:rsidP="00E2335E">
      <w:pPr>
        <w:spacing w:before="100" w:beforeAutospacing="1" w:after="100" w:afterAutospacing="1"/>
        <w:jc w:val="center"/>
        <w:rPr>
          <w:sz w:val="22"/>
          <w:szCs w:val="22"/>
        </w:rPr>
      </w:pPr>
      <w:r w:rsidRPr="000A6660">
        <w:rPr>
          <w:sz w:val="22"/>
          <w:szCs w:val="22"/>
        </w:rPr>
        <w:t>Supporting Information for</w:t>
      </w:r>
    </w:p>
    <w:p w14:paraId="48299E91" w14:textId="77777777" w:rsidR="000A6660" w:rsidRDefault="000A6660" w:rsidP="000A6660">
      <w:pPr>
        <w:pStyle w:val="ac"/>
        <w:wordWr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Temporal nutrient dynamics </w:t>
      </w:r>
      <w:r w:rsidRPr="0056161A">
        <w:rPr>
          <w:rFonts w:ascii="Times New Roman" w:hAnsi="Times New Roman" w:cs="Times New Roman"/>
          <w:b/>
          <w:sz w:val="32"/>
          <w:szCs w:val="32"/>
        </w:rPr>
        <w:t>in the Mediterranean Sea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FB50719" w14:textId="77777777" w:rsidR="000A6660" w:rsidRPr="0056161A" w:rsidRDefault="000A6660" w:rsidP="000A6660">
      <w:pPr>
        <w:pStyle w:val="ac"/>
        <w:wordWrap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in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response to anthropogenic inputs </w:t>
      </w:r>
    </w:p>
    <w:p w14:paraId="1513BFCD" w14:textId="44388A97" w:rsidR="000A6660" w:rsidRPr="00B77E40" w:rsidRDefault="000A6660" w:rsidP="000A6660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</w:p>
    <w:p w14:paraId="3222EBA9" w14:textId="77777777" w:rsidR="000A6660" w:rsidRDefault="000A6660" w:rsidP="000A6660">
      <w:pPr>
        <w:jc w:val="center"/>
        <w:rPr>
          <w:sz w:val="24"/>
        </w:rPr>
      </w:pPr>
      <w:r>
        <w:rPr>
          <w:sz w:val="24"/>
        </w:rPr>
        <w:t>Ji-Young Moon</w:t>
      </w:r>
      <w:r w:rsidRPr="00F40046">
        <w:rPr>
          <w:sz w:val="24"/>
          <w:vertAlign w:val="superscript"/>
        </w:rPr>
        <w:t>1</w:t>
      </w:r>
      <w:r w:rsidRPr="00F40046">
        <w:rPr>
          <w:sz w:val="24"/>
        </w:rPr>
        <w:t xml:space="preserve">, </w:t>
      </w:r>
    </w:p>
    <w:p w14:paraId="00B78019" w14:textId="77777777" w:rsidR="000A6660" w:rsidRDefault="000A6660" w:rsidP="000A6660">
      <w:pPr>
        <w:jc w:val="center"/>
        <w:rPr>
          <w:sz w:val="24"/>
        </w:rPr>
      </w:pPr>
      <w:r w:rsidRPr="00F40046">
        <w:rPr>
          <w:sz w:val="24"/>
        </w:rPr>
        <w:t>Kitack Lee</w:t>
      </w:r>
      <w:r w:rsidRPr="00F40046">
        <w:rPr>
          <w:sz w:val="24"/>
          <w:vertAlign w:val="superscript"/>
        </w:rPr>
        <w:t>1*</w:t>
      </w:r>
      <w:r>
        <w:rPr>
          <w:sz w:val="24"/>
        </w:rPr>
        <w:t>,</w:t>
      </w:r>
    </w:p>
    <w:p w14:paraId="1ABA006C" w14:textId="77777777" w:rsidR="000A6660" w:rsidRDefault="000A6660" w:rsidP="000A6660">
      <w:pPr>
        <w:jc w:val="center"/>
        <w:rPr>
          <w:bCs/>
          <w:color w:val="000000"/>
          <w:sz w:val="24"/>
          <w:szCs w:val="24"/>
        </w:rPr>
      </w:pPr>
      <w:proofErr w:type="spellStart"/>
      <w:r w:rsidRPr="007E3074">
        <w:rPr>
          <w:bCs/>
          <w:color w:val="000000"/>
          <w:sz w:val="24"/>
          <w:szCs w:val="24"/>
        </w:rPr>
        <w:t>Toste</w:t>
      </w:r>
      <w:proofErr w:type="spellEnd"/>
      <w:r w:rsidRPr="007E3074">
        <w:rPr>
          <w:bCs/>
          <w:color w:val="000000"/>
          <w:sz w:val="24"/>
          <w:szCs w:val="24"/>
        </w:rPr>
        <w:t xml:space="preserve"> Tanhua</w:t>
      </w:r>
      <w:r w:rsidRPr="007E3074">
        <w:rPr>
          <w:bCs/>
          <w:color w:val="000000"/>
          <w:sz w:val="24"/>
          <w:szCs w:val="24"/>
          <w:vertAlign w:val="superscript"/>
        </w:rPr>
        <w:t>2</w:t>
      </w:r>
      <w:r>
        <w:rPr>
          <w:bCs/>
          <w:color w:val="000000"/>
          <w:sz w:val="24"/>
          <w:szCs w:val="24"/>
        </w:rPr>
        <w:t>,</w:t>
      </w:r>
    </w:p>
    <w:p w14:paraId="6CAEF1B2" w14:textId="77777777" w:rsidR="000A6660" w:rsidRPr="00BF3E6A" w:rsidRDefault="000A6660" w:rsidP="000A6660">
      <w:pPr>
        <w:jc w:val="center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Nurit</w:t>
      </w:r>
      <w:proofErr w:type="spellEnd"/>
      <w:r>
        <w:rPr>
          <w:bCs/>
          <w:color w:val="000000"/>
          <w:sz w:val="24"/>
          <w:szCs w:val="24"/>
        </w:rPr>
        <w:t xml:space="preserve"> Kress</w:t>
      </w:r>
      <w:r>
        <w:rPr>
          <w:bCs/>
          <w:color w:val="000000"/>
          <w:sz w:val="24"/>
          <w:szCs w:val="24"/>
          <w:vertAlign w:val="superscript"/>
        </w:rPr>
        <w:t>3</w:t>
      </w:r>
      <w:r>
        <w:rPr>
          <w:bCs/>
          <w:color w:val="000000"/>
          <w:sz w:val="24"/>
          <w:szCs w:val="24"/>
        </w:rPr>
        <w:t>,</w:t>
      </w:r>
    </w:p>
    <w:p w14:paraId="0E7B236E" w14:textId="77777777" w:rsidR="000A6660" w:rsidRDefault="000A6660" w:rsidP="000A6660">
      <w:pPr>
        <w:jc w:val="center"/>
        <w:rPr>
          <w:sz w:val="24"/>
        </w:rPr>
      </w:pPr>
      <w:r>
        <w:rPr>
          <w:sz w:val="24"/>
        </w:rPr>
        <w:t>Il-Nam Kim</w:t>
      </w:r>
      <w:r>
        <w:rPr>
          <w:color w:val="000000" w:themeColor="text1"/>
          <w:sz w:val="24"/>
          <w:vertAlign w:val="superscript"/>
        </w:rPr>
        <w:t>4</w:t>
      </w:r>
      <w:r>
        <w:rPr>
          <w:sz w:val="24"/>
        </w:rPr>
        <w:t xml:space="preserve"> </w:t>
      </w:r>
    </w:p>
    <w:p w14:paraId="250AE218" w14:textId="77777777" w:rsidR="000A6660" w:rsidRPr="00CF0408" w:rsidRDefault="000A6660" w:rsidP="000A6660">
      <w:pPr>
        <w:wordWrap/>
        <w:jc w:val="center"/>
        <w:rPr>
          <w:sz w:val="56"/>
          <w:szCs w:val="56"/>
        </w:rPr>
      </w:pPr>
    </w:p>
    <w:p w14:paraId="2D906FDD" w14:textId="77777777" w:rsidR="000A6660" w:rsidRDefault="000A6660" w:rsidP="000A6660">
      <w:pPr>
        <w:wordWrap/>
        <w:jc w:val="left"/>
        <w:rPr>
          <w:sz w:val="24"/>
        </w:rPr>
      </w:pPr>
      <w:r w:rsidRPr="00F40046">
        <w:rPr>
          <w:sz w:val="24"/>
          <w:vertAlign w:val="superscript"/>
        </w:rPr>
        <w:t>1</w:t>
      </w:r>
      <w:r w:rsidRPr="00F40046">
        <w:rPr>
          <w:sz w:val="24"/>
        </w:rPr>
        <w:t>School of Environmental Sciences and Engineering, POSTECH, Pohang, 790</w:t>
      </w:r>
      <w:r w:rsidRPr="00F40046">
        <w:sym w:font="Symbol" w:char="F02D"/>
      </w:r>
      <w:r>
        <w:rPr>
          <w:sz w:val="24"/>
        </w:rPr>
        <w:t xml:space="preserve">784, </w:t>
      </w:r>
      <w:r w:rsidRPr="00F40046">
        <w:rPr>
          <w:sz w:val="24"/>
        </w:rPr>
        <w:t>Korea.</w:t>
      </w:r>
    </w:p>
    <w:p w14:paraId="19202D28" w14:textId="77777777" w:rsidR="000A6660" w:rsidRDefault="000A6660" w:rsidP="000A6660">
      <w:pPr>
        <w:wordWrap/>
        <w:jc w:val="left"/>
        <w:rPr>
          <w:sz w:val="24"/>
        </w:rPr>
      </w:pPr>
    </w:p>
    <w:p w14:paraId="02711008" w14:textId="77777777" w:rsidR="000A6660" w:rsidRDefault="000A6660" w:rsidP="000A6660">
      <w:pPr>
        <w:ind w:left="240" w:hangingChars="100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 w:rsidRPr="007E3074">
        <w:rPr>
          <w:color w:val="000000"/>
          <w:sz w:val="24"/>
          <w:szCs w:val="24"/>
        </w:rPr>
        <w:t xml:space="preserve">Marine </w:t>
      </w:r>
      <w:proofErr w:type="spellStart"/>
      <w:r w:rsidRPr="007E3074">
        <w:rPr>
          <w:color w:val="000000"/>
          <w:sz w:val="24"/>
          <w:szCs w:val="24"/>
        </w:rPr>
        <w:t>Biogeochemie</w:t>
      </w:r>
      <w:proofErr w:type="spellEnd"/>
      <w:r w:rsidRPr="007E307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GEOMAR Helmholtz Centre for Ocean Research</w:t>
      </w:r>
      <w:r w:rsidRPr="007E3074">
        <w:rPr>
          <w:color w:val="000000"/>
          <w:sz w:val="24"/>
          <w:szCs w:val="24"/>
        </w:rPr>
        <w:t>, Kiel, Germany</w:t>
      </w:r>
    </w:p>
    <w:p w14:paraId="4680B4BC" w14:textId="77777777" w:rsidR="000A6660" w:rsidRDefault="000A6660" w:rsidP="000A6660">
      <w:pPr>
        <w:ind w:left="240" w:hangingChars="100" w:hanging="240"/>
        <w:rPr>
          <w:color w:val="000000"/>
          <w:sz w:val="24"/>
          <w:szCs w:val="24"/>
        </w:rPr>
      </w:pPr>
    </w:p>
    <w:p w14:paraId="52A2621F" w14:textId="77777777" w:rsidR="000A6660" w:rsidRDefault="000A6660" w:rsidP="000A6660">
      <w:pPr>
        <w:wordWrap/>
        <w:jc w:val="left"/>
        <w:rPr>
          <w:sz w:val="24"/>
          <w:szCs w:val="24"/>
        </w:rPr>
      </w:pPr>
      <w:r w:rsidRPr="00BF3E6A">
        <w:rPr>
          <w:sz w:val="24"/>
          <w:szCs w:val="24"/>
          <w:vertAlign w:val="superscript"/>
        </w:rPr>
        <w:t>3</w:t>
      </w:r>
      <w:r w:rsidRPr="00BF3E6A">
        <w:rPr>
          <w:sz w:val="24"/>
          <w:szCs w:val="24"/>
        </w:rPr>
        <w:t>Israel</w:t>
      </w:r>
      <w:r>
        <w:rPr>
          <w:sz w:val="24"/>
          <w:szCs w:val="24"/>
        </w:rPr>
        <w:t xml:space="preserve"> Oceanographic &amp; </w:t>
      </w:r>
      <w:proofErr w:type="spellStart"/>
      <w:r>
        <w:rPr>
          <w:sz w:val="24"/>
          <w:szCs w:val="24"/>
        </w:rPr>
        <w:t>Limnological</w:t>
      </w:r>
      <w:proofErr w:type="spellEnd"/>
      <w:r>
        <w:rPr>
          <w:sz w:val="24"/>
          <w:szCs w:val="24"/>
        </w:rPr>
        <w:t xml:space="preserve"> Res, National Institute of Oceanography, Haifa, Israel</w:t>
      </w:r>
    </w:p>
    <w:p w14:paraId="3A9B173A" w14:textId="77777777" w:rsidR="000A6660" w:rsidRDefault="000A6660" w:rsidP="000A6660">
      <w:pPr>
        <w:wordWrap/>
        <w:jc w:val="left"/>
        <w:rPr>
          <w:sz w:val="24"/>
        </w:rPr>
      </w:pPr>
    </w:p>
    <w:p w14:paraId="6AD6EF59" w14:textId="77777777" w:rsidR="000A6660" w:rsidRDefault="000A6660" w:rsidP="000A6660">
      <w:pPr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  <w:vertAlign w:val="superscript"/>
        </w:rPr>
        <w:t>4</w:t>
      </w:r>
      <w:r w:rsidRPr="00EB6028">
        <w:rPr>
          <w:color w:val="000000" w:themeColor="text1"/>
          <w:sz w:val="24"/>
        </w:rPr>
        <w:t>Department of Marine Science</w:t>
      </w:r>
      <w:r>
        <w:rPr>
          <w:color w:val="000000" w:themeColor="text1"/>
          <w:sz w:val="24"/>
        </w:rPr>
        <w:t>,</w:t>
      </w:r>
      <w:r w:rsidRPr="00EB6028">
        <w:rPr>
          <w:color w:val="000000" w:themeColor="text1"/>
          <w:sz w:val="24"/>
        </w:rPr>
        <w:t xml:space="preserve"> Incheon National University</w:t>
      </w:r>
      <w:r>
        <w:rPr>
          <w:color w:val="000000" w:themeColor="text1"/>
          <w:sz w:val="24"/>
        </w:rPr>
        <w:t>,</w:t>
      </w:r>
      <w:r w:rsidRPr="00EB6028">
        <w:rPr>
          <w:color w:val="000000" w:themeColor="text1"/>
          <w:sz w:val="24"/>
        </w:rPr>
        <w:t xml:space="preserve"> Incheon</w:t>
      </w:r>
      <w:r>
        <w:rPr>
          <w:color w:val="000000" w:themeColor="text1"/>
          <w:sz w:val="24"/>
        </w:rPr>
        <w:t>.</w:t>
      </w:r>
      <w:r w:rsidRPr="00EB6028">
        <w:rPr>
          <w:color w:val="000000" w:themeColor="text1"/>
          <w:sz w:val="24"/>
        </w:rPr>
        <w:t xml:space="preserve"> 22012</w:t>
      </w:r>
      <w:r>
        <w:rPr>
          <w:color w:val="000000" w:themeColor="text1"/>
          <w:sz w:val="24"/>
        </w:rPr>
        <w:t>, Korea.</w:t>
      </w:r>
    </w:p>
    <w:p w14:paraId="52A91D05" w14:textId="77777777" w:rsidR="000A6660" w:rsidRPr="00F40046" w:rsidRDefault="000A6660" w:rsidP="000A6660">
      <w:pPr>
        <w:jc w:val="left"/>
        <w:rPr>
          <w:sz w:val="24"/>
        </w:rPr>
      </w:pPr>
    </w:p>
    <w:p w14:paraId="3CCB340A" w14:textId="77777777" w:rsidR="000A6660" w:rsidRPr="00A04B16" w:rsidRDefault="000A6660" w:rsidP="000A6660">
      <w:pPr>
        <w:wordWrap/>
        <w:jc w:val="left"/>
        <w:rPr>
          <w:sz w:val="96"/>
          <w:szCs w:val="96"/>
        </w:rPr>
      </w:pPr>
    </w:p>
    <w:p w14:paraId="5A983AB3" w14:textId="77777777" w:rsidR="000A6660" w:rsidRPr="00F40046" w:rsidRDefault="000A6660" w:rsidP="000A6660">
      <w:pPr>
        <w:widowControl/>
        <w:wordWrap/>
        <w:autoSpaceDE/>
        <w:autoSpaceDN/>
        <w:rPr>
          <w:sz w:val="24"/>
        </w:rPr>
      </w:pPr>
      <w:r w:rsidRPr="00F40046">
        <w:rPr>
          <w:rFonts w:eastAsia="SimSun"/>
          <w:sz w:val="24"/>
          <w:lang w:eastAsia="zh-CN"/>
        </w:rPr>
        <w:t>*Correspond</w:t>
      </w:r>
      <w:r w:rsidRPr="00F40046">
        <w:rPr>
          <w:sz w:val="24"/>
        </w:rPr>
        <w:t>ence to: Kitack Lee (</w:t>
      </w:r>
      <w:hyperlink r:id="rId8" w:history="1">
        <w:r w:rsidRPr="00F40046">
          <w:rPr>
            <w:rStyle w:val="a3"/>
            <w:sz w:val="24"/>
          </w:rPr>
          <w:t>ktl@postech.ac.kr</w:t>
        </w:r>
      </w:hyperlink>
      <w:r w:rsidRPr="00F40046">
        <w:rPr>
          <w:sz w:val="24"/>
        </w:rPr>
        <w:t>)</w:t>
      </w:r>
    </w:p>
    <w:p w14:paraId="6813C4E6" w14:textId="77777777" w:rsidR="000A6660" w:rsidRDefault="000A6660" w:rsidP="000A666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14:paraId="711545CF" w14:textId="77777777" w:rsidR="00621973" w:rsidRDefault="00621973" w:rsidP="000A666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14:paraId="6B78030B" w14:textId="77777777" w:rsidR="00621973" w:rsidRDefault="00621973" w:rsidP="000A666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14:paraId="5BCD484F" w14:textId="77777777" w:rsidR="00621973" w:rsidRPr="00CE6EAA" w:rsidRDefault="00621973" w:rsidP="000A6660">
      <w:pPr>
        <w:spacing w:before="100" w:beforeAutospacing="1" w:after="100" w:afterAutospacing="1"/>
        <w:jc w:val="center"/>
        <w:rPr>
          <w:rFonts w:ascii="Myriad Pro" w:hAnsi="Myriad Pro" w:hint="eastAsia"/>
          <w:sz w:val="22"/>
          <w:szCs w:val="22"/>
        </w:rPr>
      </w:pPr>
    </w:p>
    <w:p w14:paraId="5975916B" w14:textId="77777777" w:rsidR="000A6660" w:rsidRPr="00621973" w:rsidRDefault="000A6660" w:rsidP="000A6660">
      <w:pPr>
        <w:rPr>
          <w:b/>
          <w:sz w:val="22"/>
        </w:rPr>
      </w:pPr>
      <w:r w:rsidRPr="00621973">
        <w:rPr>
          <w:b/>
          <w:sz w:val="22"/>
        </w:rPr>
        <w:t xml:space="preserve">Contents of this file </w:t>
      </w:r>
    </w:p>
    <w:p w14:paraId="0E58A093" w14:textId="77777777" w:rsidR="000A6660" w:rsidRPr="00621973" w:rsidRDefault="000A6660" w:rsidP="000A6660">
      <w:pPr>
        <w:rPr>
          <w:rFonts w:ascii="Myriad Pro" w:hAnsi="Myriad Pro"/>
          <w:sz w:val="22"/>
        </w:rPr>
      </w:pPr>
    </w:p>
    <w:p w14:paraId="7914CDB0" w14:textId="13F09A09" w:rsidR="000A6660" w:rsidRPr="00621973" w:rsidRDefault="000A6660" w:rsidP="000A6660">
      <w:pPr>
        <w:ind w:left="720"/>
        <w:rPr>
          <w:sz w:val="24"/>
          <w:szCs w:val="22"/>
        </w:rPr>
      </w:pPr>
      <w:r w:rsidRPr="00621973">
        <w:rPr>
          <w:sz w:val="24"/>
          <w:szCs w:val="22"/>
        </w:rPr>
        <w:t>Text S1</w:t>
      </w:r>
    </w:p>
    <w:p w14:paraId="2E23D22C" w14:textId="3BA4E294" w:rsidR="000A6660" w:rsidRPr="00621973" w:rsidRDefault="000A6660" w:rsidP="000A6660">
      <w:pPr>
        <w:ind w:left="720"/>
        <w:rPr>
          <w:sz w:val="24"/>
          <w:szCs w:val="22"/>
        </w:rPr>
      </w:pPr>
      <w:r w:rsidRPr="00621973">
        <w:rPr>
          <w:sz w:val="24"/>
          <w:szCs w:val="22"/>
        </w:rPr>
        <w:t>Figures S1 to S</w:t>
      </w:r>
      <w:r w:rsidRPr="00621973">
        <w:rPr>
          <w:sz w:val="24"/>
          <w:szCs w:val="22"/>
        </w:rPr>
        <w:t>4</w:t>
      </w:r>
    </w:p>
    <w:p w14:paraId="7A8905BC" w14:textId="3302F956" w:rsidR="000A6660" w:rsidRDefault="000A6660" w:rsidP="00C26BDE">
      <w:pPr>
        <w:ind w:left="720"/>
        <w:rPr>
          <w:b/>
          <w:i/>
          <w:color w:val="000000" w:themeColor="text1"/>
          <w:sz w:val="24"/>
          <w:szCs w:val="24"/>
          <w:shd w:val="clear" w:color="auto" w:fill="FFFFFF"/>
        </w:rPr>
      </w:pPr>
      <w:r w:rsidRPr="00621973">
        <w:rPr>
          <w:sz w:val="24"/>
          <w:szCs w:val="22"/>
        </w:rPr>
        <w:t>Tables S1 to S</w:t>
      </w:r>
      <w:r w:rsidRPr="00621973">
        <w:rPr>
          <w:sz w:val="24"/>
          <w:szCs w:val="22"/>
        </w:rPr>
        <w:t>2</w:t>
      </w:r>
      <w:bookmarkStart w:id="0" w:name="_GoBack"/>
      <w:bookmarkEnd w:id="0"/>
      <w:r>
        <w:rPr>
          <w:b/>
          <w:i/>
          <w:color w:val="000000" w:themeColor="text1"/>
          <w:sz w:val="24"/>
          <w:szCs w:val="24"/>
          <w:shd w:val="clear" w:color="auto" w:fill="FFFFFF"/>
        </w:rPr>
        <w:br w:type="page"/>
      </w:r>
    </w:p>
    <w:p w14:paraId="7C466D8C" w14:textId="07BA0C08" w:rsidR="003F09D5" w:rsidRPr="007D28A4" w:rsidRDefault="000A6660" w:rsidP="003F09D5">
      <w:pPr>
        <w:pStyle w:val="a6"/>
        <w:spacing w:line="480" w:lineRule="auto"/>
        <w:ind w:left="0"/>
        <w:jc w:val="left"/>
        <w:rPr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b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Text S1. </w:t>
      </w:r>
      <w:r w:rsidR="003F09D5" w:rsidRPr="007D28A4">
        <w:rPr>
          <w:b/>
          <w:i/>
          <w:color w:val="000000" w:themeColor="text1"/>
          <w:sz w:val="24"/>
          <w:szCs w:val="24"/>
          <w:shd w:val="clear" w:color="auto" w:fill="FFFFFF"/>
        </w:rPr>
        <w:t>Data analysis</w:t>
      </w:r>
    </w:p>
    <w:p w14:paraId="34E590C5" w14:textId="77777777" w:rsidR="003F09D5" w:rsidRDefault="003F09D5" w:rsidP="003F09D5">
      <w:pPr>
        <w:spacing w:line="480" w:lineRule="auto"/>
        <w:ind w:firstLineChars="236" w:firstLine="566"/>
        <w:jc w:val="left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In the Western and Eastern MED, 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the concentrations of N, P, and N</w:t>
      </w:r>
      <w:r w:rsidRPr="007D28A4">
        <w:rPr>
          <w:color w:val="000000" w:themeColor="text1"/>
          <w:sz w:val="24"/>
          <w:szCs w:val="24"/>
          <w:shd w:val="clear" w:color="auto" w:fill="FFFFFF"/>
          <w:vertAlign w:val="superscript"/>
        </w:rPr>
        <w:t>*</w:t>
      </w:r>
      <w:r w:rsidRPr="007D28A4">
        <w:rPr>
          <w:color w:val="000000" w:themeColor="text1"/>
          <w:sz w:val="24"/>
          <w:szCs w:val="24"/>
          <w:shd w:val="clear" w:color="auto" w:fill="FFFFFF"/>
        </w:rPr>
        <w:t xml:space="preserve"> were transformed into the 5-year moving mean values, such that long-term trends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in these parameters could 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easily be discerned, while reducing their short-term variations (&lt; 1 year)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(Figure 1)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5EF982D" w14:textId="36A155CC" w:rsidR="00F34D05" w:rsidRDefault="00EE0AF3" w:rsidP="003F09D5">
      <w:pPr>
        <w:spacing w:line="480" w:lineRule="auto"/>
        <w:ind w:firstLineChars="236" w:firstLine="566"/>
        <w:jc w:val="left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W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>e grouped the N, P, and N</w:t>
      </w:r>
      <w:r w:rsidR="003F09D5" w:rsidRPr="007D28A4">
        <w:rPr>
          <w:color w:val="000000" w:themeColor="text1"/>
          <w:sz w:val="24"/>
          <w:szCs w:val="24"/>
          <w:shd w:val="clear" w:color="auto" w:fill="FFFFFF"/>
          <w:vertAlign w:val="superscript"/>
        </w:rPr>
        <w:t>*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 data into 12 boxed regions (3 boxes in the western basin and 9 boxes in the eastern basin), each </w:t>
      </w:r>
      <w:r w:rsidR="003F09D5" w:rsidRPr="007D28A4">
        <w:rPr>
          <w:color w:val="000000" w:themeColor="text1"/>
          <w:sz w:val="24"/>
          <w:szCs w:val="24"/>
        </w:rPr>
        <w:t>3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° latitude 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sym w:font="Symbol" w:char="F0B4"/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 4° longitude; this size was optimal for providing an appropriate number of data points for assessment of the trends in N, P, and N</w:t>
      </w:r>
      <w:r w:rsidR="003F09D5" w:rsidRPr="007D28A4">
        <w:rPr>
          <w:color w:val="000000" w:themeColor="text1"/>
          <w:sz w:val="24"/>
          <w:szCs w:val="24"/>
          <w:shd w:val="clear" w:color="auto" w:fill="FFFFFF"/>
          <w:vertAlign w:val="superscript"/>
        </w:rPr>
        <w:t>*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3F09D5">
        <w:rPr>
          <w:color w:val="000000" w:themeColor="text1"/>
          <w:sz w:val="24"/>
          <w:szCs w:val="24"/>
          <w:shd w:val="clear" w:color="auto" w:fill="FFFFFF"/>
        </w:rPr>
        <w:t>The significance of the temporal trend found w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ithin each box </w:t>
      </w:r>
      <w:r w:rsidR="003F09D5">
        <w:rPr>
          <w:color w:val="000000" w:themeColor="text1"/>
          <w:sz w:val="24"/>
          <w:szCs w:val="24"/>
          <w:shd w:val="clear" w:color="auto" w:fill="FFFFFF"/>
        </w:rPr>
        <w:t>was evaluated using t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he Student’s </w:t>
      </w:r>
      <w:r w:rsidR="003F09D5" w:rsidRPr="007D28A4">
        <w:rPr>
          <w:i/>
          <w:color w:val="000000" w:themeColor="text1"/>
          <w:sz w:val="24"/>
          <w:szCs w:val="24"/>
          <w:shd w:val="clear" w:color="auto" w:fill="FFFFFF"/>
        </w:rPr>
        <w:t>t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 and Mann-Kendall tests (</w:t>
      </w:r>
      <w:r w:rsidR="003F09D5" w:rsidRPr="007D28A4">
        <w:rPr>
          <w:i/>
          <w:color w:val="000000" w:themeColor="text1"/>
          <w:sz w:val="24"/>
          <w:szCs w:val="24"/>
          <w:shd w:val="clear" w:color="auto" w:fill="FFFFFF"/>
        </w:rPr>
        <w:t>p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 = 0.05) </w:t>
      </w:r>
      <w:r w:rsidR="003F09D5" w:rsidRPr="007D28A4">
        <w:rPr>
          <w:noProof/>
          <w:color w:val="000000" w:themeColor="text1"/>
          <w:sz w:val="24"/>
          <w:szCs w:val="24"/>
        </w:rPr>
        <w:t>[</w:t>
      </w:r>
      <w:r w:rsidR="003F09D5" w:rsidRPr="007D28A4">
        <w:rPr>
          <w:i/>
          <w:noProof/>
          <w:color w:val="000000" w:themeColor="text1"/>
          <w:sz w:val="24"/>
          <w:szCs w:val="24"/>
        </w:rPr>
        <w:t>Mann</w:t>
      </w:r>
      <w:r w:rsidR="003F09D5" w:rsidRPr="007D28A4">
        <w:rPr>
          <w:noProof/>
          <w:color w:val="000000" w:themeColor="text1"/>
          <w:sz w:val="24"/>
          <w:szCs w:val="24"/>
        </w:rPr>
        <w:t xml:space="preserve">, 1945; </w:t>
      </w:r>
      <w:r w:rsidR="003F09D5" w:rsidRPr="007D28A4">
        <w:rPr>
          <w:i/>
          <w:noProof/>
          <w:color w:val="000000" w:themeColor="text1"/>
          <w:sz w:val="24"/>
          <w:szCs w:val="24"/>
        </w:rPr>
        <w:t>Kendall</w:t>
      </w:r>
      <w:r w:rsidR="003F09D5" w:rsidRPr="007D28A4">
        <w:rPr>
          <w:noProof/>
          <w:color w:val="000000" w:themeColor="text1"/>
          <w:sz w:val="24"/>
          <w:szCs w:val="24"/>
        </w:rPr>
        <w:t>, 1990]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>. In particular, the Mann-Kendall test is most</w:t>
      </w:r>
      <w:r w:rsidR="003F09D5" w:rsidRPr="007D28A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suitable for analysis of non-periodically collected data, and is less sensitive to outliers. As a result, this method has commonly been used for analysis of climatological and hydrological datasets </w:t>
      </w:r>
      <w:r w:rsidR="003F09D5" w:rsidRPr="007D28A4">
        <w:rPr>
          <w:noProof/>
          <w:color w:val="000000" w:themeColor="text1"/>
          <w:sz w:val="24"/>
          <w:szCs w:val="24"/>
        </w:rPr>
        <w:t>[</w:t>
      </w:r>
      <w:r w:rsidR="003F09D5" w:rsidRPr="007D28A4">
        <w:rPr>
          <w:i/>
          <w:noProof/>
          <w:color w:val="000000" w:themeColor="text1"/>
          <w:sz w:val="24"/>
          <w:szCs w:val="24"/>
        </w:rPr>
        <w:t xml:space="preserve">Wernand </w:t>
      </w:r>
      <w:r w:rsidR="003F09D5" w:rsidRPr="007D28A4">
        <w:rPr>
          <w:noProof/>
          <w:color w:val="000000" w:themeColor="text1"/>
          <w:sz w:val="24"/>
          <w:szCs w:val="24"/>
        </w:rPr>
        <w:t>et al</w:t>
      </w:r>
      <w:r w:rsidR="003F09D5" w:rsidRPr="007D28A4">
        <w:rPr>
          <w:i/>
          <w:noProof/>
          <w:color w:val="000000" w:themeColor="text1"/>
          <w:sz w:val="24"/>
          <w:szCs w:val="24"/>
        </w:rPr>
        <w:t>.</w:t>
      </w:r>
      <w:r w:rsidR="003F09D5" w:rsidRPr="007D28A4">
        <w:rPr>
          <w:noProof/>
          <w:color w:val="000000" w:themeColor="text1"/>
          <w:sz w:val="24"/>
          <w:szCs w:val="24"/>
        </w:rPr>
        <w:t>, 2013;</w:t>
      </w:r>
      <w:r w:rsidR="003F09D5" w:rsidRPr="007D28A4">
        <w:rPr>
          <w:i/>
          <w:noProof/>
          <w:color w:val="000000" w:themeColor="text1"/>
          <w:sz w:val="24"/>
          <w:szCs w:val="24"/>
        </w:rPr>
        <w:t xml:space="preserve"> Roxy </w:t>
      </w:r>
      <w:r w:rsidR="003F09D5" w:rsidRPr="007D28A4">
        <w:rPr>
          <w:noProof/>
          <w:color w:val="000000" w:themeColor="text1"/>
          <w:sz w:val="24"/>
          <w:szCs w:val="24"/>
        </w:rPr>
        <w:t>et al</w:t>
      </w:r>
      <w:r w:rsidR="003F09D5" w:rsidRPr="007D28A4">
        <w:rPr>
          <w:i/>
          <w:noProof/>
          <w:color w:val="000000" w:themeColor="text1"/>
          <w:sz w:val="24"/>
          <w:szCs w:val="24"/>
        </w:rPr>
        <w:t>.</w:t>
      </w:r>
      <w:r w:rsidR="003F09D5" w:rsidRPr="007D28A4">
        <w:rPr>
          <w:noProof/>
          <w:color w:val="000000" w:themeColor="text1"/>
          <w:sz w:val="24"/>
          <w:szCs w:val="24"/>
        </w:rPr>
        <w:t>, 2015]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>. Linear regression analysis (</w:t>
      </w:r>
      <w:r w:rsidR="003F09D5" w:rsidRPr="007D28A4">
        <w:rPr>
          <w:i/>
          <w:color w:val="000000" w:themeColor="text1"/>
          <w:sz w:val="24"/>
          <w:szCs w:val="24"/>
          <w:shd w:val="clear" w:color="auto" w:fill="FFFFFF"/>
        </w:rPr>
        <w:t>p</w:t>
      </w:r>
      <w:r w:rsidR="003F09D5" w:rsidRPr="007D28A4">
        <w:rPr>
          <w:color w:val="000000" w:themeColor="text1"/>
          <w:sz w:val="24"/>
          <w:szCs w:val="24"/>
          <w:shd w:val="clear" w:color="auto" w:fill="FFFFFF"/>
        </w:rPr>
        <w:t xml:space="preserve"> = 0.05) was used to determine the rate of change in N and P. All statistical analyses stated above were performed in the MATLAB R2015a.</w:t>
      </w:r>
      <w:r w:rsidR="00F34D05">
        <w:rPr>
          <w:color w:val="000000" w:themeColor="text1"/>
          <w:sz w:val="24"/>
          <w:szCs w:val="24"/>
          <w:shd w:val="clear" w:color="auto" w:fill="FFFFFF"/>
        </w:rPr>
        <w:br w:type="page"/>
      </w:r>
    </w:p>
    <w:p w14:paraId="05BACCDA" w14:textId="77777777" w:rsidR="00BD5799" w:rsidRPr="00D56B60" w:rsidRDefault="00BD5799" w:rsidP="00D56B60">
      <w:pPr>
        <w:spacing w:line="480" w:lineRule="auto"/>
        <w:jc w:val="left"/>
        <w:rPr>
          <w:b/>
          <w:sz w:val="28"/>
          <w:szCs w:val="24"/>
        </w:rPr>
      </w:pPr>
      <w:r w:rsidRPr="00D56B60">
        <w:rPr>
          <w:b/>
          <w:sz w:val="24"/>
          <w:szCs w:val="24"/>
        </w:rPr>
        <w:lastRenderedPageBreak/>
        <w:t>Table S1. Literature values of N</w:t>
      </w:r>
      <w:r w:rsidRPr="00D56B60">
        <w:rPr>
          <w:b/>
          <w:sz w:val="24"/>
          <w:szCs w:val="24"/>
          <w:vertAlign w:val="subscript"/>
        </w:rPr>
        <w:t>2</w:t>
      </w:r>
      <w:r w:rsidRPr="00D56B60">
        <w:rPr>
          <w:b/>
          <w:sz w:val="24"/>
          <w:szCs w:val="24"/>
        </w:rPr>
        <w:t xml:space="preserve"> fixation rates reported for the MED Sea. </w:t>
      </w:r>
    </w:p>
    <w:tbl>
      <w:tblPr>
        <w:tblpPr w:leftFromText="142" w:rightFromText="142" w:bottomFromText="284" w:vertAnchor="text" w:horzAnchor="margin" w:tblpXSpec="center" w:tblpY="15"/>
        <w:tblW w:w="10065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1843"/>
        <w:gridCol w:w="3543"/>
        <w:gridCol w:w="993"/>
      </w:tblGrid>
      <w:tr w:rsidR="00BD5799" w:rsidRPr="00325ABB" w14:paraId="6D8FC4CB" w14:textId="77777777" w:rsidTr="00712A82">
        <w:trPr>
          <w:trHeight w:hRule="exact" w:val="397"/>
          <w:jc w:val="center"/>
        </w:trPr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16BFC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S</w:t>
            </w:r>
            <w:r w:rsidRPr="00EE56B3">
              <w:rPr>
                <w:sz w:val="22"/>
                <w:szCs w:val="22"/>
              </w:rPr>
              <w:t>ampling site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0A88381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Sampling period</w:t>
            </w:r>
          </w:p>
        </w:tc>
        <w:tc>
          <w:tcPr>
            <w:tcW w:w="35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9C759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N</w:t>
            </w:r>
            <w:r w:rsidRPr="00EE56B3">
              <w:rPr>
                <w:sz w:val="22"/>
                <w:szCs w:val="22"/>
                <w:vertAlign w:val="subscript"/>
              </w:rPr>
              <w:t>2</w:t>
            </w:r>
            <w:r w:rsidRPr="00EE56B3">
              <w:rPr>
                <w:sz w:val="22"/>
                <w:szCs w:val="22"/>
              </w:rPr>
              <w:t xml:space="preserve"> fixation rate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nmol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N∙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 w:rsidRPr="00EE56B3">
              <w:rPr>
                <w:rFonts w:hint="eastAsia"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6F19938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Reference</w:t>
            </w:r>
          </w:p>
        </w:tc>
      </w:tr>
      <w:tr w:rsidR="00BD5799" w:rsidRPr="00325ABB" w14:paraId="1D716DE3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D9C94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Western Mediterranean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CA4EB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FAC5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3A02EE01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BD5799" w:rsidRPr="00325ABB" w14:paraId="19359088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168EB" w14:textId="77777777" w:rsidR="00BD5799" w:rsidRPr="00EE56B3" w:rsidRDefault="00BD5799" w:rsidP="00712A82">
            <w:pPr>
              <w:spacing w:line="480" w:lineRule="auto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DYFAMED station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72D5D7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03/2003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10/2004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2641B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2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1475932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a</w:t>
            </w:r>
          </w:p>
        </w:tc>
      </w:tr>
      <w:tr w:rsidR="00BD5799" w:rsidRPr="00325ABB" w14:paraId="7EFC8A7B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6822E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DYFAMED station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CF13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</w:t>
            </w:r>
            <w:r w:rsidRPr="00EE56B3">
              <w:rPr>
                <w:sz w:val="22"/>
                <w:szCs w:val="22"/>
              </w:rPr>
              <w:t>1</w:t>
            </w:r>
            <w:r w:rsidRPr="00EE56B3">
              <w:rPr>
                <w:rFonts w:hint="eastAsia"/>
                <w:sz w:val="22"/>
                <w:szCs w:val="22"/>
              </w:rPr>
              <w:t>/2004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sz w:val="22"/>
                <w:szCs w:val="22"/>
              </w:rPr>
              <w:t>10</w:t>
            </w:r>
            <w:r w:rsidRPr="00EE56B3">
              <w:rPr>
                <w:rFonts w:hint="eastAsia"/>
                <w:sz w:val="22"/>
                <w:szCs w:val="22"/>
              </w:rPr>
              <w:t>/2004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E5793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2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434C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b</w:t>
            </w:r>
          </w:p>
        </w:tc>
      </w:tr>
      <w:tr w:rsidR="00BD5799" w:rsidRPr="00325ABB" w14:paraId="59215B45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999A7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Northwestern Mediterranean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87702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0</w:t>
            </w:r>
            <w:r w:rsidRPr="00EE56B3">
              <w:rPr>
                <w:rFonts w:hint="eastAsia"/>
                <w:sz w:val="22"/>
                <w:szCs w:val="22"/>
              </w:rPr>
              <w:t>9/2004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sz w:val="22"/>
                <w:szCs w:val="22"/>
              </w:rPr>
              <w:t>10/2004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A4B4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0FC1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c</w:t>
            </w:r>
          </w:p>
        </w:tc>
      </w:tr>
      <w:tr w:rsidR="00BD5799" w:rsidRPr="00325ABB" w14:paraId="60A1E1B8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73F27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B</w:t>
            </w:r>
            <w:r w:rsidRPr="00EE56B3">
              <w:rPr>
                <w:sz w:val="22"/>
                <w:szCs w:val="22"/>
              </w:rPr>
              <w:t>OUM stations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EBA3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06/2008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07/2008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BDF20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</w:t>
            </w:r>
            <w:r w:rsidRPr="00EE56B3">
              <w:rPr>
                <w:sz w:val="22"/>
                <w:szCs w:val="22"/>
              </w:rPr>
              <w:t>43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± </m:t>
              </m:r>
            </m:oMath>
            <w:r w:rsidRPr="00EE56B3">
              <w:rPr>
                <w:rFonts w:hint="eastAsia"/>
                <w:sz w:val="22"/>
                <w:szCs w:val="22"/>
              </w:rPr>
              <w:t>0.</w:t>
            </w:r>
            <w:r w:rsidRPr="00EE56B3">
              <w:rPr>
                <w:sz w:val="22"/>
                <w:szCs w:val="22"/>
              </w:rPr>
              <w:t>33</w:t>
            </w:r>
          </w:p>
          <w:p w14:paraId="19EB991B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6969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d</w:t>
            </w:r>
          </w:p>
        </w:tc>
      </w:tr>
      <w:tr w:rsidR="00BD5799" w:rsidRPr="00325ABB" w14:paraId="62343EEE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D445C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BOUM station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4423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06/2008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07/2008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CBB5B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EC4C33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e</w:t>
            </w:r>
          </w:p>
        </w:tc>
      </w:tr>
      <w:tr w:rsidR="00BD5799" w:rsidRPr="00325ABB" w14:paraId="5E69C7BD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F1ACA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Eastern Mediterranean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36132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47C47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2083B7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BD5799" w:rsidRPr="00325ABB" w14:paraId="5096CCF0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089B6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O</w:t>
            </w:r>
            <w:r w:rsidRPr="00EE56B3">
              <w:rPr>
                <w:rFonts w:hint="eastAsia"/>
                <w:sz w:val="22"/>
                <w:szCs w:val="22"/>
              </w:rPr>
              <w:t>ff-</w:t>
            </w:r>
            <w:r w:rsidRPr="00EE56B3">
              <w:rPr>
                <w:sz w:val="22"/>
                <w:szCs w:val="22"/>
              </w:rPr>
              <w:t>shelf Israeli stations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FBBB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01/2006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11/2007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E263CD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~0.13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B25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g</w:t>
            </w:r>
          </w:p>
        </w:tc>
      </w:tr>
      <w:tr w:rsidR="00BD5799" w:rsidRPr="00325ABB" w14:paraId="4876089B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0F8A4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O</w:t>
            </w:r>
            <w:r w:rsidRPr="00EE56B3">
              <w:rPr>
                <w:rFonts w:hint="eastAsia"/>
                <w:sz w:val="22"/>
                <w:szCs w:val="22"/>
              </w:rPr>
              <w:t>ff-</w:t>
            </w:r>
            <w:r w:rsidRPr="00EE56B3">
              <w:rPr>
                <w:sz w:val="22"/>
                <w:szCs w:val="22"/>
              </w:rPr>
              <w:t>shelf Israeli stations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F832C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06/2006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05/2007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A7EF6D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0.4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8E42B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h</w:t>
            </w:r>
          </w:p>
        </w:tc>
      </w:tr>
      <w:tr w:rsidR="00BD5799" w:rsidRPr="00325ABB" w14:paraId="75810BA8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50AFB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 xml:space="preserve">BOUM </w:t>
            </w:r>
            <w:r w:rsidRPr="00EE56B3">
              <w:rPr>
                <w:sz w:val="22"/>
                <w:szCs w:val="22"/>
              </w:rPr>
              <w:t>stations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335DE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06/2008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07/2008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67B10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</w:t>
            </w:r>
            <w:r w:rsidRPr="00EE56B3">
              <w:rPr>
                <w:sz w:val="22"/>
                <w:szCs w:val="22"/>
              </w:rPr>
              <w:t>63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± </m:t>
              </m:r>
            </m:oMath>
            <w:r w:rsidRPr="00EE56B3">
              <w:rPr>
                <w:rFonts w:hint="eastAsia"/>
                <w:sz w:val="22"/>
                <w:szCs w:val="22"/>
              </w:rPr>
              <w:t>0.</w:t>
            </w:r>
            <w:r w:rsidRPr="00EE56B3">
              <w:rPr>
                <w:sz w:val="22"/>
                <w:szCs w:val="22"/>
              </w:rPr>
              <w:t>45</w:t>
            </w:r>
          </w:p>
          <w:p w14:paraId="238BE07E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06C8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BD5799" w:rsidRPr="00325ABB" w14:paraId="0C9059BC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92689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T</w:t>
            </w:r>
            <w:r w:rsidRPr="00EE56B3">
              <w:rPr>
                <w:rFonts w:hint="eastAsia"/>
                <w:sz w:val="22"/>
                <w:szCs w:val="22"/>
              </w:rPr>
              <w:t xml:space="preserve">he </w:t>
            </w:r>
            <w:proofErr w:type="spellStart"/>
            <w:r w:rsidRPr="00EE56B3">
              <w:rPr>
                <w:sz w:val="22"/>
                <w:szCs w:val="22"/>
              </w:rPr>
              <w:t>Shikmona</w:t>
            </w:r>
            <w:proofErr w:type="spellEnd"/>
            <w:r w:rsidRPr="00EE56B3">
              <w:rPr>
                <w:sz w:val="22"/>
                <w:szCs w:val="22"/>
              </w:rPr>
              <w:t xml:space="preserve"> Eddy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8555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09/2008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0043D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~0.03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F731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g</w:t>
            </w:r>
          </w:p>
        </w:tc>
      </w:tr>
      <w:tr w:rsidR="00BD5799" w:rsidRPr="00325ABB" w14:paraId="515D43EE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CF4350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T</w:t>
            </w:r>
            <w:r w:rsidRPr="00EE56B3">
              <w:rPr>
                <w:rFonts w:hint="eastAsia"/>
                <w:sz w:val="22"/>
                <w:szCs w:val="22"/>
              </w:rPr>
              <w:t xml:space="preserve">he </w:t>
            </w:r>
            <w:proofErr w:type="spellStart"/>
            <w:r w:rsidRPr="00EE56B3">
              <w:rPr>
                <w:sz w:val="22"/>
                <w:szCs w:val="22"/>
              </w:rPr>
              <w:t>Shikmona</w:t>
            </w:r>
            <w:proofErr w:type="spellEnd"/>
            <w:r w:rsidRPr="00EE56B3">
              <w:rPr>
                <w:sz w:val="22"/>
                <w:szCs w:val="22"/>
              </w:rPr>
              <w:t xml:space="preserve"> Eddy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60883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07/2009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16920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~0.15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BACD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g</w:t>
            </w:r>
          </w:p>
        </w:tc>
      </w:tr>
      <w:tr w:rsidR="00BD5799" w:rsidRPr="00325ABB" w14:paraId="7846ED3F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3EC3D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 xml:space="preserve">BOUM station (in the </w:t>
            </w:r>
            <w:proofErr w:type="spellStart"/>
            <w:r w:rsidRPr="00EE56B3">
              <w:rPr>
                <w:rFonts w:hint="eastAsia"/>
                <w:sz w:val="22"/>
                <w:szCs w:val="22"/>
              </w:rPr>
              <w:t>Ionican</w:t>
            </w:r>
            <w:proofErr w:type="spellEnd"/>
            <w:r w:rsidRPr="00EE56B3">
              <w:rPr>
                <w:rFonts w:hint="eastAsia"/>
                <w:sz w:val="22"/>
                <w:szCs w:val="22"/>
              </w:rPr>
              <w:t xml:space="preserve"> S</w:t>
            </w:r>
            <w:r w:rsidRPr="00EE56B3">
              <w:rPr>
                <w:sz w:val="22"/>
                <w:szCs w:val="22"/>
              </w:rPr>
              <w:t>e</w:t>
            </w:r>
            <w:r w:rsidRPr="00EE56B3">
              <w:rPr>
                <w:rFonts w:hint="eastAsia"/>
                <w:sz w:val="22"/>
                <w:szCs w:val="22"/>
              </w:rPr>
              <w:t>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A8D6A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06/2008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07/2008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010A0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90E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e</w:t>
            </w:r>
          </w:p>
        </w:tc>
      </w:tr>
      <w:tr w:rsidR="00BD5799" w:rsidRPr="00325ABB" w14:paraId="447E6456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89494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BOUM stations</w:t>
            </w:r>
            <w:r w:rsidRPr="00EE56B3">
              <w:rPr>
                <w:sz w:val="22"/>
                <w:szCs w:val="22"/>
              </w:rPr>
              <w:t xml:space="preserve"> (in the Levantine Sea)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8D3F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06/2008</w:t>
            </w:r>
            <w:r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–</w:t>
            </w:r>
            <w:r w:rsidRPr="00EE56B3">
              <w:rPr>
                <w:rFonts w:hint="eastAsia"/>
                <w:sz w:val="22"/>
                <w:szCs w:val="22"/>
              </w:rPr>
              <w:t>07/2008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9BC7E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312C54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sz w:val="22"/>
                <w:szCs w:val="22"/>
              </w:rPr>
              <w:t>e</w:t>
            </w:r>
          </w:p>
        </w:tc>
      </w:tr>
      <w:tr w:rsidR="00BD5799" w:rsidRPr="00325ABB" w14:paraId="1C180222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C1E92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Entire Mediterranean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D8D0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7EBAF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C95D9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BD5799" w:rsidRPr="00325ABB" w14:paraId="74BF7D7A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6A67F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TRANSMED</w:t>
            </w:r>
            <w:r w:rsidRPr="00EE56B3">
              <w:rPr>
                <w:sz w:val="22"/>
                <w:szCs w:val="22"/>
              </w:rPr>
              <w:t xml:space="preserve"> stations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E2F4D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05/2007-07/2007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97CA8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E56B3">
              <w:rPr>
                <w:rFonts w:hint="eastAsia"/>
                <w:sz w:val="22"/>
                <w:szCs w:val="22"/>
              </w:rPr>
              <w:t>0.052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± </m:t>
              </m:r>
            </m:oMath>
            <w:r w:rsidRPr="00EE56B3">
              <w:rPr>
                <w:rFonts w:hint="eastAsia"/>
                <w:sz w:val="22"/>
                <w:szCs w:val="22"/>
              </w:rPr>
              <w:t>0.031</w:t>
            </w:r>
          </w:p>
          <w:p w14:paraId="2AE01126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FEA9A8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proofErr w:type="spellStart"/>
            <w:r w:rsidRPr="00EE56B3">
              <w:rPr>
                <w:sz w:val="22"/>
                <w:szCs w:val="22"/>
              </w:rPr>
              <w:t>i</w:t>
            </w:r>
            <w:proofErr w:type="spellEnd"/>
          </w:p>
        </w:tc>
      </w:tr>
      <w:tr w:rsidR="00BD5799" w:rsidRPr="00325ABB" w14:paraId="6B106A4C" w14:textId="77777777" w:rsidTr="00712A82">
        <w:trPr>
          <w:trHeight w:hRule="exact" w:val="340"/>
          <w:jc w:val="center"/>
        </w:trPr>
        <w:tc>
          <w:tcPr>
            <w:tcW w:w="36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D9D70" w14:textId="77777777" w:rsidR="00BD5799" w:rsidRPr="00EE56B3" w:rsidRDefault="00BD5799" w:rsidP="00712A82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M84/3 stations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DD61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04/2011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AE255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0.1-2.35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E9B6A3" w14:textId="77777777" w:rsidR="00BD5799" w:rsidRPr="00EE56B3" w:rsidRDefault="00BD5799" w:rsidP="00712A82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</w:t>
            </w:r>
          </w:p>
        </w:tc>
      </w:tr>
    </w:tbl>
    <w:p w14:paraId="6FCAD2B4" w14:textId="77777777" w:rsidR="00D5713D" w:rsidRDefault="00BD5799" w:rsidP="00BD5799">
      <w:pPr>
        <w:pStyle w:val="a6"/>
        <w:spacing w:line="480" w:lineRule="auto"/>
        <w:ind w:left="0"/>
        <w:jc w:val="left"/>
        <w:rPr>
          <w:noProof/>
          <w:sz w:val="22"/>
        </w:rPr>
      </w:pPr>
      <w:r w:rsidRPr="006A08FC">
        <w:rPr>
          <w:noProof/>
          <w:sz w:val="22"/>
          <w:szCs w:val="24"/>
        </w:rPr>
        <w:t>(a)</w:t>
      </w:r>
      <w:r>
        <w:rPr>
          <w:i/>
          <w:noProof/>
          <w:sz w:val="22"/>
          <w:szCs w:val="24"/>
        </w:rPr>
        <w:t xml:space="preserve"> </w:t>
      </w:r>
      <w:r w:rsidRPr="00E92049">
        <w:rPr>
          <w:i/>
          <w:noProof/>
          <w:sz w:val="22"/>
          <w:szCs w:val="24"/>
        </w:rPr>
        <w:t>Garcia et al.</w:t>
      </w:r>
      <w:r w:rsidRPr="00E92049">
        <w:rPr>
          <w:noProof/>
          <w:sz w:val="22"/>
          <w:szCs w:val="24"/>
        </w:rPr>
        <w:t>, 2006</w:t>
      </w:r>
      <w:r w:rsidRPr="00EE56B3">
        <w:rPr>
          <w:sz w:val="22"/>
          <w:szCs w:val="22"/>
        </w:rPr>
        <w:t xml:space="preserve">. (b) </w:t>
      </w:r>
      <w:r w:rsidRPr="00E92049">
        <w:rPr>
          <w:i/>
          <w:noProof/>
          <w:sz w:val="22"/>
          <w:szCs w:val="22"/>
        </w:rPr>
        <w:t>Sandroni et al.</w:t>
      </w:r>
      <w:r w:rsidRPr="00E92049">
        <w:rPr>
          <w:noProof/>
          <w:sz w:val="22"/>
          <w:szCs w:val="22"/>
        </w:rPr>
        <w:t>, 2007</w:t>
      </w:r>
      <w:r w:rsidRPr="00EE56B3">
        <w:rPr>
          <w:sz w:val="22"/>
          <w:szCs w:val="22"/>
        </w:rPr>
        <w:t xml:space="preserve">. (c) </w:t>
      </w:r>
      <w:r w:rsidRPr="00E92049">
        <w:rPr>
          <w:i/>
          <w:noProof/>
          <w:sz w:val="22"/>
        </w:rPr>
        <w:t>Marty et al.</w:t>
      </w:r>
      <w:r>
        <w:rPr>
          <w:noProof/>
          <w:sz w:val="22"/>
        </w:rPr>
        <w:t>, 2008</w:t>
      </w:r>
      <w:r w:rsidRPr="00EE56B3">
        <w:rPr>
          <w:sz w:val="22"/>
          <w:szCs w:val="22"/>
        </w:rPr>
        <w:t xml:space="preserve">. </w:t>
      </w:r>
      <w:r w:rsidRPr="00652F35">
        <w:rPr>
          <w:sz w:val="22"/>
          <w:szCs w:val="22"/>
        </w:rPr>
        <w:t xml:space="preserve">(d) </w:t>
      </w:r>
      <w:r w:rsidRPr="00652F35">
        <w:rPr>
          <w:i/>
          <w:noProof/>
          <w:sz w:val="22"/>
        </w:rPr>
        <w:t>Bonnet et al.</w:t>
      </w:r>
      <w:r w:rsidRPr="00652F35">
        <w:rPr>
          <w:noProof/>
          <w:sz w:val="22"/>
        </w:rPr>
        <w:t>, 2011</w:t>
      </w:r>
      <w:r w:rsidRPr="00652F35">
        <w:rPr>
          <w:sz w:val="22"/>
          <w:szCs w:val="22"/>
        </w:rPr>
        <w:t xml:space="preserve">. (e) </w:t>
      </w:r>
      <w:r w:rsidRPr="00652F35">
        <w:rPr>
          <w:i/>
          <w:noProof/>
          <w:sz w:val="22"/>
        </w:rPr>
        <w:t>Ridame et al.</w:t>
      </w:r>
      <w:r w:rsidRPr="00652F35">
        <w:rPr>
          <w:noProof/>
          <w:sz w:val="22"/>
        </w:rPr>
        <w:t>, 2011</w:t>
      </w:r>
      <w:r>
        <w:rPr>
          <w:sz w:val="22"/>
          <w:szCs w:val="22"/>
        </w:rPr>
        <w:t xml:space="preserve">. </w:t>
      </w:r>
      <w:r w:rsidRPr="00EE56B3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EE56B3">
        <w:rPr>
          <w:sz w:val="22"/>
          <w:szCs w:val="22"/>
        </w:rPr>
        <w:t xml:space="preserve">) </w:t>
      </w:r>
      <w:r w:rsidRPr="00E92049">
        <w:rPr>
          <w:i/>
          <w:noProof/>
          <w:sz w:val="22"/>
        </w:rPr>
        <w:t>Yogev et al.</w:t>
      </w:r>
      <w:r>
        <w:rPr>
          <w:noProof/>
          <w:sz w:val="22"/>
        </w:rPr>
        <w:t>, 2011</w:t>
      </w:r>
      <w:r w:rsidRPr="00EE56B3">
        <w:rPr>
          <w:sz w:val="22"/>
          <w:szCs w:val="22"/>
        </w:rPr>
        <w:t>. (</w:t>
      </w:r>
      <w:r>
        <w:rPr>
          <w:sz w:val="22"/>
          <w:szCs w:val="22"/>
        </w:rPr>
        <w:t>g</w:t>
      </w:r>
      <w:r w:rsidRPr="00EE56B3">
        <w:rPr>
          <w:sz w:val="22"/>
          <w:szCs w:val="22"/>
        </w:rPr>
        <w:t xml:space="preserve">) </w:t>
      </w:r>
      <w:r w:rsidRPr="00E92049">
        <w:rPr>
          <w:i/>
          <w:noProof/>
          <w:sz w:val="22"/>
        </w:rPr>
        <w:t>Zeev et al.</w:t>
      </w:r>
      <w:r>
        <w:rPr>
          <w:noProof/>
          <w:sz w:val="22"/>
        </w:rPr>
        <w:t>, 2008</w:t>
      </w:r>
      <w:r w:rsidRPr="00EE56B3">
        <w:rPr>
          <w:sz w:val="22"/>
          <w:szCs w:val="22"/>
        </w:rPr>
        <w:t>. The N</w:t>
      </w:r>
      <w:r w:rsidRPr="00EE56B3">
        <w:rPr>
          <w:sz w:val="22"/>
          <w:szCs w:val="22"/>
          <w:vertAlign w:val="subscript"/>
        </w:rPr>
        <w:t>2</w:t>
      </w:r>
      <w:r w:rsidRPr="00EE56B3">
        <w:rPr>
          <w:sz w:val="22"/>
          <w:szCs w:val="22"/>
        </w:rPr>
        <w:t xml:space="preserve"> fixation rate is derived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&gt;1μm</m:t>
        </m:r>
      </m:oMath>
      <w:r w:rsidRPr="00EE56B3">
        <w:rPr>
          <w:sz w:val="22"/>
          <w:szCs w:val="22"/>
        </w:rPr>
        <w:t xml:space="preserve"> size fraction. (</w:t>
      </w:r>
      <w:r>
        <w:rPr>
          <w:sz w:val="22"/>
          <w:szCs w:val="22"/>
        </w:rPr>
        <w:t>h</w:t>
      </w:r>
      <w:r w:rsidRPr="00EE56B3">
        <w:rPr>
          <w:sz w:val="22"/>
          <w:szCs w:val="22"/>
        </w:rPr>
        <w:t xml:space="preserve">) </w:t>
      </w:r>
      <w:r w:rsidRPr="00E92049">
        <w:rPr>
          <w:i/>
          <w:noProof/>
          <w:sz w:val="22"/>
        </w:rPr>
        <w:t>Ibello et al.</w:t>
      </w:r>
      <w:r>
        <w:rPr>
          <w:noProof/>
          <w:sz w:val="22"/>
        </w:rPr>
        <w:t>, 2010</w:t>
      </w:r>
      <w:r w:rsidRPr="00EE56B3"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i</w:t>
      </w:r>
      <w:proofErr w:type="spellEnd"/>
      <w:r w:rsidRPr="00EE56B3">
        <w:rPr>
          <w:sz w:val="22"/>
          <w:szCs w:val="22"/>
        </w:rPr>
        <w:t xml:space="preserve">) </w:t>
      </w:r>
      <w:r w:rsidRPr="00E92049">
        <w:rPr>
          <w:i/>
          <w:noProof/>
          <w:sz w:val="22"/>
        </w:rPr>
        <w:t>Rahav et al.</w:t>
      </w:r>
      <w:r>
        <w:rPr>
          <w:noProof/>
          <w:sz w:val="22"/>
        </w:rPr>
        <w:t>, 2013.</w:t>
      </w:r>
    </w:p>
    <w:p w14:paraId="53022F36" w14:textId="77777777" w:rsidR="00D5713D" w:rsidRDefault="00D5713D">
      <w:pPr>
        <w:widowControl/>
        <w:wordWrap/>
        <w:autoSpaceDE/>
        <w:autoSpaceDN/>
        <w:spacing w:after="160" w:line="259" w:lineRule="auto"/>
        <w:rPr>
          <w:noProof/>
          <w:sz w:val="22"/>
        </w:rPr>
      </w:pPr>
      <w:r>
        <w:rPr>
          <w:noProof/>
          <w:sz w:val="22"/>
        </w:rPr>
        <w:br w:type="page"/>
      </w:r>
    </w:p>
    <w:p w14:paraId="15DA1325" w14:textId="77777777" w:rsidR="00D5713D" w:rsidRPr="00D5713D" w:rsidRDefault="00D5713D" w:rsidP="00D5713D">
      <w:pPr>
        <w:jc w:val="left"/>
        <w:outlineLvl w:val="0"/>
        <w:rPr>
          <w:iCs/>
          <w:color w:val="000000" w:themeColor="text1"/>
          <w:sz w:val="24"/>
          <w:szCs w:val="24"/>
          <w:shd w:val="clear" w:color="auto" w:fill="FFFFFF"/>
        </w:rPr>
      </w:pPr>
      <w:r w:rsidRPr="00D5713D">
        <w:rPr>
          <w:b/>
          <w:color w:val="000000" w:themeColor="text1"/>
          <w:sz w:val="24"/>
        </w:rPr>
        <w:lastRenderedPageBreak/>
        <w:t xml:space="preserve">Table </w:t>
      </w:r>
      <w:r>
        <w:rPr>
          <w:b/>
          <w:color w:val="000000" w:themeColor="text1"/>
          <w:sz w:val="24"/>
        </w:rPr>
        <w:t>S</w:t>
      </w:r>
      <w:r w:rsidRPr="00D5713D">
        <w:rPr>
          <w:b/>
          <w:color w:val="000000" w:themeColor="text1"/>
          <w:sz w:val="24"/>
        </w:rPr>
        <w:t>2. The rate of increase in the N inventory in the Mediterranean (MED) intermediate layer (200</w:t>
      </w:r>
      <w:r w:rsidRPr="00D5713D">
        <w:rPr>
          <w:iCs/>
          <w:color w:val="000000" w:themeColor="text1"/>
          <w:sz w:val="22"/>
          <w:szCs w:val="22"/>
          <w:shd w:val="clear" w:color="auto" w:fill="FFFFFF"/>
        </w:rPr>
        <w:t>–</w:t>
      </w:r>
      <w:r w:rsidRPr="00D5713D">
        <w:rPr>
          <w:b/>
          <w:color w:val="000000" w:themeColor="text1"/>
          <w:sz w:val="24"/>
        </w:rPr>
        <w:t xml:space="preserve">600 m) compared with the magnitude of atmospheric and riverine nitrogen inputs. </w:t>
      </w:r>
    </w:p>
    <w:p w14:paraId="6A1D34D3" w14:textId="77777777" w:rsidR="00D5713D" w:rsidRPr="00D5713D" w:rsidRDefault="00D5713D" w:rsidP="00D5713D">
      <w:pPr>
        <w:jc w:val="left"/>
        <w:outlineLvl w:val="0"/>
        <w:rPr>
          <w:iCs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a9"/>
        <w:tblpPr w:leftFromText="142" w:rightFromText="142" w:vertAnchor="text" w:horzAnchor="margin" w:tblpXSpec="center" w:tblpY="-58"/>
        <w:tblOverlap w:val="never"/>
        <w:tblW w:w="8647" w:type="dxa"/>
        <w:tblLook w:val="04A0" w:firstRow="1" w:lastRow="0" w:firstColumn="1" w:lastColumn="0" w:noHBand="0" w:noVBand="1"/>
      </w:tblPr>
      <w:tblGrid>
        <w:gridCol w:w="2433"/>
        <w:gridCol w:w="1338"/>
        <w:gridCol w:w="2325"/>
        <w:gridCol w:w="2551"/>
      </w:tblGrid>
      <w:tr w:rsidR="00D5713D" w:rsidRPr="00D5713D" w14:paraId="3A68A5F2" w14:textId="77777777" w:rsidTr="00712A82">
        <w:trPr>
          <w:trHeight w:val="223"/>
        </w:trPr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0804E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Sources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21A1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Period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1E98B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N input </w:t>
            </w:r>
            <w:r w:rsidRPr="00D5713D">
              <w:rPr>
                <w:sz w:val="22"/>
                <w:szCs w:val="22"/>
              </w:rPr>
              <w:t>(</w:t>
            </w:r>
            <w:proofErr w:type="spellStart"/>
            <w:r w:rsidRPr="00D5713D">
              <w:rPr>
                <w:sz w:val="22"/>
                <w:szCs w:val="22"/>
              </w:rPr>
              <w:t>Tg</w:t>
            </w:r>
            <w:proofErr w:type="spellEnd"/>
            <w:r w:rsidRPr="00D5713D">
              <w:rPr>
                <w:sz w:val="22"/>
                <w:szCs w:val="22"/>
              </w:rPr>
              <w:t xml:space="preserve"> N </w:t>
            </w:r>
            <w:proofErr w:type="spellStart"/>
            <w:r w:rsidRPr="00D5713D">
              <w:rPr>
                <w:sz w:val="22"/>
                <w:szCs w:val="22"/>
              </w:rPr>
              <w:t>yr</w:t>
            </w:r>
            <w:proofErr w:type="spellEnd"/>
            <w:r w:rsidRPr="00D5713D">
              <w:rPr>
                <w:sz w:val="22"/>
                <w:szCs w:val="22"/>
                <w:vertAlign w:val="superscript"/>
              </w:rPr>
              <w:t>–1</w:t>
            </w:r>
            <w:r w:rsidRPr="00D5713D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93AFB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15-year</w:t>
            </w: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input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Tg</w:t>
            </w:r>
            <w:proofErr w:type="spellEnd"/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N)</w:t>
            </w:r>
          </w:p>
        </w:tc>
      </w:tr>
      <w:tr w:rsidR="00D5713D" w:rsidRPr="00D5713D" w14:paraId="070DD931" w14:textId="77777777" w:rsidTr="00712A82">
        <w:trPr>
          <w:trHeight w:val="223"/>
        </w:trPr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30AEE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Atmosphere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B73A61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196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5–</w:t>
            </w: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1980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786FC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0.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2532E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12.63</w:t>
            </w:r>
          </w:p>
        </w:tc>
      </w:tr>
      <w:tr w:rsidR="00D5713D" w:rsidRPr="00D5713D" w14:paraId="42B9E4FA" w14:textId="77777777" w:rsidTr="00712A82">
        <w:trPr>
          <w:trHeight w:val="223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3951D93C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River</w:t>
            </w:r>
          </w:p>
        </w:tc>
        <w:tc>
          <w:tcPr>
            <w:tcW w:w="1338" w:type="dxa"/>
            <w:vMerge/>
            <w:tcBorders>
              <w:left w:val="nil"/>
              <w:right w:val="nil"/>
            </w:tcBorders>
            <w:vAlign w:val="center"/>
          </w:tcPr>
          <w:p w14:paraId="1407A1A0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2DE7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0.5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7DA1ED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7.93</w:t>
            </w:r>
          </w:p>
        </w:tc>
      </w:tr>
      <w:tr w:rsidR="00D5713D" w:rsidRPr="00D5713D" w14:paraId="3321548C" w14:textId="77777777" w:rsidTr="00712A82">
        <w:trPr>
          <w:trHeight w:val="223"/>
        </w:trPr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22987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Total anthropogenic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5010A9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BFD89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1.37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A37F4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20.56</w:t>
            </w:r>
          </w:p>
        </w:tc>
      </w:tr>
      <w:tr w:rsidR="00D5713D" w:rsidRPr="00D5713D" w14:paraId="04202B19" w14:textId="77777777" w:rsidTr="00712A82">
        <w:trPr>
          <w:trHeight w:val="138"/>
        </w:trPr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54E96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>Inventory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48E28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Period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E812D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N increase </w:t>
            </w:r>
            <w:r w:rsidRPr="00D5713D">
              <w:rPr>
                <w:sz w:val="22"/>
                <w:szCs w:val="22"/>
              </w:rPr>
              <w:t>(</w:t>
            </w:r>
            <w:proofErr w:type="spellStart"/>
            <w:r w:rsidRPr="00D5713D">
              <w:rPr>
                <w:sz w:val="22"/>
                <w:szCs w:val="22"/>
              </w:rPr>
              <w:t>Tg</w:t>
            </w:r>
            <w:proofErr w:type="spellEnd"/>
            <w:r w:rsidRPr="00D5713D">
              <w:rPr>
                <w:sz w:val="22"/>
                <w:szCs w:val="22"/>
              </w:rPr>
              <w:t xml:space="preserve"> N </w:t>
            </w:r>
            <w:proofErr w:type="spellStart"/>
            <w:r w:rsidRPr="00D5713D">
              <w:rPr>
                <w:sz w:val="22"/>
                <w:szCs w:val="22"/>
              </w:rPr>
              <w:t>yr</w:t>
            </w:r>
            <w:proofErr w:type="spellEnd"/>
            <w:r w:rsidRPr="00D5713D">
              <w:rPr>
                <w:sz w:val="22"/>
                <w:szCs w:val="22"/>
                <w:vertAlign w:val="superscript"/>
              </w:rPr>
              <w:t>–1</w:t>
            </w:r>
            <w:r w:rsidRPr="00D5713D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E83B8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15-year</w:t>
            </w:r>
            <w:r w:rsidRPr="00D5713D">
              <w:rPr>
                <w:rFonts w:hint="eastAsia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increase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Tg</w:t>
            </w:r>
            <w:proofErr w:type="spellEnd"/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N)</w:t>
            </w:r>
          </w:p>
        </w:tc>
      </w:tr>
      <w:tr w:rsidR="00D5713D" w:rsidRPr="00D5713D" w14:paraId="63C91A9E" w14:textId="77777777" w:rsidTr="00712A82">
        <w:trPr>
          <w:trHeight w:val="234"/>
        </w:trPr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1E38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MED Sea (200–600 m)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E36C3" w14:textId="77777777" w:rsidR="00D5713D" w:rsidRPr="00D5713D" w:rsidRDefault="00D5713D" w:rsidP="00D5713D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1985–2000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7D0AC" w14:textId="77777777" w:rsidR="00D5713D" w:rsidRPr="00D5713D" w:rsidRDefault="00D5713D" w:rsidP="00D7777F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1.2</w:t>
            </w:r>
            <w:r w:rsidR="00D7777F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b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sym w:font="Symbol" w:char="F0B1"/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0.1</w:t>
            </w:r>
            <w:r w:rsidR="00D7777F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D3DD0" w14:textId="77777777" w:rsidR="00D5713D" w:rsidRPr="00D5713D" w:rsidRDefault="00D5713D" w:rsidP="00D7777F">
            <w:pPr>
              <w:outlineLvl w:val="0"/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D7777F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7777F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sym w:font="Symbol" w:char="F0B1"/>
            </w:r>
            <w:r w:rsidRPr="00D5713D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1.</w:t>
            </w:r>
            <w:r w:rsidR="00D7777F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54</w:t>
            </w:r>
          </w:p>
        </w:tc>
      </w:tr>
    </w:tbl>
    <w:p w14:paraId="350F193C" w14:textId="77777777" w:rsidR="00D5713D" w:rsidRPr="00D5713D" w:rsidRDefault="00D5713D" w:rsidP="00D5713D">
      <w:pPr>
        <w:widowControl/>
        <w:wordWrap/>
        <w:autoSpaceDE/>
        <w:autoSpaceDN/>
        <w:jc w:val="left"/>
        <w:rPr>
          <w:color w:val="000000" w:themeColor="text1"/>
          <w:sz w:val="24"/>
          <w:szCs w:val="24"/>
        </w:rPr>
      </w:pPr>
      <w:proofErr w:type="spellStart"/>
      <w:proofErr w:type="gramStart"/>
      <w:r w:rsidRPr="00D5713D">
        <w:rPr>
          <w:color w:val="000000" w:themeColor="text1"/>
          <w:sz w:val="24"/>
          <w:szCs w:val="24"/>
          <w:vertAlign w:val="superscript"/>
        </w:rPr>
        <w:t>a</w:t>
      </w:r>
      <w:proofErr w:type="spellEnd"/>
      <w:proofErr w:type="gramEnd"/>
      <w:r w:rsidRPr="00D5713D">
        <w:rPr>
          <w:color w:val="000000" w:themeColor="text1"/>
          <w:sz w:val="24"/>
          <w:szCs w:val="24"/>
          <w:vertAlign w:val="superscript"/>
        </w:rPr>
        <w:t xml:space="preserve"> </w:t>
      </w:r>
      <w:r w:rsidRPr="00D5713D">
        <w:rPr>
          <w:color w:val="000000" w:themeColor="text1"/>
          <w:sz w:val="24"/>
          <w:szCs w:val="24"/>
        </w:rPr>
        <w:t>For comparison, the MED Sea intermediate water mass in 1985–2000 was assumed to be ventilated in the period of 1965–1980.</w:t>
      </w:r>
    </w:p>
    <w:p w14:paraId="1F47D39D" w14:textId="77777777" w:rsidR="00D5713D" w:rsidRPr="00D5713D" w:rsidRDefault="00D5713D" w:rsidP="00D5713D">
      <w:pPr>
        <w:widowControl/>
        <w:wordWrap/>
        <w:autoSpaceDE/>
        <w:autoSpaceDN/>
        <w:jc w:val="left"/>
        <w:rPr>
          <w:color w:val="000000" w:themeColor="text1"/>
          <w:sz w:val="24"/>
          <w:szCs w:val="24"/>
        </w:rPr>
      </w:pPr>
    </w:p>
    <w:p w14:paraId="218DE615" w14:textId="77777777" w:rsidR="00D5713D" w:rsidRPr="00D5713D" w:rsidRDefault="00D5713D" w:rsidP="00D5713D">
      <w:pPr>
        <w:widowControl/>
        <w:wordWrap/>
        <w:autoSpaceDE/>
        <w:autoSpaceDN/>
        <w:jc w:val="left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D5713D">
        <w:rPr>
          <w:rFonts w:hint="eastAsia"/>
          <w:color w:val="000000" w:themeColor="text1"/>
          <w:sz w:val="24"/>
          <w:szCs w:val="24"/>
          <w:vertAlign w:val="superscript"/>
        </w:rPr>
        <w:t>b</w:t>
      </w:r>
      <w:proofErr w:type="gramEnd"/>
      <w:r>
        <w:rPr>
          <w:color w:val="000000" w:themeColor="text1"/>
          <w:sz w:val="24"/>
          <w:szCs w:val="24"/>
          <w:vertAlign w:val="superscript"/>
        </w:rPr>
        <w:t xml:space="preserve"> </w:t>
      </w:r>
      <w:r w:rsidR="00D7777F">
        <w:rPr>
          <w:rFonts w:hint="eastAsia"/>
          <w:color w:val="000000" w:themeColor="text1"/>
          <w:sz w:val="24"/>
          <w:szCs w:val="24"/>
        </w:rPr>
        <w:t xml:space="preserve">Estimated by </w:t>
      </w:r>
      <w:r w:rsidR="00D7777F">
        <w:rPr>
          <w:color w:val="000000" w:themeColor="text1"/>
          <w:sz w:val="24"/>
          <w:szCs w:val="24"/>
        </w:rPr>
        <w:t>m</w:t>
      </w:r>
      <w:r w:rsidRPr="00D5713D">
        <w:rPr>
          <w:color w:val="000000" w:themeColor="text1"/>
          <w:sz w:val="24"/>
        </w:rPr>
        <w:t xml:space="preserve">ultiplying the rate of N increase per unit volume of seawater </w:t>
      </w:r>
      <w:r w:rsidR="00D7777F">
        <w:rPr>
          <w:color w:val="000000" w:themeColor="text1"/>
          <w:sz w:val="24"/>
        </w:rPr>
        <w:t>and</w:t>
      </w:r>
      <w:r w:rsidRPr="00D5713D">
        <w:rPr>
          <w:color w:val="000000" w:themeColor="text1"/>
          <w:sz w:val="24"/>
        </w:rPr>
        <w:t xml:space="preserve"> the total </w:t>
      </w:r>
      <w:r w:rsidRPr="00D5713D">
        <w:rPr>
          <w:color w:val="000000" w:themeColor="text1"/>
          <w:sz w:val="24"/>
          <w:szCs w:val="24"/>
          <w:shd w:val="clear" w:color="auto" w:fill="FFFFFF"/>
        </w:rPr>
        <w:t>volume of the intermediate water layer influenced by anthropogenic nutrient inputs.</w:t>
      </w:r>
    </w:p>
    <w:p w14:paraId="5BC0885F" w14:textId="77777777" w:rsidR="00D5713D" w:rsidRPr="00D5713D" w:rsidRDefault="00D5713D" w:rsidP="00D5713D">
      <w:pPr>
        <w:widowControl/>
        <w:wordWrap/>
        <w:autoSpaceDE/>
        <w:autoSpaceDN/>
        <w:jc w:val="left"/>
        <w:rPr>
          <w:color w:val="000000" w:themeColor="text1"/>
          <w:sz w:val="24"/>
          <w:szCs w:val="24"/>
          <w:shd w:val="clear" w:color="auto" w:fill="FFFFFF"/>
        </w:rPr>
      </w:pPr>
    </w:p>
    <w:p w14:paraId="043C8F10" w14:textId="77777777" w:rsidR="00BD5799" w:rsidRPr="00761DD4" w:rsidRDefault="00D5713D" w:rsidP="00D5713D">
      <w:pPr>
        <w:pStyle w:val="a6"/>
        <w:ind w:left="0"/>
        <w:jc w:val="left"/>
        <w:rPr>
          <w:sz w:val="22"/>
          <w:szCs w:val="22"/>
        </w:rPr>
      </w:pPr>
      <w:proofErr w:type="gramStart"/>
      <w:r w:rsidRPr="00D5713D">
        <w:rPr>
          <w:color w:val="000000" w:themeColor="text1"/>
          <w:sz w:val="24"/>
          <w:szCs w:val="24"/>
          <w:shd w:val="clear" w:color="auto" w:fill="FFFFFF"/>
          <w:vertAlign w:val="superscript"/>
        </w:rPr>
        <w:t>c</w:t>
      </w:r>
      <w:proofErr w:type="gramEnd"/>
      <w:r w:rsidRPr="00D5713D">
        <w:rPr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Pr="00D5713D">
        <w:rPr>
          <w:color w:val="000000" w:themeColor="text1"/>
          <w:sz w:val="24"/>
          <w:szCs w:val="24"/>
          <w:shd w:val="clear" w:color="auto" w:fill="FFFFFF"/>
        </w:rPr>
        <w:t>The error was based on the 95% confidence interval of a linear regression used to estimate the rate of N increase.</w:t>
      </w:r>
      <w:r w:rsidR="00BD5799" w:rsidRPr="00761DD4">
        <w:rPr>
          <w:sz w:val="22"/>
          <w:szCs w:val="22"/>
        </w:rPr>
        <w:br w:type="page"/>
      </w:r>
    </w:p>
    <w:p w14:paraId="22491788" w14:textId="77777777" w:rsidR="00BD5799" w:rsidRPr="005F7B90" w:rsidRDefault="00BD5799" w:rsidP="00BD5799">
      <w:pPr>
        <w:pStyle w:val="a6"/>
        <w:ind w:left="0"/>
        <w:jc w:val="left"/>
        <w:rPr>
          <w:rStyle w:val="a3"/>
          <w:b/>
          <w:noProof/>
          <w:sz w:val="24"/>
          <w:u w:val="none"/>
        </w:rPr>
      </w:pPr>
      <w:r>
        <w:rPr>
          <w:b/>
          <w:sz w:val="24"/>
          <w:szCs w:val="24"/>
        </w:rPr>
        <w:lastRenderedPageBreak/>
        <w:t xml:space="preserve">Figure S1. </w:t>
      </w:r>
      <w:r w:rsidRPr="007A5E48">
        <w:rPr>
          <w:b/>
          <w:sz w:val="24"/>
          <w:szCs w:val="24"/>
        </w:rPr>
        <w:t>The spatiotemporal distribution of data points used in our analysis</w:t>
      </w:r>
      <w:r w:rsidRPr="005F7B90">
        <w:rPr>
          <w:rStyle w:val="a3"/>
          <w:b/>
          <w:sz w:val="24"/>
          <w:u w:val="none"/>
        </w:rPr>
        <w:t xml:space="preserve">. </w:t>
      </w:r>
      <w:r w:rsidRPr="005F7B90">
        <w:rPr>
          <w:iCs/>
          <w:color w:val="000000" w:themeColor="text1"/>
          <w:sz w:val="24"/>
          <w:szCs w:val="24"/>
          <w:shd w:val="clear" w:color="auto" w:fill="FFFFFF"/>
        </w:rPr>
        <w:t>The color gradient of the points indicates the time that measurements were made.</w:t>
      </w:r>
      <w:r w:rsidRPr="005F7B90">
        <w:rPr>
          <w:b/>
          <w:sz w:val="24"/>
          <w:szCs w:val="24"/>
        </w:rPr>
        <w:t xml:space="preserve"> </w:t>
      </w:r>
    </w:p>
    <w:p w14:paraId="69187127" w14:textId="77777777" w:rsidR="00206EBC" w:rsidRDefault="00BD5799" w:rsidP="001C7A19">
      <w:pPr>
        <w:pStyle w:val="a6"/>
        <w:ind w:left="0"/>
        <w:jc w:val="left"/>
        <w:rPr>
          <w:sz w:val="24"/>
          <w:szCs w:val="24"/>
        </w:rPr>
      </w:pPr>
      <w:r w:rsidRPr="005F7B90">
        <w:rPr>
          <w:rStyle w:val="a3"/>
          <w:b/>
          <w:sz w:val="24"/>
          <w:u w:val="none"/>
        </w:rPr>
        <w:t xml:space="preserve"> </w:t>
      </w:r>
      <w:r w:rsidR="00D13EF0">
        <w:rPr>
          <w:noProof/>
        </w:rPr>
        <w:drawing>
          <wp:inline distT="0" distB="0" distL="0" distR="0" wp14:anchorId="346863F4" wp14:editId="23CF5D23">
            <wp:extent cx="5939407" cy="3192780"/>
            <wp:effectExtent l="0" t="0" r="4445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07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B90">
        <w:rPr>
          <w:szCs w:val="24"/>
        </w:rPr>
        <w:br w:type="page"/>
      </w:r>
      <w:r w:rsidR="001C7A19">
        <w:rPr>
          <w:b/>
          <w:sz w:val="24"/>
          <w:szCs w:val="24"/>
        </w:rPr>
        <w:lastRenderedPageBreak/>
        <w:t>Figure S2. C</w:t>
      </w:r>
      <w:r w:rsidR="001C7A19" w:rsidRPr="00EC2705">
        <w:rPr>
          <w:b/>
          <w:sz w:val="24"/>
          <w:szCs w:val="24"/>
        </w:rPr>
        <w:t xml:space="preserve">omparison of </w:t>
      </w:r>
      <w:r w:rsidR="001C7A19">
        <w:rPr>
          <w:b/>
          <w:sz w:val="24"/>
          <w:szCs w:val="24"/>
        </w:rPr>
        <w:t xml:space="preserve">the </w:t>
      </w:r>
      <w:r w:rsidR="001C7A19" w:rsidRPr="00EC2705">
        <w:rPr>
          <w:b/>
          <w:sz w:val="24"/>
          <w:szCs w:val="24"/>
        </w:rPr>
        <w:t xml:space="preserve">dataset </w:t>
      </w:r>
      <w:r w:rsidR="001C7A19">
        <w:rPr>
          <w:b/>
          <w:sz w:val="24"/>
          <w:szCs w:val="24"/>
        </w:rPr>
        <w:t xml:space="preserve">prior to and following </w:t>
      </w:r>
      <w:r w:rsidR="001C7A19" w:rsidRPr="00EC2705">
        <w:rPr>
          <w:b/>
          <w:sz w:val="24"/>
          <w:szCs w:val="24"/>
        </w:rPr>
        <w:t>correction</w:t>
      </w:r>
      <w:r w:rsidR="001C7A19">
        <w:rPr>
          <w:b/>
          <w:sz w:val="24"/>
          <w:szCs w:val="24"/>
        </w:rPr>
        <w:t xml:space="preserve">. </w:t>
      </w:r>
      <w:r w:rsidR="001C7A19" w:rsidRPr="00B7051C">
        <w:rPr>
          <w:sz w:val="24"/>
          <w:szCs w:val="24"/>
        </w:rPr>
        <w:t xml:space="preserve">The plots </w:t>
      </w:r>
      <w:r w:rsidR="001C7A19">
        <w:rPr>
          <w:sz w:val="24"/>
          <w:szCs w:val="24"/>
        </w:rPr>
        <w:t>of</w:t>
      </w:r>
      <w:r w:rsidR="001C7A19" w:rsidRPr="00B7051C">
        <w:rPr>
          <w:sz w:val="24"/>
          <w:szCs w:val="24"/>
        </w:rPr>
        <w:t xml:space="preserve"> P </w:t>
      </w:r>
      <w:r w:rsidR="001C7A19" w:rsidRPr="00B7051C">
        <w:rPr>
          <w:rFonts w:hint="eastAsia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</m:oMath>
      <w:r w:rsidR="001C7A19" w:rsidRPr="00B7051C">
        <w:rPr>
          <w:rFonts w:hint="eastAsia"/>
          <w:sz w:val="24"/>
          <w:szCs w:val="24"/>
        </w:rPr>
        <w:t>mol</w:t>
      </w:r>
      <w:r w:rsidR="001C7A19" w:rsidRPr="00B7051C">
        <w:rPr>
          <w:sz w:val="24"/>
          <w:szCs w:val="24"/>
        </w:rPr>
        <w:t xml:space="preserve"> kg</w:t>
      </w:r>
      <w:r w:rsidR="001C7A19" w:rsidRPr="00B7051C">
        <w:rPr>
          <w:sz w:val="24"/>
          <w:szCs w:val="24"/>
          <w:vertAlign w:val="superscript"/>
        </w:rPr>
        <w:t>–1</w:t>
      </w:r>
      <w:r w:rsidR="001C7A19" w:rsidRPr="00B7051C">
        <w:rPr>
          <w:sz w:val="24"/>
          <w:szCs w:val="24"/>
        </w:rPr>
        <w:t xml:space="preserve">) versus N </w:t>
      </w:r>
      <w:r w:rsidR="001C7A19" w:rsidRPr="00B7051C">
        <w:rPr>
          <w:rFonts w:hint="eastAsia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</m:oMath>
      <w:r w:rsidR="001C7A19" w:rsidRPr="00B7051C">
        <w:rPr>
          <w:rFonts w:hint="eastAsia"/>
          <w:sz w:val="24"/>
          <w:szCs w:val="24"/>
        </w:rPr>
        <w:t>mol</w:t>
      </w:r>
      <w:r w:rsidR="001C7A19" w:rsidRPr="00B7051C">
        <w:rPr>
          <w:sz w:val="24"/>
          <w:szCs w:val="24"/>
        </w:rPr>
        <w:t xml:space="preserve"> kg</w:t>
      </w:r>
      <w:r w:rsidR="001C7A19" w:rsidRPr="00B7051C">
        <w:rPr>
          <w:sz w:val="24"/>
          <w:szCs w:val="24"/>
          <w:vertAlign w:val="superscript"/>
        </w:rPr>
        <w:t>–1</w:t>
      </w:r>
      <w:r w:rsidR="001C7A19" w:rsidRPr="00B7051C">
        <w:rPr>
          <w:sz w:val="24"/>
          <w:szCs w:val="24"/>
        </w:rPr>
        <w:t xml:space="preserve">) data prior to correction for (a) the western Mediterranean (MED) </w:t>
      </w:r>
      <w:r w:rsidR="001C7A19">
        <w:rPr>
          <w:sz w:val="24"/>
          <w:szCs w:val="24"/>
        </w:rPr>
        <w:t xml:space="preserve">Sea and (b) </w:t>
      </w:r>
      <w:r w:rsidR="001C7A19" w:rsidRPr="00B7051C">
        <w:rPr>
          <w:sz w:val="24"/>
          <w:szCs w:val="24"/>
        </w:rPr>
        <w:t>the eastern MED Sea, and the plots of the</w:t>
      </w:r>
      <w:r w:rsidR="001C7A19">
        <w:rPr>
          <w:sz w:val="24"/>
          <w:szCs w:val="24"/>
        </w:rPr>
        <w:t>se nutrients for the two</w:t>
      </w:r>
      <w:r w:rsidR="001C7A19" w:rsidRPr="00B7051C">
        <w:rPr>
          <w:sz w:val="24"/>
          <w:szCs w:val="24"/>
        </w:rPr>
        <w:t xml:space="preserve"> </w:t>
      </w:r>
      <w:r w:rsidR="001C7A19">
        <w:rPr>
          <w:sz w:val="24"/>
          <w:szCs w:val="24"/>
        </w:rPr>
        <w:t xml:space="preserve">basins </w:t>
      </w:r>
      <w:r w:rsidR="001C7A19" w:rsidRPr="00B7051C">
        <w:rPr>
          <w:sz w:val="24"/>
          <w:szCs w:val="24"/>
        </w:rPr>
        <w:t xml:space="preserve">following correction (c and d, respectively). Note that different numerical scales </w:t>
      </w:r>
      <w:r w:rsidR="001C7A19">
        <w:rPr>
          <w:sz w:val="24"/>
          <w:szCs w:val="24"/>
        </w:rPr>
        <w:t>were</w:t>
      </w:r>
      <w:r w:rsidR="001C7A19" w:rsidRPr="00B7051C">
        <w:rPr>
          <w:sz w:val="24"/>
          <w:szCs w:val="24"/>
        </w:rPr>
        <w:t xml:space="preserve"> used for each plot.</w:t>
      </w:r>
    </w:p>
    <w:p w14:paraId="69B9E093" w14:textId="77777777" w:rsidR="001C7A19" w:rsidRPr="001C7A19" w:rsidRDefault="001C7A19" w:rsidP="00206EBC">
      <w:pPr>
        <w:pStyle w:val="a6"/>
        <w:ind w:left="0"/>
        <w:jc w:val="center"/>
        <w:rPr>
          <w:sz w:val="24"/>
          <w:szCs w:val="24"/>
        </w:rPr>
      </w:pPr>
      <w:r w:rsidRPr="001C7A19">
        <w:rPr>
          <w:noProof/>
          <w:sz w:val="24"/>
          <w:szCs w:val="24"/>
        </w:rPr>
        <w:drawing>
          <wp:inline distT="0" distB="0" distL="0" distR="0" wp14:anchorId="6534C4DB" wp14:editId="3470E7CA">
            <wp:extent cx="5913905" cy="4967503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지영\Desktop\Figure\figure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05" cy="496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94777" w14:textId="77777777" w:rsidR="001C7A19" w:rsidRDefault="001C7A19" w:rsidP="00206EBC">
      <w:pPr>
        <w:widowControl/>
        <w:wordWrap/>
        <w:autoSpaceDE/>
        <w:autoSpaceDN/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674E77" w14:textId="77777777" w:rsidR="00D40230" w:rsidRDefault="00D40230" w:rsidP="00D4023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Figure S3. </w:t>
      </w:r>
      <w:r w:rsidR="000B0FC6">
        <w:rPr>
          <w:b/>
          <w:sz w:val="24"/>
          <w:szCs w:val="24"/>
        </w:rPr>
        <w:t>Atmospheric NOx emission and riverine nitrogen and phosphorus inputs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Red lines represent the temporal </w:t>
      </w:r>
      <w:r w:rsidRPr="00D40230">
        <w:rPr>
          <w:sz w:val="24"/>
          <w:szCs w:val="24"/>
        </w:rPr>
        <w:t>trend of NO</w:t>
      </w:r>
      <w:r w:rsidRPr="00D40230">
        <w:rPr>
          <w:sz w:val="24"/>
          <w:szCs w:val="24"/>
          <w:vertAlign w:val="subscript"/>
        </w:rPr>
        <w:t>x</w:t>
      </w:r>
      <w:r w:rsidRPr="00D40230">
        <w:rPr>
          <w:sz w:val="24"/>
          <w:szCs w:val="24"/>
        </w:rPr>
        <w:t xml:space="preserve"> emission. Blue and green lines </w:t>
      </w:r>
      <w:r w:rsidR="000B0FC6">
        <w:rPr>
          <w:sz w:val="24"/>
          <w:szCs w:val="24"/>
        </w:rPr>
        <w:t>indicate</w:t>
      </w:r>
      <w:r w:rsidRPr="00D40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D40230">
        <w:rPr>
          <w:sz w:val="24"/>
          <w:szCs w:val="24"/>
        </w:rPr>
        <w:t>riverine input</w:t>
      </w:r>
      <w:r w:rsidR="000B0FC6">
        <w:rPr>
          <w:sz w:val="24"/>
          <w:szCs w:val="24"/>
        </w:rPr>
        <w:t>s</w:t>
      </w:r>
      <w:r w:rsidRPr="00D40230">
        <w:rPr>
          <w:sz w:val="24"/>
          <w:szCs w:val="24"/>
        </w:rPr>
        <w:t xml:space="preserve"> of nitrogen and phosphorus, respectively.</w:t>
      </w:r>
    </w:p>
    <w:p w14:paraId="5039E17A" w14:textId="77777777" w:rsidR="00D40230" w:rsidRDefault="00D40230" w:rsidP="00D4023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790F3D" wp14:editId="414A95B7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5008159" cy="7381875"/>
            <wp:effectExtent l="0" t="0" r="254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S3_WM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159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BF2A4" w14:textId="77777777" w:rsidR="00D40230" w:rsidRDefault="00D40230" w:rsidP="00D4023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E86EF2" w14:textId="77777777" w:rsidR="00BD5799" w:rsidRDefault="00BD5799" w:rsidP="00BD579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Figure S</w:t>
      </w:r>
      <w:r w:rsidR="00D40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EA2BAB">
        <w:rPr>
          <w:b/>
          <w:sz w:val="24"/>
          <w:szCs w:val="24"/>
        </w:rPr>
        <w:t xml:space="preserve">Historical values </w:t>
      </w:r>
      <w:r>
        <w:rPr>
          <w:b/>
          <w:sz w:val="24"/>
          <w:szCs w:val="24"/>
        </w:rPr>
        <w:t>of</w:t>
      </w:r>
      <w:r w:rsidRPr="00EA2BAB">
        <w:rPr>
          <w:b/>
          <w:sz w:val="24"/>
          <w:szCs w:val="24"/>
        </w:rPr>
        <w:t xml:space="preserve"> N</w:t>
      </w:r>
      <w:r w:rsidRPr="00EA2BAB">
        <w:rPr>
          <w:b/>
          <w:sz w:val="24"/>
          <w:szCs w:val="24"/>
          <w:vertAlign w:val="subscript"/>
        </w:rPr>
        <w:t>2</w:t>
      </w:r>
      <w:r w:rsidRPr="00EA2BAB">
        <w:rPr>
          <w:b/>
          <w:sz w:val="24"/>
          <w:szCs w:val="24"/>
        </w:rPr>
        <w:t xml:space="preserve"> fixation in the </w:t>
      </w:r>
      <w:r>
        <w:rPr>
          <w:b/>
          <w:sz w:val="24"/>
          <w:szCs w:val="24"/>
        </w:rPr>
        <w:t>MED</w:t>
      </w:r>
      <w:r w:rsidRPr="00EA2BAB">
        <w:rPr>
          <w:b/>
          <w:sz w:val="24"/>
          <w:szCs w:val="24"/>
        </w:rPr>
        <w:t xml:space="preserve"> Sea in chronological order.</w:t>
      </w:r>
      <w:r w:rsidRPr="00B7051C">
        <w:rPr>
          <w:sz w:val="24"/>
          <w:szCs w:val="24"/>
        </w:rPr>
        <w:t xml:space="preserve"> The red and blue markers refer to measurements in the western and the eastern M</w:t>
      </w:r>
      <w:r>
        <w:rPr>
          <w:sz w:val="24"/>
          <w:szCs w:val="24"/>
        </w:rPr>
        <w:t>ED</w:t>
      </w:r>
      <w:r w:rsidRPr="00B7051C">
        <w:rPr>
          <w:sz w:val="24"/>
          <w:szCs w:val="24"/>
        </w:rPr>
        <w:t xml:space="preserve"> Sea</w:t>
      </w:r>
      <w:r w:rsidRPr="0081100A">
        <w:rPr>
          <w:sz w:val="24"/>
          <w:szCs w:val="24"/>
        </w:rPr>
        <w:t>, respectively</w:t>
      </w:r>
      <w:r>
        <w:rPr>
          <w:sz w:val="24"/>
          <w:szCs w:val="24"/>
        </w:rPr>
        <w:t xml:space="preserve">. The two black markers indicate measurement for the entire MED Sea. </w:t>
      </w:r>
    </w:p>
    <w:p w14:paraId="25F50CF0" w14:textId="77777777" w:rsidR="00BD5799" w:rsidRDefault="00BD5799" w:rsidP="00BD5799">
      <w:pPr>
        <w:spacing w:line="480" w:lineRule="auto"/>
        <w:jc w:val="center"/>
        <w:rPr>
          <w:sz w:val="24"/>
          <w:szCs w:val="24"/>
        </w:rPr>
      </w:pPr>
      <w:r w:rsidRPr="007C0C73">
        <w:rPr>
          <w:noProof/>
          <w:sz w:val="24"/>
          <w:szCs w:val="24"/>
        </w:rPr>
        <w:drawing>
          <wp:inline distT="0" distB="0" distL="0" distR="0" wp14:anchorId="655E5F4D" wp14:editId="707AF44C">
            <wp:extent cx="5578624" cy="41814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05" cy="41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44FE108E" w14:textId="77777777" w:rsidR="00BD5799" w:rsidRPr="00EE56B3" w:rsidRDefault="00BD5799" w:rsidP="00BD5799">
      <w:pPr>
        <w:spacing w:line="480" w:lineRule="auto"/>
        <w:jc w:val="left"/>
      </w:pPr>
      <w:r w:rsidRPr="00EE56B3">
        <w:rPr>
          <w:b/>
          <w:sz w:val="28"/>
          <w:szCs w:val="24"/>
        </w:rPr>
        <w:lastRenderedPageBreak/>
        <w:t>References</w:t>
      </w:r>
    </w:p>
    <w:p w14:paraId="61CDE85B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Bonnet, S., O. Grosso, and T. Moutin (2011), Planktonic dinitrogen fixation along a longitudinal </w:t>
      </w:r>
    </w:p>
    <w:p w14:paraId="3357E3EB" w14:textId="77777777" w:rsidR="00BD5799" w:rsidRPr="0067078C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gradient across the Mediterranean Sea during the stratified period (BOUM cruise), </w:t>
      </w:r>
      <w:r w:rsidRPr="0067078C">
        <w:rPr>
          <w:i/>
          <w:sz w:val="24"/>
          <w:szCs w:val="24"/>
        </w:rPr>
        <w:t>Biogeosciences</w:t>
      </w:r>
      <w:r w:rsidRPr="0067078C">
        <w:rPr>
          <w:sz w:val="24"/>
          <w:szCs w:val="24"/>
        </w:rPr>
        <w:t xml:space="preserve">, </w:t>
      </w:r>
      <w:r w:rsidRPr="0067078C">
        <w:rPr>
          <w:i/>
          <w:sz w:val="24"/>
          <w:szCs w:val="24"/>
        </w:rPr>
        <w:t>8</w:t>
      </w:r>
      <w:r w:rsidRPr="0067078C">
        <w:rPr>
          <w:sz w:val="24"/>
          <w:szCs w:val="24"/>
        </w:rPr>
        <w:t>(8), 2257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2267.</w:t>
      </w:r>
    </w:p>
    <w:p w14:paraId="4DCF87AF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Garcia, N., P. Raimbault, E. Gouze, and V. Sandroni (2006), Nitrogen fixation and primary </w:t>
      </w:r>
    </w:p>
    <w:p w14:paraId="2D953232" w14:textId="77777777" w:rsidR="00BD5799" w:rsidRPr="0067078C" w:rsidRDefault="00BD5799" w:rsidP="00BD5799">
      <w:pPr>
        <w:pStyle w:val="EndNoteBibliography"/>
        <w:spacing w:after="0" w:line="480" w:lineRule="auto"/>
        <w:ind w:firstLine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production in Western Mediterranean, </w:t>
      </w:r>
      <w:r w:rsidRPr="0067078C">
        <w:rPr>
          <w:i/>
          <w:sz w:val="24"/>
          <w:szCs w:val="24"/>
        </w:rPr>
        <w:t>C. R. Biol.</w:t>
      </w:r>
      <w:r w:rsidRPr="0067078C">
        <w:rPr>
          <w:sz w:val="24"/>
          <w:szCs w:val="24"/>
        </w:rPr>
        <w:t xml:space="preserve">, </w:t>
      </w:r>
      <w:r w:rsidRPr="0067078C">
        <w:rPr>
          <w:i/>
          <w:sz w:val="24"/>
          <w:szCs w:val="24"/>
        </w:rPr>
        <w:t>329</w:t>
      </w:r>
      <w:r w:rsidRPr="0067078C">
        <w:rPr>
          <w:sz w:val="24"/>
          <w:szCs w:val="24"/>
        </w:rPr>
        <w:t>(9), 742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750.</w:t>
      </w:r>
    </w:p>
    <w:p w14:paraId="4FB37809" w14:textId="77777777" w:rsidR="00BD5799" w:rsidRDefault="00BD5799" w:rsidP="00BD5799">
      <w:pPr>
        <w:pStyle w:val="EndNoteBibliography"/>
        <w:spacing w:after="0" w:line="480" w:lineRule="auto"/>
        <w:jc w:val="left"/>
        <w:rPr>
          <w:rStyle w:val="articletitle"/>
          <w:sz w:val="24"/>
          <w:szCs w:val="24"/>
          <w:bdr w:val="none" w:sz="0" w:space="0" w:color="auto" w:frame="1"/>
        </w:rPr>
      </w:pPr>
      <w:r w:rsidRPr="0067078C">
        <w:rPr>
          <w:rStyle w:val="author"/>
          <w:sz w:val="24"/>
          <w:szCs w:val="24"/>
          <w:bdr w:val="none" w:sz="0" w:space="0" w:color="auto" w:frame="1"/>
        </w:rPr>
        <w:t>Ibello, V.</w:t>
      </w:r>
      <w:r w:rsidRPr="0067078C">
        <w:rPr>
          <w:sz w:val="24"/>
          <w:szCs w:val="24"/>
        </w:rPr>
        <w:t>,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author"/>
          <w:sz w:val="24"/>
          <w:szCs w:val="24"/>
          <w:bdr w:val="none" w:sz="0" w:space="0" w:color="auto" w:frame="1"/>
        </w:rPr>
        <w:t>C. Cantoni</w:t>
      </w:r>
      <w:r w:rsidRPr="0067078C">
        <w:rPr>
          <w:sz w:val="24"/>
          <w:szCs w:val="24"/>
        </w:rPr>
        <w:t>,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author"/>
          <w:sz w:val="24"/>
          <w:szCs w:val="24"/>
          <w:bdr w:val="none" w:sz="0" w:space="0" w:color="auto" w:frame="1"/>
        </w:rPr>
        <w:t>S. Cozzi</w:t>
      </w:r>
      <w:r w:rsidRPr="0067078C">
        <w:rPr>
          <w:sz w:val="24"/>
          <w:szCs w:val="24"/>
        </w:rPr>
        <w:t>, and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author"/>
          <w:sz w:val="24"/>
          <w:szCs w:val="24"/>
          <w:bdr w:val="none" w:sz="0" w:space="0" w:color="auto" w:frame="1"/>
        </w:rPr>
        <w:t>G. Civitarese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sz w:val="24"/>
          <w:szCs w:val="24"/>
        </w:rPr>
        <w:t>(</w:t>
      </w:r>
      <w:r w:rsidRPr="0067078C">
        <w:rPr>
          <w:rStyle w:val="pubyear"/>
          <w:sz w:val="24"/>
          <w:szCs w:val="24"/>
          <w:bdr w:val="none" w:sz="0" w:space="0" w:color="auto" w:frame="1"/>
        </w:rPr>
        <w:t>2010</w:t>
      </w:r>
      <w:r w:rsidRPr="0067078C">
        <w:rPr>
          <w:sz w:val="24"/>
          <w:szCs w:val="24"/>
        </w:rPr>
        <w:t>),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articletitle"/>
          <w:sz w:val="24"/>
          <w:szCs w:val="24"/>
          <w:bdr w:val="none" w:sz="0" w:space="0" w:color="auto" w:frame="1"/>
        </w:rPr>
        <w:t xml:space="preserve">First basin-wide experimental results </w:t>
      </w:r>
    </w:p>
    <w:p w14:paraId="3310E33D" w14:textId="77777777" w:rsidR="00BD5799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rStyle w:val="articletitle"/>
          <w:sz w:val="24"/>
          <w:szCs w:val="24"/>
          <w:bdr w:val="none" w:sz="0" w:space="0" w:color="auto" w:frame="1"/>
        </w:rPr>
        <w:t>on N</w:t>
      </w:r>
      <w:r w:rsidRPr="0067078C">
        <w:rPr>
          <w:rStyle w:val="articletitle"/>
          <w:sz w:val="24"/>
          <w:szCs w:val="24"/>
          <w:bdr w:val="none" w:sz="0" w:space="0" w:color="auto" w:frame="1"/>
          <w:vertAlign w:val="subscript"/>
        </w:rPr>
        <w:t>2</w:t>
      </w:r>
      <w:r w:rsidRPr="0067078C">
        <w:rPr>
          <w:rStyle w:val="apple-converted-space"/>
          <w:sz w:val="24"/>
          <w:szCs w:val="24"/>
          <w:bdr w:val="none" w:sz="0" w:space="0" w:color="auto" w:frame="1"/>
        </w:rPr>
        <w:t> </w:t>
      </w:r>
      <w:r w:rsidRPr="0067078C">
        <w:rPr>
          <w:rStyle w:val="articletitle"/>
          <w:sz w:val="24"/>
          <w:szCs w:val="24"/>
          <w:bdr w:val="none" w:sz="0" w:space="0" w:color="auto" w:frame="1"/>
        </w:rPr>
        <w:t>fixation in the open Mediterranean Sea</w:t>
      </w:r>
      <w:r w:rsidRPr="0067078C">
        <w:rPr>
          <w:sz w:val="24"/>
          <w:szCs w:val="24"/>
        </w:rPr>
        <w:t>,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journaltitle"/>
          <w:i/>
          <w:sz w:val="24"/>
          <w:szCs w:val="24"/>
          <w:bdr w:val="none" w:sz="0" w:space="0" w:color="auto" w:frame="1"/>
        </w:rPr>
        <w:t>Geophys. Res. Lett</w:t>
      </w:r>
      <w:r w:rsidRPr="0067078C">
        <w:rPr>
          <w:rStyle w:val="journaltitle"/>
          <w:sz w:val="24"/>
          <w:szCs w:val="24"/>
          <w:bdr w:val="none" w:sz="0" w:space="0" w:color="auto" w:frame="1"/>
        </w:rPr>
        <w:t>.</w:t>
      </w:r>
      <w:r w:rsidRPr="0067078C">
        <w:rPr>
          <w:sz w:val="24"/>
          <w:szCs w:val="24"/>
        </w:rPr>
        <w:t>,</w:t>
      </w:r>
      <w:r w:rsidRPr="0067078C">
        <w:rPr>
          <w:rStyle w:val="apple-converted-space"/>
          <w:sz w:val="24"/>
          <w:szCs w:val="24"/>
        </w:rPr>
        <w:t> </w:t>
      </w:r>
      <w:r w:rsidRPr="0067078C">
        <w:rPr>
          <w:rStyle w:val="vol"/>
          <w:i/>
          <w:sz w:val="24"/>
          <w:szCs w:val="24"/>
          <w:bdr w:val="none" w:sz="0" w:space="0" w:color="auto" w:frame="1"/>
        </w:rPr>
        <w:t>37</w:t>
      </w:r>
      <w:r w:rsidRPr="0067078C">
        <w:rPr>
          <w:sz w:val="24"/>
          <w:szCs w:val="24"/>
        </w:rPr>
        <w:t>, L03608, doi:</w:t>
      </w:r>
      <w:hyperlink r:id="rId13" w:tgtFrame="_blank" w:tooltip="Link to external resource: 10.1029/2009GL041635" w:history="1">
        <w:r w:rsidRPr="0067078C">
          <w:rPr>
            <w:rStyle w:val="a3"/>
            <w:sz w:val="24"/>
            <w:szCs w:val="24"/>
          </w:rPr>
          <w:t>10.1029/2009GL041635</w:t>
        </w:r>
      </w:hyperlink>
      <w:r w:rsidRPr="0067078C">
        <w:rPr>
          <w:sz w:val="24"/>
          <w:szCs w:val="24"/>
        </w:rPr>
        <w:t>.</w:t>
      </w:r>
    </w:p>
    <w:p w14:paraId="62EC2B0C" w14:textId="77777777" w:rsidR="00F34D05" w:rsidRPr="007D28A4" w:rsidRDefault="00F34D05" w:rsidP="00F34D05">
      <w:pPr>
        <w:pStyle w:val="EndNoteBibliography"/>
        <w:spacing w:after="0" w:line="480" w:lineRule="auto"/>
        <w:jc w:val="left"/>
        <w:rPr>
          <w:color w:val="000000" w:themeColor="text1"/>
          <w:sz w:val="24"/>
          <w:szCs w:val="24"/>
          <w:shd w:val="clear" w:color="auto" w:fill="FFFFFF"/>
        </w:rPr>
      </w:pPr>
      <w:r w:rsidRPr="007D28A4">
        <w:rPr>
          <w:rStyle w:val="autho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Kendall, M. G.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, and</w:t>
      </w:r>
      <w:r w:rsidRPr="007D28A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7D28A4">
        <w:rPr>
          <w:rStyle w:val="autho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J. D. Gibbons</w:t>
      </w:r>
      <w:r w:rsidRPr="007D28A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(</w:t>
      </w:r>
      <w:r w:rsidRPr="007D28A4">
        <w:rPr>
          <w:rStyle w:val="pubyear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1990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),</w:t>
      </w:r>
      <w:r w:rsidRPr="007D28A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7D28A4">
        <w:rPr>
          <w:rStyle w:val="booktitl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Rank Correlation Methods</w:t>
      </w:r>
      <w:r w:rsidRPr="007D28A4">
        <w:rPr>
          <w:color w:val="000000" w:themeColor="text1"/>
          <w:sz w:val="24"/>
          <w:szCs w:val="24"/>
          <w:shd w:val="clear" w:color="auto" w:fill="FFFFFF"/>
        </w:rPr>
        <w:t xml:space="preserve">, 5th ed., 260 pp., Oxford </w:t>
      </w:r>
    </w:p>
    <w:p w14:paraId="193C55FC" w14:textId="77777777" w:rsidR="00F34D05" w:rsidRPr="007D28A4" w:rsidRDefault="00F34D05" w:rsidP="00F34D05">
      <w:pPr>
        <w:pStyle w:val="EndNoteBibliography"/>
        <w:spacing w:after="0" w:line="480" w:lineRule="auto"/>
        <w:ind w:firstLine="567"/>
        <w:jc w:val="left"/>
        <w:rPr>
          <w:color w:val="000000" w:themeColor="text1"/>
          <w:sz w:val="24"/>
          <w:szCs w:val="24"/>
        </w:rPr>
      </w:pPr>
      <w:r w:rsidRPr="007D28A4">
        <w:rPr>
          <w:color w:val="000000" w:themeColor="text1"/>
          <w:sz w:val="24"/>
          <w:szCs w:val="24"/>
          <w:shd w:val="clear" w:color="auto" w:fill="FFFFFF"/>
        </w:rPr>
        <w:t>Univ. Press,</w:t>
      </w:r>
      <w:r w:rsidRPr="007D28A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7D28A4">
        <w:rPr>
          <w:rStyle w:val="publisherlocatio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New York</w:t>
      </w:r>
      <w:r w:rsidRPr="007D28A4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E0F65C6" w14:textId="77777777" w:rsidR="00F34D05" w:rsidRPr="007D28A4" w:rsidRDefault="00F34D05" w:rsidP="00F34D05">
      <w:pPr>
        <w:pStyle w:val="EndNoteBibliography"/>
        <w:spacing w:after="0" w:line="480" w:lineRule="auto"/>
        <w:jc w:val="left"/>
        <w:rPr>
          <w:color w:val="000000" w:themeColor="text1"/>
          <w:sz w:val="32"/>
          <w:szCs w:val="24"/>
        </w:rPr>
      </w:pPr>
      <w:r w:rsidRPr="007D28A4">
        <w:rPr>
          <w:rStyle w:val="author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Mann, H. B.</w:t>
      </w:r>
      <w:r w:rsidRPr="007D28A4">
        <w:rPr>
          <w:rStyle w:val="apple-converted-space"/>
          <w:color w:val="000000" w:themeColor="text1"/>
          <w:sz w:val="24"/>
          <w:szCs w:val="21"/>
          <w:shd w:val="clear" w:color="auto" w:fill="FFFFFF"/>
        </w:rPr>
        <w:t> 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(</w:t>
      </w:r>
      <w:r w:rsidRPr="007D28A4">
        <w:rPr>
          <w:rStyle w:val="pubyear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1945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),</w:t>
      </w:r>
      <w:r w:rsidRPr="007D28A4">
        <w:rPr>
          <w:rStyle w:val="apple-converted-space"/>
          <w:color w:val="000000" w:themeColor="text1"/>
          <w:sz w:val="24"/>
          <w:szCs w:val="21"/>
          <w:shd w:val="clear" w:color="auto" w:fill="FFFFFF"/>
        </w:rPr>
        <w:t> </w:t>
      </w:r>
      <w:r w:rsidRPr="007D28A4">
        <w:rPr>
          <w:rStyle w:val="articletitle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Nonparametric tests against trend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,</w:t>
      </w:r>
      <w:r w:rsidRPr="007D28A4">
        <w:rPr>
          <w:rStyle w:val="apple-converted-space"/>
          <w:color w:val="000000" w:themeColor="text1"/>
          <w:sz w:val="24"/>
          <w:szCs w:val="21"/>
          <w:shd w:val="clear" w:color="auto" w:fill="FFFFFF"/>
        </w:rPr>
        <w:t> </w:t>
      </w:r>
      <w:r w:rsidRPr="007D28A4">
        <w:rPr>
          <w:rStyle w:val="journaltitle"/>
          <w:i/>
          <w:iCs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Econometrica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,</w:t>
      </w:r>
      <w:r w:rsidRPr="007D28A4">
        <w:rPr>
          <w:rStyle w:val="apple-converted-space"/>
          <w:color w:val="000000" w:themeColor="text1"/>
          <w:sz w:val="24"/>
          <w:szCs w:val="21"/>
          <w:shd w:val="clear" w:color="auto" w:fill="FFFFFF"/>
        </w:rPr>
        <w:t> </w:t>
      </w:r>
      <w:r w:rsidRPr="007D28A4">
        <w:rPr>
          <w:rStyle w:val="vol"/>
          <w:bCs/>
          <w:i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13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,</w:t>
      </w:r>
      <w:r w:rsidRPr="007D28A4">
        <w:rPr>
          <w:rStyle w:val="apple-converted-space"/>
          <w:color w:val="000000" w:themeColor="text1"/>
          <w:sz w:val="24"/>
          <w:szCs w:val="21"/>
          <w:shd w:val="clear" w:color="auto" w:fill="FFFFFF"/>
        </w:rPr>
        <w:t> </w:t>
      </w:r>
      <w:r w:rsidRPr="007D28A4">
        <w:rPr>
          <w:rStyle w:val="pagefirst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245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–</w:t>
      </w:r>
      <w:r w:rsidRPr="007D28A4">
        <w:rPr>
          <w:rStyle w:val="pagelast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259</w:t>
      </w:r>
      <w:r w:rsidRPr="007D28A4">
        <w:rPr>
          <w:color w:val="000000" w:themeColor="text1"/>
          <w:sz w:val="24"/>
          <w:szCs w:val="21"/>
          <w:shd w:val="clear" w:color="auto" w:fill="FFFFFF"/>
        </w:rPr>
        <w:t>.</w:t>
      </w:r>
    </w:p>
    <w:p w14:paraId="29EA5934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Marty, J.-C., N. Garcia, and P. Raimbault (2008), Phytoplankton dynamics and primary </w:t>
      </w:r>
    </w:p>
    <w:p w14:paraId="1E6CE2A7" w14:textId="77777777" w:rsidR="00BD5799" w:rsidRPr="0067078C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production under late summer conditions in the NW Mediterranean Sea, </w:t>
      </w:r>
      <w:r w:rsidRPr="0067078C">
        <w:rPr>
          <w:rStyle w:val="journaltitle"/>
          <w:i/>
          <w:iCs/>
          <w:sz w:val="24"/>
          <w:szCs w:val="21"/>
          <w:bdr w:val="none" w:sz="0" w:space="0" w:color="auto" w:frame="1"/>
          <w:shd w:val="clear" w:color="auto" w:fill="FFFFFF"/>
        </w:rPr>
        <w:t>Deep Sea Res., Part I</w:t>
      </w:r>
      <w:r w:rsidRPr="0067078C">
        <w:rPr>
          <w:sz w:val="24"/>
          <w:szCs w:val="24"/>
        </w:rPr>
        <w:t xml:space="preserve">, </w:t>
      </w:r>
      <w:r w:rsidRPr="0067078C">
        <w:rPr>
          <w:i/>
          <w:sz w:val="24"/>
          <w:szCs w:val="24"/>
        </w:rPr>
        <w:t>55</w:t>
      </w:r>
      <w:r w:rsidRPr="0067078C">
        <w:rPr>
          <w:sz w:val="24"/>
          <w:szCs w:val="24"/>
        </w:rPr>
        <w:t>(9), 1131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1149.</w:t>
      </w:r>
      <w:r>
        <w:rPr>
          <w:sz w:val="24"/>
          <w:szCs w:val="24"/>
        </w:rPr>
        <w:tab/>
      </w:r>
    </w:p>
    <w:p w14:paraId="523FF470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Rahav, E., B. Herut, A. Levi, M. R. Mulholland, and I. Berman-Frank (2013), Springtime </w:t>
      </w:r>
    </w:p>
    <w:p w14:paraId="7A91495F" w14:textId="77777777" w:rsidR="00BD5799" w:rsidRPr="0067078C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contribution of dinitrogen fixation to primary production across the Mediterranean Sea, </w:t>
      </w:r>
      <w:r w:rsidRPr="0067078C">
        <w:rPr>
          <w:i/>
          <w:sz w:val="24"/>
          <w:szCs w:val="24"/>
        </w:rPr>
        <w:t>Ocean Sci</w:t>
      </w:r>
      <w:r w:rsidRPr="0067078C">
        <w:rPr>
          <w:sz w:val="24"/>
          <w:szCs w:val="24"/>
        </w:rPr>
        <w:t xml:space="preserve">., </w:t>
      </w:r>
      <w:r w:rsidRPr="0067078C">
        <w:rPr>
          <w:i/>
          <w:sz w:val="24"/>
          <w:szCs w:val="24"/>
        </w:rPr>
        <w:t>9</w:t>
      </w:r>
      <w:r w:rsidRPr="0067078C">
        <w:rPr>
          <w:sz w:val="24"/>
          <w:szCs w:val="24"/>
        </w:rPr>
        <w:t>(3), 489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498.</w:t>
      </w:r>
    </w:p>
    <w:p w14:paraId="32B8B5CD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Ridame, C., M. Le Moal, C. Guieu, E. Ternon, I. C. Biegala, S. L'Helguen, and M. Pujo-Pay </w:t>
      </w:r>
    </w:p>
    <w:p w14:paraId="73234FB6" w14:textId="77777777" w:rsidR="00BD5799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>(2011), Nutrient control of N</w:t>
      </w:r>
      <w:r w:rsidRPr="00651A67">
        <w:rPr>
          <w:sz w:val="24"/>
          <w:szCs w:val="24"/>
          <w:vertAlign w:val="subscript"/>
        </w:rPr>
        <w:t>2</w:t>
      </w:r>
      <w:r w:rsidRPr="0067078C">
        <w:rPr>
          <w:sz w:val="24"/>
          <w:szCs w:val="24"/>
        </w:rPr>
        <w:t xml:space="preserve"> fixation in the oligotrophic Mediterranean Sea and the impact of Saharan dust events, Biogeosciences, 8, 2773–2783, doi:10.5194/bg-8-2773-2011.</w:t>
      </w:r>
    </w:p>
    <w:p w14:paraId="4287801C" w14:textId="77777777" w:rsidR="00F34D05" w:rsidRPr="007D28A4" w:rsidRDefault="00F34D05" w:rsidP="00F34D05">
      <w:pPr>
        <w:pStyle w:val="EndNoteBibliography"/>
        <w:spacing w:after="0" w:line="480" w:lineRule="auto"/>
        <w:jc w:val="left"/>
        <w:rPr>
          <w:color w:val="000000" w:themeColor="text1"/>
          <w:sz w:val="24"/>
          <w:szCs w:val="24"/>
        </w:rPr>
      </w:pPr>
      <w:r w:rsidRPr="007D28A4">
        <w:rPr>
          <w:color w:val="000000" w:themeColor="text1"/>
          <w:sz w:val="24"/>
          <w:szCs w:val="24"/>
        </w:rPr>
        <w:t xml:space="preserve">Roxy, M. K., K. Ritika, P. Terray, R. Murtugudde, K. Ashok, and B. N. Goswami (2015), </w:t>
      </w:r>
    </w:p>
    <w:p w14:paraId="634A9D65" w14:textId="77777777" w:rsidR="00F34D05" w:rsidRPr="007D28A4" w:rsidRDefault="00F34D05" w:rsidP="00F34D05">
      <w:pPr>
        <w:pStyle w:val="EndNoteBibliography"/>
        <w:spacing w:after="0" w:line="480" w:lineRule="auto"/>
        <w:ind w:left="567"/>
        <w:jc w:val="left"/>
        <w:rPr>
          <w:color w:val="000000" w:themeColor="text1"/>
          <w:sz w:val="24"/>
          <w:szCs w:val="24"/>
        </w:rPr>
      </w:pPr>
      <w:r w:rsidRPr="007D28A4">
        <w:rPr>
          <w:color w:val="000000" w:themeColor="text1"/>
          <w:sz w:val="24"/>
          <w:szCs w:val="24"/>
        </w:rPr>
        <w:t xml:space="preserve">Drying of Indian subcontinent by rapid Indian Ocean warming and a weakening land-sea thermal gradient, </w:t>
      </w:r>
      <w:r w:rsidRPr="007D28A4">
        <w:rPr>
          <w:i/>
          <w:color w:val="000000" w:themeColor="text1"/>
          <w:sz w:val="24"/>
          <w:szCs w:val="24"/>
        </w:rPr>
        <w:t>Nat. Commun</w:t>
      </w:r>
      <w:r w:rsidRPr="007D28A4">
        <w:rPr>
          <w:color w:val="000000" w:themeColor="text1"/>
          <w:sz w:val="24"/>
          <w:szCs w:val="24"/>
        </w:rPr>
        <w:t xml:space="preserve">., </w:t>
      </w:r>
      <w:r w:rsidRPr="0032755E">
        <w:rPr>
          <w:i/>
          <w:color w:val="000000" w:themeColor="text1"/>
          <w:sz w:val="24"/>
          <w:szCs w:val="24"/>
        </w:rPr>
        <w:t>6</w:t>
      </w:r>
      <w:r w:rsidRPr="007D28A4">
        <w:rPr>
          <w:color w:val="000000" w:themeColor="text1"/>
          <w:sz w:val="24"/>
          <w:szCs w:val="24"/>
        </w:rPr>
        <w:t>, 7423.</w:t>
      </w:r>
    </w:p>
    <w:p w14:paraId="2CB5FBF2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lastRenderedPageBreak/>
        <w:t xml:space="preserve">Sandroni, V., P. Raimbault, C. Migon, N. Garcia, and E. Gouze (2007), Dry atmospheric </w:t>
      </w:r>
    </w:p>
    <w:p w14:paraId="5C8F2C15" w14:textId="77777777" w:rsidR="00BD5799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deposition and diazotrophy as sources of new nitrogen to northwestern Mediterranean oligotrophic surface waters, </w:t>
      </w:r>
      <w:r w:rsidRPr="0067078C">
        <w:rPr>
          <w:rStyle w:val="journaltitle"/>
          <w:i/>
          <w:iCs/>
          <w:sz w:val="24"/>
          <w:szCs w:val="21"/>
          <w:bdr w:val="none" w:sz="0" w:space="0" w:color="auto" w:frame="1"/>
          <w:shd w:val="clear" w:color="auto" w:fill="FFFFFF"/>
        </w:rPr>
        <w:t>Deep Sea Res., Part I</w:t>
      </w:r>
      <w:r w:rsidRPr="0067078C">
        <w:rPr>
          <w:sz w:val="24"/>
          <w:szCs w:val="24"/>
        </w:rPr>
        <w:t xml:space="preserve">, </w:t>
      </w:r>
      <w:r w:rsidRPr="0067078C">
        <w:rPr>
          <w:i/>
          <w:sz w:val="24"/>
          <w:szCs w:val="24"/>
        </w:rPr>
        <w:t>54</w:t>
      </w:r>
      <w:r w:rsidRPr="0067078C">
        <w:rPr>
          <w:sz w:val="24"/>
          <w:szCs w:val="24"/>
        </w:rPr>
        <w:t>(11), 1859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1870.</w:t>
      </w:r>
    </w:p>
    <w:p w14:paraId="406A9C5A" w14:textId="77777777" w:rsidR="00F34D05" w:rsidRPr="007D28A4" w:rsidRDefault="00F34D05" w:rsidP="00F34D05">
      <w:pPr>
        <w:pStyle w:val="EndNoteBibliography"/>
        <w:spacing w:after="0" w:line="480" w:lineRule="auto"/>
        <w:jc w:val="left"/>
        <w:rPr>
          <w:color w:val="000000" w:themeColor="text1"/>
          <w:sz w:val="24"/>
          <w:szCs w:val="24"/>
        </w:rPr>
      </w:pPr>
      <w:r w:rsidRPr="007D28A4">
        <w:rPr>
          <w:color w:val="000000" w:themeColor="text1"/>
          <w:sz w:val="24"/>
          <w:szCs w:val="24"/>
        </w:rPr>
        <w:t xml:space="preserve">Wernand, M. R., H. J. van der Woerd, and W. W. C. Gieskes (2013), Trends in Ocean Colour </w:t>
      </w:r>
    </w:p>
    <w:p w14:paraId="54FD0CA6" w14:textId="77777777" w:rsidR="00F34D05" w:rsidRPr="007D28A4" w:rsidRDefault="00F34D05" w:rsidP="00F34D05">
      <w:pPr>
        <w:pStyle w:val="EndNoteBibliography"/>
        <w:spacing w:after="0" w:line="480" w:lineRule="auto"/>
        <w:ind w:firstLine="567"/>
        <w:jc w:val="left"/>
        <w:rPr>
          <w:color w:val="000000" w:themeColor="text1"/>
          <w:sz w:val="24"/>
          <w:szCs w:val="24"/>
        </w:rPr>
      </w:pPr>
      <w:r w:rsidRPr="007D28A4">
        <w:rPr>
          <w:color w:val="000000" w:themeColor="text1"/>
          <w:sz w:val="24"/>
          <w:szCs w:val="24"/>
        </w:rPr>
        <w:t xml:space="preserve">and Chlorophyll Concentration from 1889 to 2000, Worldwide, </w:t>
      </w:r>
      <w:r w:rsidRPr="007D28A4">
        <w:rPr>
          <w:i/>
          <w:color w:val="000000" w:themeColor="text1"/>
          <w:sz w:val="24"/>
          <w:szCs w:val="24"/>
        </w:rPr>
        <w:t>PLoS ONE</w:t>
      </w:r>
      <w:r w:rsidRPr="007D28A4">
        <w:rPr>
          <w:color w:val="000000" w:themeColor="text1"/>
          <w:sz w:val="24"/>
          <w:szCs w:val="24"/>
        </w:rPr>
        <w:t xml:space="preserve">, </w:t>
      </w:r>
      <w:r w:rsidRPr="007D28A4">
        <w:rPr>
          <w:i/>
          <w:color w:val="000000" w:themeColor="text1"/>
          <w:sz w:val="24"/>
          <w:szCs w:val="24"/>
        </w:rPr>
        <w:t>8</w:t>
      </w:r>
      <w:r w:rsidRPr="007D28A4">
        <w:rPr>
          <w:color w:val="000000" w:themeColor="text1"/>
          <w:sz w:val="24"/>
          <w:szCs w:val="24"/>
        </w:rPr>
        <w:t>(6), e63766.</w:t>
      </w:r>
    </w:p>
    <w:p w14:paraId="7B9B122B" w14:textId="77777777" w:rsidR="00BD5799" w:rsidRDefault="00BD5799" w:rsidP="00BD5799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>Yogev, T., E. Rahav, E. Bar</w:t>
      </w:r>
      <w:r w:rsidRPr="0067078C">
        <w:rPr>
          <w:rFonts w:ascii="Cambria Math" w:hAnsi="Cambria Math" w:cs="Cambria Math"/>
          <w:sz w:val="24"/>
          <w:szCs w:val="24"/>
        </w:rPr>
        <w:t>‐</w:t>
      </w:r>
      <w:r w:rsidRPr="0067078C">
        <w:rPr>
          <w:sz w:val="24"/>
          <w:szCs w:val="24"/>
        </w:rPr>
        <w:t>Zeev, D. Man</w:t>
      </w:r>
      <w:r w:rsidRPr="0067078C">
        <w:rPr>
          <w:rFonts w:ascii="Cambria Math" w:hAnsi="Cambria Math" w:cs="Cambria Math"/>
          <w:sz w:val="24"/>
          <w:szCs w:val="24"/>
        </w:rPr>
        <w:t>‐</w:t>
      </w:r>
      <w:r w:rsidRPr="0067078C">
        <w:rPr>
          <w:sz w:val="24"/>
          <w:szCs w:val="24"/>
        </w:rPr>
        <w:t xml:space="preserve">Aharonovich, N. Stambler, N. Kress, O. Béjà, M. R. </w:t>
      </w:r>
    </w:p>
    <w:p w14:paraId="0714F515" w14:textId="77777777" w:rsidR="00BD5799" w:rsidRPr="0067078C" w:rsidRDefault="00BD5799" w:rsidP="00BD5799">
      <w:pPr>
        <w:pStyle w:val="EndNoteBibliography"/>
        <w:spacing w:after="0" w:line="480" w:lineRule="auto"/>
        <w:ind w:left="567"/>
        <w:jc w:val="left"/>
        <w:rPr>
          <w:sz w:val="24"/>
          <w:szCs w:val="24"/>
        </w:rPr>
      </w:pPr>
      <w:r w:rsidRPr="0067078C">
        <w:rPr>
          <w:sz w:val="24"/>
          <w:szCs w:val="24"/>
        </w:rPr>
        <w:t>Mulholland, B. Herut, and I. Berman</w:t>
      </w:r>
      <w:r w:rsidRPr="0067078C">
        <w:rPr>
          <w:rFonts w:ascii="Cambria Math" w:hAnsi="Cambria Math" w:cs="Cambria Math"/>
          <w:sz w:val="24"/>
          <w:szCs w:val="24"/>
        </w:rPr>
        <w:t>‐</w:t>
      </w:r>
      <w:r w:rsidRPr="0067078C">
        <w:rPr>
          <w:sz w:val="24"/>
          <w:szCs w:val="24"/>
        </w:rPr>
        <w:t xml:space="preserve">Frank (2011), Is dinitrogen fixation significant in the Levantine Basin, East Mediterranean Sea?, </w:t>
      </w:r>
      <w:r w:rsidRPr="0067078C">
        <w:rPr>
          <w:i/>
          <w:sz w:val="24"/>
          <w:szCs w:val="24"/>
        </w:rPr>
        <w:t>Environ. Microbiol.</w:t>
      </w:r>
      <w:r w:rsidRPr="0067078C">
        <w:rPr>
          <w:sz w:val="24"/>
          <w:szCs w:val="24"/>
        </w:rPr>
        <w:t xml:space="preserve">, </w:t>
      </w:r>
      <w:r w:rsidRPr="0067078C">
        <w:rPr>
          <w:i/>
          <w:sz w:val="24"/>
          <w:szCs w:val="24"/>
        </w:rPr>
        <w:t>13</w:t>
      </w:r>
      <w:r w:rsidRPr="0067078C">
        <w:rPr>
          <w:sz w:val="24"/>
          <w:szCs w:val="24"/>
        </w:rPr>
        <w:t>(4), 854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871.</w:t>
      </w:r>
    </w:p>
    <w:p w14:paraId="4A0AEB0A" w14:textId="77777777" w:rsidR="00BD5799" w:rsidRDefault="00BD5799" w:rsidP="00530D81">
      <w:pPr>
        <w:pStyle w:val="EndNoteBibliography"/>
        <w:spacing w:after="0" w:line="480" w:lineRule="auto"/>
        <w:jc w:val="left"/>
        <w:rPr>
          <w:sz w:val="24"/>
          <w:szCs w:val="24"/>
        </w:rPr>
      </w:pPr>
      <w:r w:rsidRPr="0067078C">
        <w:rPr>
          <w:sz w:val="24"/>
          <w:szCs w:val="24"/>
        </w:rPr>
        <w:t xml:space="preserve">Zeev, E. B., T. Yogev, D. Man-Aharonovich, N. Kress, B. Herut, O. Béja, and I. Berman-Frank </w:t>
      </w:r>
    </w:p>
    <w:p w14:paraId="1FE7B241" w14:textId="77777777" w:rsidR="00BD5799" w:rsidRPr="0067078C" w:rsidRDefault="00BD5799" w:rsidP="00530D81">
      <w:pPr>
        <w:pStyle w:val="EndNoteBibliography"/>
        <w:spacing w:line="480" w:lineRule="auto"/>
        <w:ind w:left="567"/>
        <w:jc w:val="left"/>
      </w:pPr>
      <w:r w:rsidRPr="0067078C">
        <w:rPr>
          <w:sz w:val="24"/>
          <w:szCs w:val="24"/>
        </w:rPr>
        <w:t xml:space="preserve">(2008), Seasonal dynamics of the endosymbiotic, nitrogen-fixing cyanobacterium Richelia intracellularis in the eastern Mediterranean Sea, </w:t>
      </w:r>
      <w:r w:rsidRPr="0067078C">
        <w:rPr>
          <w:i/>
          <w:sz w:val="24"/>
          <w:szCs w:val="24"/>
        </w:rPr>
        <w:t>ISME J.,</w:t>
      </w:r>
      <w:r w:rsidRPr="0067078C">
        <w:rPr>
          <w:sz w:val="24"/>
          <w:szCs w:val="24"/>
        </w:rPr>
        <w:t xml:space="preserve"> </w:t>
      </w:r>
      <w:r w:rsidRPr="0067078C">
        <w:rPr>
          <w:i/>
          <w:sz w:val="24"/>
          <w:szCs w:val="24"/>
        </w:rPr>
        <w:t>2</w:t>
      </w:r>
      <w:r w:rsidRPr="0067078C">
        <w:rPr>
          <w:sz w:val="24"/>
          <w:szCs w:val="24"/>
        </w:rPr>
        <w:t>(9), 911</w:t>
      </w:r>
      <w:r>
        <w:rPr>
          <w:sz w:val="24"/>
          <w:szCs w:val="24"/>
        </w:rPr>
        <w:t>–</w:t>
      </w:r>
      <w:r w:rsidRPr="0067078C">
        <w:rPr>
          <w:sz w:val="24"/>
          <w:szCs w:val="24"/>
        </w:rPr>
        <w:t>923.</w:t>
      </w:r>
    </w:p>
    <w:p w14:paraId="16AE365E" w14:textId="77777777" w:rsidR="0048386B" w:rsidRPr="00BD5799" w:rsidRDefault="009F657D"/>
    <w:sectPr w:rsidR="0048386B" w:rsidRPr="00BD5799" w:rsidSect="00B85602">
      <w:footerReference w:type="even" r:id="rId14"/>
      <w:footerReference w:type="default" r:id="rId15"/>
      <w:pgSz w:w="11906" w:h="16838" w:code="9"/>
      <w:pgMar w:top="1701" w:right="1276" w:bottom="1440" w:left="1276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85003" w14:textId="77777777" w:rsidR="009F657D" w:rsidRDefault="009F657D">
      <w:r>
        <w:separator/>
      </w:r>
    </w:p>
  </w:endnote>
  <w:endnote w:type="continuationSeparator" w:id="0">
    <w:p w14:paraId="7C539D69" w14:textId="77777777" w:rsidR="009F657D" w:rsidRDefault="009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A7A9" w14:textId="77777777" w:rsidR="00CC0734" w:rsidRDefault="00BD5799" w:rsidP="002A1D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7C6DA" w14:textId="77777777" w:rsidR="00CC0734" w:rsidRDefault="009F65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A95A" w14:textId="77777777" w:rsidR="00CC0734" w:rsidRDefault="00BD5799" w:rsidP="002A1D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BDE">
      <w:rPr>
        <w:rStyle w:val="a5"/>
        <w:noProof/>
      </w:rPr>
      <w:t>3</w:t>
    </w:r>
    <w:r>
      <w:rPr>
        <w:rStyle w:val="a5"/>
      </w:rPr>
      <w:fldChar w:fldCharType="end"/>
    </w:r>
  </w:p>
  <w:p w14:paraId="39BEA5BB" w14:textId="77777777" w:rsidR="00CC0734" w:rsidRDefault="009F65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97D1" w14:textId="77777777" w:rsidR="009F657D" w:rsidRDefault="009F657D">
      <w:r>
        <w:separator/>
      </w:r>
    </w:p>
  </w:footnote>
  <w:footnote w:type="continuationSeparator" w:id="0">
    <w:p w14:paraId="57087BD8" w14:textId="77777777" w:rsidR="009F657D" w:rsidRDefault="009F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99"/>
    <w:rsid w:val="000A6660"/>
    <w:rsid w:val="000B0FC6"/>
    <w:rsid w:val="001109A6"/>
    <w:rsid w:val="001B242A"/>
    <w:rsid w:val="001C7A19"/>
    <w:rsid w:val="0020425C"/>
    <w:rsid w:val="00206EBC"/>
    <w:rsid w:val="00237A38"/>
    <w:rsid w:val="003F09D5"/>
    <w:rsid w:val="004E35F0"/>
    <w:rsid w:val="00530D81"/>
    <w:rsid w:val="00540311"/>
    <w:rsid w:val="005F7B90"/>
    <w:rsid w:val="00621973"/>
    <w:rsid w:val="006509ED"/>
    <w:rsid w:val="007B1E27"/>
    <w:rsid w:val="00937F68"/>
    <w:rsid w:val="009F657D"/>
    <w:rsid w:val="00A86358"/>
    <w:rsid w:val="00BB5938"/>
    <w:rsid w:val="00BD5799"/>
    <w:rsid w:val="00C26BDE"/>
    <w:rsid w:val="00C53EDB"/>
    <w:rsid w:val="00D13EF0"/>
    <w:rsid w:val="00D40230"/>
    <w:rsid w:val="00D56B60"/>
    <w:rsid w:val="00D5713D"/>
    <w:rsid w:val="00D7777F"/>
    <w:rsid w:val="00DA6A6F"/>
    <w:rsid w:val="00E2335E"/>
    <w:rsid w:val="00EE0AF3"/>
    <w:rsid w:val="00F04C1A"/>
    <w:rsid w:val="00F34D05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AB82C"/>
  <w15:docId w15:val="{4490E56A-8F5B-41C6-A3F5-1EE3FBD5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99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13D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799"/>
    <w:rPr>
      <w:color w:val="0000FF"/>
      <w:u w:val="single"/>
    </w:rPr>
  </w:style>
  <w:style w:type="paragraph" w:styleId="a4">
    <w:name w:val="footer"/>
    <w:basedOn w:val="a"/>
    <w:link w:val="Char"/>
    <w:rsid w:val="00BD5799"/>
    <w:pPr>
      <w:widowControl/>
      <w:tabs>
        <w:tab w:val="center" w:pos="4320"/>
        <w:tab w:val="right" w:pos="8640"/>
      </w:tabs>
      <w:wordWrap/>
      <w:autoSpaceDE/>
      <w:autoSpaceDN/>
      <w:spacing w:after="200"/>
    </w:pPr>
    <w:rPr>
      <w:rFonts w:ascii="Times" w:hAnsi="Times"/>
      <w:sz w:val="24"/>
      <w:lang w:eastAsia="en-US"/>
    </w:rPr>
  </w:style>
  <w:style w:type="character" w:customStyle="1" w:styleId="Char">
    <w:name w:val="바닥글 Char"/>
    <w:basedOn w:val="a0"/>
    <w:link w:val="a4"/>
    <w:rsid w:val="00BD5799"/>
    <w:rPr>
      <w:rFonts w:ascii="Times" w:eastAsia="바탕" w:hAnsi="Times" w:cs="Times New Roman"/>
      <w:kern w:val="0"/>
      <w:sz w:val="24"/>
      <w:szCs w:val="20"/>
      <w:lang w:eastAsia="en-US"/>
    </w:rPr>
  </w:style>
  <w:style w:type="character" w:styleId="a5">
    <w:name w:val="page number"/>
    <w:basedOn w:val="a0"/>
    <w:rsid w:val="00BD5799"/>
  </w:style>
  <w:style w:type="paragraph" w:styleId="a6">
    <w:name w:val="List Paragraph"/>
    <w:basedOn w:val="a"/>
    <w:uiPriority w:val="72"/>
    <w:qFormat/>
    <w:rsid w:val="00BD5799"/>
    <w:pPr>
      <w:ind w:left="720"/>
      <w:contextualSpacing/>
    </w:pPr>
  </w:style>
  <w:style w:type="character" w:customStyle="1" w:styleId="apple-converted-space">
    <w:name w:val="apple-converted-space"/>
    <w:basedOn w:val="a0"/>
    <w:rsid w:val="00BD5799"/>
  </w:style>
  <w:style w:type="paragraph" w:customStyle="1" w:styleId="EndNoteBibliography">
    <w:name w:val="EndNote Bibliography"/>
    <w:basedOn w:val="a"/>
    <w:link w:val="EndNoteBibliographyChar"/>
    <w:rsid w:val="00BD5799"/>
    <w:pPr>
      <w:spacing w:after="160"/>
    </w:pPr>
    <w:rPr>
      <w:rFonts w:eastAsia="맑은 고딕"/>
      <w:noProof/>
      <w:kern w:val="2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BD5799"/>
    <w:rPr>
      <w:rFonts w:ascii="Times New Roman" w:eastAsia="맑은 고딕" w:hAnsi="Times New Roman" w:cs="Times New Roman"/>
      <w:noProof/>
    </w:rPr>
  </w:style>
  <w:style w:type="character" w:customStyle="1" w:styleId="author">
    <w:name w:val="author"/>
    <w:basedOn w:val="a0"/>
    <w:rsid w:val="00BD5799"/>
  </w:style>
  <w:style w:type="character" w:customStyle="1" w:styleId="pubyear">
    <w:name w:val="pubyear"/>
    <w:basedOn w:val="a0"/>
    <w:rsid w:val="00BD5799"/>
  </w:style>
  <w:style w:type="character" w:customStyle="1" w:styleId="articletitle">
    <w:name w:val="articletitle"/>
    <w:basedOn w:val="a0"/>
    <w:rsid w:val="00BD5799"/>
  </w:style>
  <w:style w:type="character" w:customStyle="1" w:styleId="journaltitle">
    <w:name w:val="journaltitle"/>
    <w:basedOn w:val="a0"/>
    <w:rsid w:val="00BD5799"/>
  </w:style>
  <w:style w:type="character" w:customStyle="1" w:styleId="vol">
    <w:name w:val="vol"/>
    <w:basedOn w:val="a0"/>
    <w:rsid w:val="00BD5799"/>
  </w:style>
  <w:style w:type="character" w:styleId="a7">
    <w:name w:val="line number"/>
    <w:basedOn w:val="a0"/>
    <w:uiPriority w:val="99"/>
    <w:semiHidden/>
    <w:unhideWhenUsed/>
    <w:rsid w:val="00BD5799"/>
  </w:style>
  <w:style w:type="paragraph" w:styleId="a8">
    <w:name w:val="header"/>
    <w:basedOn w:val="a"/>
    <w:link w:val="Char0"/>
    <w:uiPriority w:val="99"/>
    <w:unhideWhenUsed/>
    <w:rsid w:val="00D571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5713D"/>
    <w:rPr>
      <w:rFonts w:ascii="Times New Roman" w:eastAsia="바탕" w:hAnsi="Times New Roman" w:cs="Times New Roman"/>
      <w:kern w:val="0"/>
      <w:szCs w:val="20"/>
    </w:rPr>
  </w:style>
  <w:style w:type="character" w:customStyle="1" w:styleId="9Char">
    <w:name w:val="제목 9 Char"/>
    <w:basedOn w:val="a0"/>
    <w:link w:val="9"/>
    <w:rsid w:val="00D5713D"/>
    <w:rPr>
      <w:rFonts w:ascii="Times New Roman" w:eastAsia="바탕" w:hAnsi="Times New Roman" w:cs="Times New Roman"/>
      <w:kern w:val="0"/>
      <w:szCs w:val="20"/>
    </w:rPr>
  </w:style>
  <w:style w:type="table" w:styleId="a9">
    <w:name w:val="Table Grid"/>
    <w:basedOn w:val="a1"/>
    <w:rsid w:val="00D5713D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C7A19"/>
    <w:rPr>
      <w:color w:val="954F72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0B0FC6"/>
    <w:rPr>
      <w:rFonts w:ascii="AppleGothic" w:eastAsia="AppleGothic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0B0FC6"/>
    <w:rPr>
      <w:rFonts w:ascii="AppleGothic" w:eastAsia="AppleGothic" w:hAnsi="Times New Roman" w:cs="Times New Roman"/>
      <w:kern w:val="0"/>
      <w:sz w:val="18"/>
      <w:szCs w:val="18"/>
    </w:rPr>
  </w:style>
  <w:style w:type="character" w:customStyle="1" w:styleId="pagefirst">
    <w:name w:val="pagefirst"/>
    <w:basedOn w:val="a0"/>
    <w:rsid w:val="00F34D05"/>
  </w:style>
  <w:style w:type="character" w:customStyle="1" w:styleId="pagelast">
    <w:name w:val="pagelast"/>
    <w:basedOn w:val="a0"/>
    <w:rsid w:val="00F34D05"/>
  </w:style>
  <w:style w:type="character" w:customStyle="1" w:styleId="booktitle">
    <w:name w:val="booktitle"/>
    <w:basedOn w:val="a0"/>
    <w:rsid w:val="00F34D05"/>
  </w:style>
  <w:style w:type="character" w:customStyle="1" w:styleId="publisherlocation">
    <w:name w:val="publisherlocation"/>
    <w:basedOn w:val="a0"/>
    <w:rsid w:val="00F34D05"/>
  </w:style>
  <w:style w:type="paragraph" w:styleId="ac">
    <w:name w:val="No Spacing"/>
    <w:uiPriority w:val="1"/>
    <w:qFormat/>
    <w:rsid w:val="000A666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l@postech.ac.kr" TargetMode="External"/><Relationship Id="rId13" Type="http://schemas.openxmlformats.org/officeDocument/2006/relationships/hyperlink" Target="http://dx.doi.org/10.1029/2009GL0416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DFCD-3550-4AA4-8B26-56FC2BE1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Jiyoung Moon</dc:creator>
  <cp:keywords/>
  <dc:description/>
  <cp:lastModifiedBy>Jiyoung Moon</cp:lastModifiedBy>
  <cp:revision>12</cp:revision>
  <dcterms:created xsi:type="dcterms:W3CDTF">2016-05-09T02:37:00Z</dcterms:created>
  <dcterms:modified xsi:type="dcterms:W3CDTF">2016-05-10T00:59:00Z</dcterms:modified>
</cp:coreProperties>
</file>