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Grevemeyer et al.; GEOSPHERE - Supplementary Table 2:</w:t>
      </w:r>
    </w:p>
    <w:p>
      <w:pPr>
        <w:pStyle w:val="Normal"/>
        <w:rPr/>
      </w:pPr>
      <w:r>
        <w:rPr>
          <w:u w:val="single"/>
          <w:lang w:val="en-US"/>
        </w:rPr>
        <w:t>Area</w:t>
        <w:tab/>
        <w:tab/>
      </w:r>
      <w:r>
        <w:rPr>
          <w:u w:val="single"/>
          <w:lang w:val="en-US"/>
        </w:rPr>
        <w:t>lon</w:t>
        <w:tab/>
        <w:t>lat</w:t>
        <w:tab/>
      </w:r>
      <w:r>
        <w:rPr>
          <w:u w:val="single"/>
          <w:lang w:val="en-US"/>
        </w:rPr>
        <w:t>thickness</w:t>
        <w:tab/>
        <w:t>velocity</w:t>
        <w:tab/>
        <w:tab/>
        <w:t>approach</w:t>
        <w:tab/>
        <w:t>Reference</w:t>
      </w:r>
    </w:p>
    <w:p>
      <w:pPr>
        <w:pStyle w:val="Normal"/>
        <w:spacing w:lineRule="auto" w:line="240" w:before="0" w:after="0"/>
        <w:rPr/>
      </w:pPr>
      <w:r>
        <w:rPr/>
        <w:t>EPR 9°N</w:t>
        <w:tab/>
      </w:r>
      <w:bookmarkStart w:id="0" w:name="_GoBack"/>
      <w:bookmarkEnd w:id="0"/>
      <w:r>
        <w:rPr/>
        <w:t>-</w:t>
      </w:r>
      <w:r>
        <w:rPr/>
        <w:t>104.0</w:t>
      </w:r>
      <w:r>
        <w:rPr/>
        <w:tab/>
      </w:r>
      <w:r>
        <w:rPr/>
        <w:t>9.0</w:t>
      </w:r>
      <w:r>
        <w:rPr/>
        <w:tab/>
        <w:t>6.6 ± 0.6</w:t>
        <w:tab/>
        <w:t>7.07 ± 0.04</w:t>
        <w:tab/>
      </w:r>
      <w:r>
        <w:rPr/>
        <w:t>T</w:t>
      </w:r>
      <w:r>
        <w:rPr/>
        <w:tab/>
        <w:t>Canales et al., 2003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EPR 4°S</w:t>
        <w:tab/>
        <w:tab/>
        <w:t>-</w:t>
      </w:r>
      <w:r>
        <w:rPr>
          <w:lang w:val="en-US"/>
        </w:rPr>
        <w:t>103.0</w:t>
      </w:r>
      <w:r>
        <w:rPr>
          <w:lang w:val="en-US"/>
        </w:rPr>
        <w:tab/>
        <w:t>-</w:t>
      </w:r>
      <w:r>
        <w:rPr>
          <w:lang w:val="en-US"/>
        </w:rPr>
        <w:t>3.5</w:t>
      </w:r>
      <w:r>
        <w:rPr>
          <w:lang w:val="en-US"/>
        </w:rPr>
        <w:tab/>
        <w:t>6.4 ± 0.3</w:t>
        <w:tab/>
        <w:t>7.19 ± 0.05</w:t>
        <w:tab/>
        <w:t>T</w:t>
        <w:tab/>
        <w:t>Roland et al., 2012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EPR 5°S</w:t>
        <w:tab/>
        <w:tab/>
        <w:t>-</w:t>
      </w:r>
      <w:r>
        <w:rPr>
          <w:lang w:val="en-US"/>
        </w:rPr>
        <w:t>105.0</w:t>
      </w:r>
      <w:r>
        <w:rPr>
          <w:lang w:val="en-US"/>
        </w:rPr>
        <w:tab/>
        <w:t>-</w:t>
      </w:r>
      <w:r>
        <w:rPr>
          <w:lang w:val="en-US"/>
        </w:rPr>
        <w:t>6.0</w:t>
      </w:r>
      <w:r>
        <w:rPr>
          <w:lang w:val="en-US"/>
        </w:rPr>
        <w:tab/>
        <w:t>6.2 ± 0.3</w:t>
        <w:tab/>
        <w:t>7.17 ± 0.05</w:t>
        <w:tab/>
        <w:t>T</w:t>
        <w:tab/>
        <w:t>Roland et al., 2012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EPR 14°S</w:t>
        <w:tab/>
        <w:t>-</w:t>
      </w:r>
      <w:r>
        <w:rPr>
          <w:lang w:val="en-US"/>
        </w:rPr>
        <w:t>106.2</w:t>
      </w:r>
      <w:r>
        <w:rPr>
          <w:lang w:val="en-US"/>
        </w:rPr>
        <w:tab/>
        <w:t>-</w:t>
      </w:r>
      <w:r>
        <w:rPr>
          <w:lang w:val="en-US"/>
        </w:rPr>
        <w:t>15.7</w:t>
      </w:r>
      <w:r>
        <w:rPr>
          <w:lang w:val="en-US"/>
        </w:rPr>
        <w:tab/>
        <w:t>6.2 ± 0.5</w:t>
        <w:tab/>
        <w:t>7.02 ± 0.05</w:t>
        <w:tab/>
        <w:t>F</w:t>
        <w:tab/>
        <w:t>Grevemeyer et al., 1998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EPR 16°S</w:t>
        <w:tab/>
        <w:t>-</w:t>
      </w:r>
      <w:r>
        <w:rPr>
          <w:lang w:val="en-US"/>
        </w:rPr>
        <w:t>112.0</w:t>
      </w:r>
      <w:r>
        <w:rPr>
          <w:lang w:val="en-US"/>
        </w:rPr>
        <w:tab/>
        <w:t>-</w:t>
      </w:r>
      <w:r>
        <w:rPr>
          <w:lang w:val="en-US"/>
        </w:rPr>
        <w:t>17.3</w:t>
      </w:r>
      <w:r>
        <w:rPr>
          <w:lang w:val="en-US"/>
        </w:rPr>
        <w:tab/>
        <w:t>5.8 ± 0.5</w:t>
        <w:tab/>
        <w:t>7.1 ± 0.06</w:t>
        <w:tab/>
        <w:t>F</w:t>
        <w:tab/>
        <w:t>Canales et al., 1998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Chile 46°S</w:t>
        <w:tab/>
        <w:t>-</w:t>
      </w:r>
      <w:r>
        <w:rPr>
          <w:lang w:val="en-US"/>
        </w:rPr>
        <w:t>77.5</w:t>
      </w:r>
      <w:r>
        <w:rPr>
          <w:lang w:val="en-US"/>
        </w:rPr>
        <w:tab/>
        <w:t>-</w:t>
      </w:r>
      <w:r>
        <w:rPr>
          <w:lang w:val="en-US"/>
        </w:rPr>
        <w:t>43.1</w:t>
      </w:r>
      <w:r>
        <w:rPr>
          <w:lang w:val="en-US"/>
        </w:rPr>
        <w:tab/>
        <w:t>5.3 ± 0.3</w:t>
        <w:tab/>
        <w:t>7.02 ± 0.03</w:t>
        <w:tab/>
        <w:t>T</w:t>
        <w:tab/>
        <w:t>Contreras-Reyes et al., 2007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Chile 38°S</w:t>
        <w:tab/>
        <w:t>-</w:t>
      </w:r>
      <w:r>
        <w:rPr>
          <w:lang w:val="en-US"/>
        </w:rPr>
        <w:t>76.5</w:t>
      </w:r>
      <w:r>
        <w:rPr>
          <w:lang w:val="en-US"/>
        </w:rPr>
        <w:tab/>
        <w:t>-</w:t>
      </w:r>
      <w:r>
        <w:rPr>
          <w:lang w:val="en-US"/>
        </w:rPr>
        <w:t>37.6</w:t>
      </w:r>
      <w:r>
        <w:rPr>
          <w:lang w:val="en-US"/>
        </w:rPr>
        <w:tab/>
        <w:t>7.3 ± 0.4</w:t>
        <w:tab/>
        <w:t>7.16 ± 0.03</w:t>
        <w:tab/>
        <w:t>T</w:t>
        <w:tab/>
        <w:t>Contreras-Reyes et al., 2008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Chile 34°S</w:t>
        <w:tab/>
        <w:t>-</w:t>
      </w:r>
      <w:r>
        <w:rPr>
          <w:lang w:val="en-US"/>
        </w:rPr>
        <w:t>74.0</w:t>
      </w:r>
      <w:r>
        <w:rPr>
          <w:lang w:val="en-US"/>
        </w:rPr>
        <w:tab/>
        <w:t>-</w:t>
      </w:r>
      <w:r>
        <w:rPr>
          <w:lang w:val="en-US"/>
        </w:rPr>
        <w:t>34.3</w:t>
      </w:r>
      <w:r>
        <w:rPr>
          <w:lang w:val="en-US"/>
        </w:rPr>
        <w:tab/>
        <w:t>5.7 ± 0.3</w:t>
        <w:tab/>
        <w:t>6.96 ± 0.03</w:t>
        <w:tab/>
        <w:t>T</w:t>
        <w:tab/>
        <w:t>Moscoso et al., 2011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Nicaragua</w:t>
        <w:tab/>
        <w:t>-</w:t>
      </w:r>
      <w:r>
        <w:rPr>
          <w:lang w:val="en-US"/>
        </w:rPr>
        <w:t>86.7</w:t>
      </w:r>
      <w:r>
        <w:rPr>
          <w:lang w:val="en-US"/>
        </w:rPr>
        <w:tab/>
      </w:r>
      <w:r>
        <w:rPr>
          <w:lang w:val="en-US"/>
        </w:rPr>
        <w:t>9.0</w:t>
      </w:r>
      <w:r>
        <w:rPr>
          <w:lang w:val="en-US"/>
        </w:rPr>
        <w:tab/>
        <w:t>5.1 ± 0.3</w:t>
        <w:tab/>
        <w:t>6.95 ± 0.03</w:t>
        <w:tab/>
        <w:t>T</w:t>
        <w:tab/>
        <w:t>Ivandic et al., 2008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WPacific</w:t>
        <w:tab/>
      </w:r>
      <w:r>
        <w:rPr>
          <w:lang w:val="en-US"/>
        </w:rPr>
        <w:t>150.0</w:t>
      </w:r>
      <w:r>
        <w:rPr>
          <w:lang w:val="en-US"/>
        </w:rPr>
        <w:tab/>
      </w:r>
      <w:r>
        <w:rPr>
          <w:lang w:val="en-US"/>
        </w:rPr>
        <w:t>26.7</w:t>
      </w:r>
      <w:r>
        <w:rPr>
          <w:lang w:val="en-US"/>
        </w:rPr>
        <w:tab/>
        <w:t>6.9 ± 0.5</w:t>
        <w:tab/>
        <w:t>7.03 ± 0.04</w:t>
        <w:tab/>
        <w:t>T</w:t>
        <w:tab/>
        <w:t>Oikawa et al., 2010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WPacific</w:t>
        <w:tab/>
      </w:r>
      <w:r>
        <w:rPr>
          <w:lang w:val="en-US"/>
        </w:rPr>
        <w:t>150.0</w:t>
      </w:r>
      <w:r>
        <w:rPr>
          <w:lang w:val="en-US"/>
        </w:rPr>
        <w:tab/>
      </w:r>
      <w:r>
        <w:rPr>
          <w:lang w:val="en-US"/>
        </w:rPr>
        <w:t>27.7</w:t>
      </w:r>
      <w:r>
        <w:rPr>
          <w:lang w:val="en-US"/>
        </w:rPr>
        <w:tab/>
        <w:t>7.0 ± 0.5</w:t>
        <w:tab/>
        <w:t>7.07 ± 0.04</w:t>
        <w:tab/>
        <w:t>T</w:t>
        <w:tab/>
        <w:t>Oikawa et al., 2010</w:t>
      </w:r>
    </w:p>
    <w:p>
      <w:pPr>
        <w:pStyle w:val="Normal"/>
        <w:spacing w:lineRule="auto" w:line="240" w:before="0" w:after="0"/>
        <w:rPr/>
      </w:pPr>
      <w:r>
        <w:rPr/>
        <w:t>MAR 4.5°S</w:t>
        <w:tab/>
        <w:t>-</w:t>
      </w:r>
      <w:r>
        <w:rPr/>
        <w:t>12.2</w:t>
      </w:r>
      <w:r>
        <w:rPr/>
        <w:tab/>
        <w:t>-</w:t>
      </w:r>
      <w:r>
        <w:rPr/>
        <w:t>4.8</w:t>
      </w:r>
      <w:r>
        <w:rPr/>
        <w:tab/>
        <w:t>9.2 ± 0.7</w:t>
        <w:tab/>
        <w:t>7.22 ± 0.04</w:t>
        <w:tab/>
        <w:t>T</w:t>
        <w:tab/>
        <w:t>Planert et al., 2009</w:t>
      </w:r>
    </w:p>
    <w:p>
      <w:pPr>
        <w:pStyle w:val="Normal"/>
        <w:spacing w:lineRule="auto" w:line="240" w:before="0" w:after="0"/>
        <w:rPr/>
      </w:pPr>
      <w:r>
        <w:rPr/>
        <w:t>MAR 4.5° S</w:t>
        <w:tab/>
        <w:t>-</w:t>
      </w:r>
      <w:r>
        <w:rPr/>
        <w:t>12.2</w:t>
      </w:r>
      <w:r>
        <w:rPr/>
        <w:tab/>
        <w:t>-</w:t>
      </w:r>
      <w:r>
        <w:rPr/>
        <w:t>4.7</w:t>
      </w:r>
      <w:r>
        <w:rPr/>
        <w:tab/>
        <w:t>7.1 ± 0.6</w:t>
        <w:tab/>
        <w:t>7.16 ± 0.04</w:t>
        <w:tab/>
        <w:t>T</w:t>
        <w:tab/>
        <w:t>Planert et al., 2009</w:t>
      </w:r>
    </w:p>
    <w:p>
      <w:pPr>
        <w:pStyle w:val="Normal"/>
        <w:spacing w:lineRule="auto" w:line="240" w:before="0" w:after="0"/>
        <w:rPr/>
      </w:pPr>
      <w:r>
        <w:rPr/>
        <w:t>MAR 4.5° S</w:t>
        <w:tab/>
        <w:t>-</w:t>
      </w:r>
      <w:r>
        <w:rPr/>
        <w:t>122</w:t>
      </w:r>
      <w:r>
        <w:rPr/>
        <w:tab/>
        <w:t>-</w:t>
      </w:r>
      <w:r>
        <w:rPr/>
        <w:t>4.6</w:t>
      </w:r>
      <w:r>
        <w:rPr/>
        <w:tab/>
        <w:t>6.6 ± 0.6</w:t>
        <w:tab/>
        <w:t>7.03 ± 0.04</w:t>
        <w:tab/>
        <w:t>T</w:t>
        <w:tab/>
        <w:t>Planert et al., 2009</w:t>
      </w:r>
    </w:p>
    <w:p>
      <w:pPr>
        <w:pStyle w:val="Normal"/>
        <w:spacing w:lineRule="auto" w:line="240" w:before="0" w:after="0"/>
        <w:rPr/>
      </w:pPr>
      <w:r>
        <w:rPr/>
        <w:t>MAR 4.5° S</w:t>
        <w:tab/>
        <w:t>-</w:t>
      </w:r>
      <w:r>
        <w:rPr/>
        <w:t>12.2</w:t>
      </w:r>
      <w:r>
        <w:rPr/>
        <w:tab/>
        <w:t>-</w:t>
      </w:r>
      <w:r>
        <w:rPr/>
        <w:t>5.0</w:t>
      </w:r>
      <w:r>
        <w:rPr/>
        <w:tab/>
        <w:t>4.3 ± 0.5</w:t>
        <w:tab/>
        <w:t>6.71 ± 0.04</w:t>
        <w:tab/>
        <w:t>T</w:t>
        <w:tab/>
        <w:t>Planert et al., 2009</w:t>
      </w:r>
    </w:p>
    <w:p>
      <w:pPr>
        <w:pStyle w:val="Normal"/>
        <w:spacing w:lineRule="auto" w:line="240" w:before="0" w:after="0"/>
        <w:rPr/>
      </w:pPr>
      <w:r>
        <w:rPr/>
        <w:t>MAR 5°S</w:t>
        <w:tab/>
        <w:t>-</w:t>
      </w:r>
      <w:r>
        <w:rPr/>
        <w:t>11.6</w:t>
      </w:r>
      <w:r>
        <w:rPr/>
        <w:tab/>
        <w:t>-</w:t>
      </w:r>
      <w:r>
        <w:rPr/>
        <w:t>5.0</w:t>
      </w:r>
      <w:r>
        <w:rPr/>
        <w:tab/>
        <w:t>8.0 ± 0.6</w:t>
        <w:tab/>
        <w:t>7.15 ± 0.04</w:t>
        <w:tab/>
        <w:t>T</w:t>
        <w:tab/>
        <w:t>Planert et al., 2010</w:t>
      </w:r>
    </w:p>
    <w:p>
      <w:pPr>
        <w:pStyle w:val="Normal"/>
        <w:spacing w:lineRule="auto" w:line="240" w:before="0" w:after="0"/>
        <w:rPr/>
      </w:pPr>
      <w:r>
        <w:rPr/>
        <w:t>MAR 5°S</w:t>
        <w:tab/>
        <w:t>-</w:t>
      </w:r>
      <w:r>
        <w:rPr/>
        <w:t>11.6</w:t>
      </w:r>
      <w:r>
        <w:rPr/>
        <w:tab/>
        <w:t>-</w:t>
      </w:r>
      <w:r>
        <w:rPr/>
        <w:t>5.2</w:t>
      </w:r>
      <w:r>
        <w:rPr/>
        <w:tab/>
        <w:t>5.5 ± 0.6</w:t>
        <w:tab/>
        <w:t>6.96 ± 0.04</w:t>
        <w:tab/>
        <w:t>T</w:t>
        <w:tab/>
        <w:t>Planert et al., 2010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EAtlantic</w:t>
        <w:tab/>
        <w:t>-</w:t>
      </w:r>
      <w:r>
        <w:rPr>
          <w:lang w:val="en-US"/>
        </w:rPr>
        <w:t>23.0</w:t>
      </w:r>
      <w:r>
        <w:rPr>
          <w:lang w:val="en-US"/>
        </w:rPr>
        <w:tab/>
      </w:r>
      <w:r>
        <w:rPr>
          <w:lang w:val="en-US"/>
        </w:rPr>
        <w:t>24.5</w:t>
      </w:r>
      <w:r>
        <w:rPr>
          <w:lang w:val="en-US"/>
        </w:rPr>
        <w:tab/>
        <w:t>7.3 ± 0.5</w:t>
        <w:tab/>
        <w:t>7.18 ± 0.07</w:t>
        <w:tab/>
        <w:t>F</w:t>
        <w:tab/>
        <w:t>Henstock et al., 1996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EAtlantic</w:t>
        <w:tab/>
        <w:t>-</w:t>
      </w:r>
      <w:r>
        <w:rPr>
          <w:lang w:val="en-US"/>
        </w:rPr>
        <w:t>24.2</w:t>
      </w:r>
      <w:r>
        <w:rPr>
          <w:lang w:val="en-US"/>
        </w:rPr>
        <w:tab/>
      </w:r>
      <w:r>
        <w:rPr>
          <w:lang w:val="en-US"/>
        </w:rPr>
        <w:t>14.5</w:t>
      </w:r>
      <w:r>
        <w:rPr>
          <w:lang w:val="en-US"/>
        </w:rPr>
        <w:tab/>
        <w:t>7.5 ± 0.3</w:t>
        <w:tab/>
        <w:t>7.1 ± 0.05</w:t>
        <w:tab/>
        <w:t>T</w:t>
        <w:tab/>
        <w:t>Wilson et al., 2013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WAtlantic</w:t>
        <w:tab/>
        <w:t>-</w:t>
      </w:r>
      <w:r>
        <w:rPr>
          <w:lang w:val="en-US"/>
        </w:rPr>
        <w:t>66.0</w:t>
      </w:r>
      <w:r>
        <w:rPr>
          <w:lang w:val="en-US"/>
        </w:rPr>
        <w:tab/>
      </w:r>
      <w:r>
        <w:rPr>
          <w:lang w:val="en-US"/>
        </w:rPr>
        <w:t>32.0</w:t>
      </w:r>
      <w:r>
        <w:rPr>
          <w:lang w:val="en-US"/>
        </w:rPr>
        <w:tab/>
        <w:t>7.0 ± 0.4</w:t>
        <w:tab/>
        <w:t>7.0 ± 0.06</w:t>
        <w:tab/>
        <w:t>S</w:t>
        <w:tab/>
        <w:t>Purdy, 1983</w:t>
      </w:r>
    </w:p>
    <w:p>
      <w:pPr>
        <w:pStyle w:val="Normal"/>
        <w:spacing w:lineRule="auto" w:line="240" w:before="0" w:after="0"/>
        <w:rPr/>
      </w:pPr>
      <w:r>
        <w:rPr/>
        <w:t>Kolbeinsey</w:t>
        <w:tab/>
        <w:t>-</w:t>
      </w:r>
      <w:r>
        <w:rPr/>
        <w:t>15.0</w:t>
      </w:r>
      <w:r>
        <w:rPr/>
        <w:tab/>
      </w:r>
      <w:r>
        <w:rPr/>
        <w:t>70.0</w:t>
      </w:r>
      <w:r>
        <w:rPr/>
        <w:tab/>
        <w:t>8.8 ± 0.8</w:t>
        <w:tab/>
        <w:t>7.15 ± 0.06</w:t>
        <w:tab/>
        <w:t>F</w:t>
        <w:tab/>
        <w:t>Kodeira et al., 1997</w:t>
      </w:r>
    </w:p>
    <w:p>
      <w:pPr>
        <w:pStyle w:val="Normal"/>
        <w:spacing w:lineRule="auto" w:line="240" w:before="0" w:after="0"/>
        <w:rPr/>
      </w:pPr>
      <w:r>
        <w:rPr/>
        <w:t>SEIR 100°E</w:t>
        <w:tab/>
      </w:r>
      <w:r>
        <w:rPr/>
        <w:t>100.5</w:t>
      </w:r>
      <w:r>
        <w:rPr/>
        <w:tab/>
        <w:t>-</w:t>
      </w:r>
      <w:r>
        <w:rPr/>
        <w:t>47.5</w:t>
      </w:r>
      <w:r>
        <w:rPr/>
        <w:tab/>
        <w:t>6.0 ± 0.5</w:t>
        <w:tab/>
        <w:t>6.99 ± 0.03</w:t>
        <w:tab/>
        <w:t>T</w:t>
        <w:tab/>
        <w:t>Holmes et al., 2008</w:t>
      </w:r>
    </w:p>
    <w:p>
      <w:pPr>
        <w:pStyle w:val="Normal"/>
        <w:spacing w:lineRule="auto" w:line="240" w:before="0" w:after="0"/>
        <w:rPr/>
      </w:pPr>
      <w:r>
        <w:rPr/>
        <w:t>SEIR 101°E</w:t>
        <w:tab/>
      </w:r>
      <w:r>
        <w:rPr/>
        <w:t>101.5</w:t>
      </w:r>
      <w:r>
        <w:rPr/>
        <w:tab/>
        <w:t>-</w:t>
      </w:r>
      <w:r>
        <w:rPr/>
        <w:t>47.8</w:t>
      </w:r>
      <w:r>
        <w:rPr/>
        <w:tab/>
        <w:t>5.9 ± 0.4</w:t>
        <w:tab/>
        <w:t>6.98 ± 0.03</w:t>
        <w:tab/>
        <w:t>T</w:t>
        <w:tab/>
        <w:t>Holmes et al., 2008</w:t>
      </w:r>
    </w:p>
    <w:p>
      <w:pPr>
        <w:pStyle w:val="Normal"/>
        <w:spacing w:lineRule="auto" w:line="240" w:before="0" w:after="0"/>
        <w:rPr/>
      </w:pPr>
      <w:r>
        <w:rPr/>
        <w:t>AAD 134°E</w:t>
        <w:tab/>
      </w:r>
      <w:r>
        <w:rPr/>
        <w:t>134.0</w:t>
      </w:r>
      <w:r>
        <w:rPr/>
        <w:tab/>
        <w:t>-</w:t>
      </w:r>
      <w:r>
        <w:rPr/>
        <w:t>50.0</w:t>
      </w:r>
      <w:r>
        <w:rPr/>
        <w:tab/>
        <w:t>6.8 ± 0.3</w:t>
        <w:tab/>
        <w:t>7.16 ± 0.03</w:t>
        <w:tab/>
        <w:t>T</w:t>
        <w:tab/>
        <w:t>Holmes et al., 2010</w:t>
      </w:r>
    </w:p>
    <w:p>
      <w:pPr>
        <w:pStyle w:val="Normal"/>
        <w:spacing w:lineRule="auto" w:line="240" w:before="0" w:after="0"/>
        <w:rPr/>
      </w:pPr>
      <w:r>
        <w:rPr/>
        <w:t>AAD 127°E</w:t>
        <w:tab/>
      </w:r>
      <w:r>
        <w:rPr/>
        <w:t>127.0</w:t>
      </w:r>
      <w:r>
        <w:rPr/>
        <w:tab/>
        <w:t>-</w:t>
      </w:r>
      <w:r>
        <w:rPr/>
        <w:t>48.2</w:t>
      </w:r>
      <w:r>
        <w:rPr/>
        <w:tab/>
        <w:t>3.5 ± 0.3</w:t>
        <w:tab/>
        <w:t>6.90 ± 0.03</w:t>
        <w:tab/>
        <w:t>T</w:t>
        <w:tab/>
        <w:t>Holmes et al., 2010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Wharton 17°S</w:t>
        <w:tab/>
      </w:r>
      <w:r>
        <w:rPr>
          <w:lang w:val="en-US"/>
        </w:rPr>
        <w:t>90.4</w:t>
      </w:r>
      <w:r>
        <w:rPr>
          <w:lang w:val="en-US"/>
        </w:rPr>
        <w:tab/>
        <w:t>-</w:t>
      </w:r>
      <w:r>
        <w:rPr>
          <w:lang w:val="en-US"/>
        </w:rPr>
        <w:t>17.0</w:t>
      </w:r>
      <w:r>
        <w:rPr>
          <w:lang w:val="en-US"/>
        </w:rPr>
        <w:tab/>
        <w:t>6.4 ± 0.3</w:t>
        <w:tab/>
        <w:t>7.1 ± 0.03</w:t>
        <w:tab/>
        <w:t>T</w:t>
        <w:tab/>
        <w:t>Grevemeyer et al., 2001</w:t>
      </w:r>
    </w:p>
    <w:p>
      <w:pPr>
        <w:pStyle w:val="Normal"/>
        <w:spacing w:lineRule="auto" w:line="240" w:before="0" w:after="0"/>
        <w:rPr/>
      </w:pPr>
      <w:r>
        <w:rPr/>
        <w:t>Wharton 3°N</w:t>
        <w:tab/>
      </w:r>
      <w:r>
        <w:rPr/>
        <w:t>94.0</w:t>
      </w:r>
      <w:r>
        <w:rPr/>
        <w:tab/>
      </w:r>
      <w:r>
        <w:rPr/>
        <w:t>3.0</w:t>
      </w:r>
      <w:r>
        <w:rPr/>
        <w:tab/>
        <w:t>4.5 ± 0.5</w:t>
        <w:tab/>
        <w:t>6.9 ± 0.06</w:t>
        <w:tab/>
        <w:t>T</w:t>
        <w:tab/>
        <w:t>Singh et al., 2011</w:t>
      </w:r>
    </w:p>
    <w:p>
      <w:pPr>
        <w:pStyle w:val="Normal"/>
        <w:spacing w:lineRule="auto" w:line="240" w:before="0" w:after="0"/>
        <w:rPr/>
      </w:pPr>
      <w:r>
        <w:rPr/>
        <w:t>SWIR 50.5°E</w:t>
        <w:tab/>
      </w:r>
      <w:r>
        <w:rPr/>
        <w:t>50.5</w:t>
      </w:r>
      <w:r>
        <w:rPr/>
        <w:tab/>
        <w:t>-</w:t>
      </w:r>
      <w:r>
        <w:rPr/>
        <w:t>37.6</w:t>
      </w:r>
      <w:r>
        <w:rPr/>
        <w:tab/>
        <w:t>9.0 ± 0.5</w:t>
        <w:tab/>
        <w:t>7.2 ±0.03</w:t>
        <w:tab/>
        <w:t>T</w:t>
        <w:tab/>
        <w:t>Li et al., 2015</w:t>
      </w:r>
    </w:p>
    <w:p>
      <w:pPr>
        <w:pStyle w:val="Normal"/>
        <w:spacing w:lineRule="auto" w:line="240" w:before="0" w:after="0"/>
        <w:rPr/>
      </w:pPr>
      <w:r>
        <w:rPr/>
        <w:t>SWIR 57°E</w:t>
        <w:tab/>
      </w:r>
      <w:r>
        <w:rPr/>
        <w:t>57.0</w:t>
      </w:r>
      <w:r>
        <w:rPr/>
        <w:tab/>
        <w:t>-</w:t>
      </w:r>
      <w:r>
        <w:rPr/>
        <w:t>32.7</w:t>
      </w:r>
      <w:r>
        <w:rPr/>
        <w:tab/>
        <w:t>3.8 ± 0.9</w:t>
        <w:tab/>
        <w:t>6.82 ± 0.08</w:t>
        <w:tab/>
        <w:t>F</w:t>
        <w:tab/>
        <w:t>Muller et al., 1999</w:t>
      </w:r>
    </w:p>
    <w:p>
      <w:pPr>
        <w:pStyle w:val="Normal"/>
        <w:spacing w:lineRule="auto" w:line="240" w:before="0" w:after="0"/>
        <w:rPr/>
      </w:pPr>
      <w:r>
        <w:rPr/>
        <w:t xml:space="preserve">SWIR 66°E </w:t>
        <w:tab/>
      </w:r>
      <w:r>
        <w:rPr/>
        <w:t>66.0</w:t>
      </w:r>
      <w:r>
        <w:rPr/>
        <w:tab/>
        <w:t>-</w:t>
      </w:r>
      <w:r>
        <w:rPr/>
        <w:t>27.7</w:t>
      </w:r>
      <w:r>
        <w:rPr/>
        <w:tab/>
        <w:t>5.3 ± 0.7</w:t>
        <w:tab/>
        <w:t>6.9 ± 0.08</w:t>
        <w:tab/>
        <w:t>F</w:t>
        <w:tab/>
        <w:t>Minshull et al., 2006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(thickness in km, velocity in km/s)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(EPR: East Oacific Rise; MAR – Mid-Atlantic Ridge; SWIR – Southwest Indian Ridge; SEIR – Southeast Indian Ridge; AAD – Australian-Antarctic-Discordance; Kolbeinsey: Kolbeisey Ridge / North Atlantic; Wharton: Wharton Basin / Indian Ocean)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(F: forward modelling, T: tomography, S: synthetic seismogram modelling)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rPr>
          <w:b/>
          <w:b/>
          <w:lang w:val="en-US"/>
        </w:rPr>
      </w:pPr>
      <w:r>
        <w:rPr>
          <w:b/>
          <w:lang w:val="en-US"/>
        </w:rPr>
        <w:t>References: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Canales, J.P., Detrick, R.S., Bazin, S., Harding, A.J. and Orcutt, J.A., 1998, Off-Axis Crustal Thickness Across and Along the East Pacific Rise Within the MELT Area, Science, 280, 1218-1221, doi:10.1126/science.280.5367.1218.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Canales, J.P., Detrick, R.S., Toomey, D.R., and Wilcock, W.S.D., 2003, Segment-scale variations in the crustal structure of 150–300 kyr old fast spreading oceanic crust (East Pacific Rise, 8°15′N–10°5′N) from wide-angle seismic refraction profiles, Geophys. J. Int., 152, 766-794, doi:10.1046/j.1365-246X.2003.01885.x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Contreras-Reyes, E., Grevemeyer, I., Flueh, E.R., Scherwath, M., and Heesemann, M., 2007, Alteration of the subducting oceanic lithosphere at the southern central Chile trench-outer rise. Geochem. Geophys. Geosyst. 8, Q07003, doi:10.1029/2007GC001632.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 xml:space="preserve">Contreras‐Reyes, E., Grevemeyer, I., Flueh, E.R., and Reichert, C., 2008, Upper lithospheric structure of the subduction zone offshore of southern Arauco peninsula, Chile, at </w:t>
      </w:r>
      <w:r>
        <w:rPr>
          <w:rFonts w:cs="Cambria Math" w:ascii="Cambria Math" w:hAnsi="Cambria Math"/>
          <w:lang w:val="en-US"/>
        </w:rPr>
        <w:t>∼</w:t>
      </w:r>
      <w:r>
        <w:rPr>
          <w:lang w:val="en-US"/>
        </w:rPr>
        <w:t>38</w:t>
      </w:r>
      <w:r>
        <w:rPr>
          <w:rFonts w:cs="Calibri"/>
          <w:lang w:val="en-US"/>
        </w:rPr>
        <w:t>°</w:t>
      </w:r>
      <w:r>
        <w:rPr>
          <w:lang w:val="en-US"/>
        </w:rPr>
        <w:t>S, J. Geophys. Res., 113, B07303, doi:10.1029/2007JB005569.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Grevemeyer, I., Weigel, W., and Jennrich, C., 1998, Structure and ageing of oceanic crust at 14°S on the East Pacific Rise, Geophys J. Int., 135, 573–584.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Grevemeyer, I., Flueh, E.R, Reichert, C., Bialas, J., Klaeschen, D., and Kopp, C. (2001), Crustal architecture and deep structure of the Ninetyeast Ridge hotspot trail from active-source ocean bottom seismology, Geophys. J. Int., 144, 414-413.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Henstock, T.J., White, R.S., and McBride, J.H., (1996), Along-axis variability in crustal accretion at the Mid-Atlantic Ridge: results from the OCEAN study, J. Geophys. Res., 101, 13,673-13,688.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Holmes, R. C., Tolstoy, M., Cochran, J.R:, and Floyd, J.S., 2008, Crustal thickness variations along the Southeast Indian Ridge (100–116°E) from 2-D body wave tomography, Geochem. Geophys. Geosyst., 9, Q12020, doi:10.1029/2008GC002152.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Holmes, R. C., Tolstoy, M., Harding, A.J., Orcutt, J.A., and Morgan, J.P., 2010, Australian Antarctic Discordance as a simple mantle boundary, Geophys. Res. Lett., 37, L09309, doi:10.1029/2010GL042621.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Ivandic, M., Grevemeyer, I., Berhorst, A., Flueh, E.R., and McIntosh, K., 2008, Impact of bending related faulting on the seismic properties of the incoming oceanic plate offshore of Nicaragua, J. Geophys. Res., 113, B05410, doi:10.1029/2007JB005291.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Kodaira, S., Mjelde, R., Gunnarsson, K., Shiobara, H., and Shimamura, H., (1997), Crustal structure of the Kolbeinsey Ridge, North Atlantic, obtained by use if ocean bottom seismographs, J. Geophys. Res., 102, 3131-3151.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Li, J., et al., 2015, Seismic observation of an extremely magmatic accretion at the ultraslow spreading Southwest Indian Ridge, Geophys. Res. Lett., 42, 2656–2663, doi:10.1002/2014GL062521.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Minshull, T. A., Muller, M.R:, and  White, R.S., 2006, Crustal structure of the Southwest Indian Ridge at 66°E: Seismic constraints, Geophys. J. Int., 166, 135–147, doi:10.1111/j.1365-246X.2006.03001.x.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Moscoso, E., Grevemeyer, I., Contreras-Reyes, E., and Flueh, E.R., 2011, Revealing the deep structure and rupture plane of the 2010 Maule, Chile Earthquake (Mw = 8.8) using wide angle seismic data. Earth Planet. Sci. Lett. 307, 147–155, doi.org/10.1016/j.epsl.2011.04.025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Muller, M.R., Minshull, T.A., and White, R.S., 1999, Segmentation and melt supply at the Southwest Indian Ridge, Geology, 27, 867–870.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Oikawa, M., Kaneda, K., and Nishizawa, A., 2010, Seismic structures of the 154–160 Ma oceanic crust and uppermost mantle in the Northwest Pacific Basin, Earth Planets Space, 62, e13–e16, doi:10.5047/eps.2010.02.011.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Planert, L., Flueh, E. , and Reston, T., 2009, Along- and across-axis variations in crustal thickness and structure at the Mid-Atlantic Ridge at 5◦ South obtained from wide-angle seismic tomography: implications for ridge segmentation, J. Geophys. Res., 114(B9), B09102, doi:10.1029/2008JB006103.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Planert, L., Flueh, E.R., Tillmann, F., Grevemeyer, I., and Reston, T.J., (2010), Crustal structure of a rifted oceanic core complex and its conjugate side at the MAR at 5°S: Implications for melt extraction during detachment faulting and core complex formation, Geophys. J. Int., 181, 113-126, doi: 10.1111/j.1365-246X.2010.04504.x.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Purdy, G.M., (1983), The seismic structure of 140 m.y. old crust in the western central Atlantic Ocean, Geophys. J. R. astr. Soc., 72, 115-137.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Roland, E., Lizarralde, D., McGuire, J.J., and Collins, J.A., (2012), Seismic velocity constraints on the material properties that control earthquake behavior at the Quebrada-Discovery-Gofar transform faults, East Pacific Rise, J. Geophys. Res., 117, B11102, doi:10.1029/2012JB009422.</w:t>
      </w:r>
    </w:p>
    <w:p>
      <w:pPr>
        <w:pStyle w:val="Normal"/>
        <w:spacing w:lineRule="auto" w:line="240" w:before="0" w:after="0"/>
        <w:ind w:left="284" w:hanging="284"/>
        <w:rPr>
          <w:lang w:val="en-US"/>
        </w:rPr>
      </w:pPr>
      <w:r>
        <w:rPr>
          <w:lang w:val="en-US"/>
        </w:rPr>
        <w:t>Singh, S., Carton, H., Chauhan, A.S., Androvandi, S., Davaille, A., Dyment, J., Cannat, M., and Hananto, N.D., (2011), Extremely thin crust in the Indian Ocean possibly resulting from Plume–Ridge Interaction, Geophys. J. Int., 184, 29–42, doi: 10.1111/j.1365-246X.2010.04823.x.</w:t>
      </w:r>
    </w:p>
    <w:p>
      <w:pPr>
        <w:pStyle w:val="Normal"/>
        <w:spacing w:lineRule="auto" w:line="240" w:before="0" w:after="0"/>
        <w:ind w:left="284" w:hanging="284"/>
        <w:rPr/>
      </w:pPr>
      <w:r>
        <w:rPr>
          <w:lang w:val="en-US"/>
        </w:rPr>
        <w:t>Wilson, D.J., Peirce, C., Watts, A.B., and Grevemeyer, I. (2013), Uplift at lithospheric swells - II: is the Cape Verde mid-plate swell supported by a lithosphere of varying mechanical strength? Geophys. J. Int., 193, 798-819, doi:10.1093/gji/ggt034.</w:t>
      </w:r>
    </w:p>
    <w:sectPr>
      <w:footerReference w:type="default" r:id="rId2"/>
      <w:type w:val="nextPage"/>
      <w:pgSz w:w="11906" w:h="16838"/>
      <w:pgMar w:left="1417" w:right="1417" w:header="0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 Math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2786697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5033da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5033da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Header">
    <w:name w:val="Header"/>
    <w:basedOn w:val="Normal"/>
    <w:link w:val="KopfzeileZchn"/>
    <w:uiPriority w:val="99"/>
    <w:unhideWhenUsed/>
    <w:rsid w:val="005033d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5033d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Application>LibreOffice/5.0.6.3$Linux_X86_64 LibreOffice_project/00m0$Build-3</Application>
  <Paragraphs>59</Paragraphs>
  <Company>GEOMAR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2017-03-22T12:57:00Z</dcterms:created>
  <dc:creator>Ingo Grevemeyer</dc:creator>
  <dc:language>en-US</dc:language>
  <dcterms:modified xsi:type="dcterms:W3CDTF">2017-08-23T21:58:02Z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GEOMAR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