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E4A" w:rsidRPr="00C90183" w:rsidRDefault="002F43DA" w:rsidP="00EC14DA">
      <w:pPr>
        <w:pStyle w:val="NoSpacing"/>
        <w:rPr>
          <w:rFonts w:ascii="Times New Roman" w:hAnsi="Times New Roman" w:cs="Times New Roman"/>
          <w:sz w:val="24"/>
        </w:rPr>
      </w:pPr>
      <w:r w:rsidRPr="00EC14DA">
        <w:rPr>
          <w:rFonts w:ascii="Times New Roman" w:hAnsi="Times New Roman" w:cs="Times New Roman"/>
          <w:sz w:val="24"/>
        </w:rPr>
        <w:t xml:space="preserve">Supplement </w:t>
      </w:r>
      <w:r w:rsidR="00A05250">
        <w:rPr>
          <w:rFonts w:ascii="Times New Roman" w:hAnsi="Times New Roman" w:cs="Times New Roman"/>
          <w:sz w:val="24"/>
        </w:rPr>
        <w:t>2</w:t>
      </w:r>
      <w:r w:rsidRPr="00EC14DA">
        <w:rPr>
          <w:rFonts w:ascii="Times New Roman" w:hAnsi="Times New Roman" w:cs="Times New Roman"/>
          <w:sz w:val="24"/>
        </w:rPr>
        <w:t>: Conversion fac</w:t>
      </w:r>
      <w:r w:rsidR="00EC14DA" w:rsidRPr="00EC14DA">
        <w:rPr>
          <w:rFonts w:ascii="Times New Roman" w:hAnsi="Times New Roman" w:cs="Times New Roman"/>
          <w:sz w:val="24"/>
        </w:rPr>
        <w:t xml:space="preserve">tors used to calculate taxon-specific </w:t>
      </w:r>
      <w:r w:rsidR="00E4618A">
        <w:rPr>
          <w:rFonts w:ascii="Times New Roman" w:hAnsi="Times New Roman" w:cs="Times New Roman"/>
          <w:sz w:val="24"/>
        </w:rPr>
        <w:t>biomass per individual</w:t>
      </w:r>
      <w:r w:rsidR="00EC14DA" w:rsidRPr="00EC14DA">
        <w:rPr>
          <w:rFonts w:ascii="Times New Roman" w:hAnsi="Times New Roman" w:cs="Times New Roman"/>
          <w:sz w:val="24"/>
        </w:rPr>
        <w:t>.</w:t>
      </w:r>
      <w:r w:rsidR="005336DD">
        <w:rPr>
          <w:rFonts w:ascii="Times New Roman" w:hAnsi="Times New Roman" w:cs="Times New Roman"/>
          <w:sz w:val="24"/>
        </w:rPr>
        <w:t xml:space="preserve"> Abbreviations: </w:t>
      </w:r>
      <w:r w:rsidR="005336DD" w:rsidRPr="005336DD">
        <w:rPr>
          <w:rFonts w:ascii="Times New Roman" w:hAnsi="Times New Roman" w:cs="Times New Roman"/>
          <w:i/>
          <w:sz w:val="24"/>
        </w:rPr>
        <w:t>D</w:t>
      </w:r>
      <w:r w:rsidR="005336DD">
        <w:rPr>
          <w:rFonts w:ascii="Times New Roman" w:hAnsi="Times New Roman" w:cs="Times New Roman"/>
          <w:sz w:val="24"/>
        </w:rPr>
        <w:t> = measured dimension,</w:t>
      </w:r>
      <w:r w:rsidR="00E4618A">
        <w:rPr>
          <w:rFonts w:ascii="Times New Roman" w:hAnsi="Times New Roman" w:cs="Times New Roman"/>
          <w:sz w:val="24"/>
        </w:rPr>
        <w:t xml:space="preserve"> </w:t>
      </w:r>
      <w:r w:rsidR="00E4618A" w:rsidRPr="00E4618A">
        <w:rPr>
          <w:rFonts w:ascii="Times New Roman" w:hAnsi="Times New Roman" w:cs="Times New Roman"/>
          <w:i/>
          <w:sz w:val="24"/>
        </w:rPr>
        <w:t>DW</w:t>
      </w:r>
      <w:r w:rsidR="00E4618A">
        <w:rPr>
          <w:rFonts w:ascii="Times New Roman" w:hAnsi="Times New Roman" w:cs="Times New Roman"/>
          <w:sz w:val="24"/>
        </w:rPr>
        <w:t> = dry weight,</w:t>
      </w:r>
      <w:r w:rsidR="005336DD">
        <w:rPr>
          <w:rFonts w:ascii="Times New Roman" w:hAnsi="Times New Roman" w:cs="Times New Roman"/>
          <w:sz w:val="24"/>
        </w:rPr>
        <w:t xml:space="preserve"> </w:t>
      </w:r>
      <w:proofErr w:type="spellStart"/>
      <w:r w:rsidR="00E4618A" w:rsidRPr="00BA2AFC">
        <w:rPr>
          <w:rFonts w:ascii="Times New Roman" w:hAnsi="Times New Roman" w:cs="Times New Roman"/>
          <w:i/>
          <w:sz w:val="24"/>
        </w:rPr>
        <w:t>fWW</w:t>
      </w:r>
      <w:proofErr w:type="spellEnd"/>
      <w:r w:rsidR="00E4618A">
        <w:rPr>
          <w:rFonts w:ascii="Times New Roman" w:hAnsi="Times New Roman" w:cs="Times New Roman"/>
          <w:sz w:val="24"/>
        </w:rPr>
        <w:t xml:space="preserve"> = fresh wet weight, </w:t>
      </w:r>
      <w:proofErr w:type="spellStart"/>
      <w:r w:rsidR="005336DD" w:rsidRPr="005336DD">
        <w:rPr>
          <w:rFonts w:ascii="Times New Roman" w:hAnsi="Times New Roman" w:cs="Times New Roman"/>
          <w:i/>
          <w:sz w:val="24"/>
        </w:rPr>
        <w:t>pWW</w:t>
      </w:r>
      <w:proofErr w:type="spellEnd"/>
      <w:r w:rsidR="005336DD">
        <w:rPr>
          <w:rFonts w:ascii="Times New Roman" w:hAnsi="Times New Roman" w:cs="Times New Roman"/>
          <w:sz w:val="24"/>
        </w:rPr>
        <w:t> = preserved wet weight</w:t>
      </w:r>
      <w:r w:rsidR="00C90183">
        <w:rPr>
          <w:rFonts w:ascii="Times New Roman" w:hAnsi="Times New Roman" w:cs="Times New Roman"/>
          <w:sz w:val="24"/>
        </w:rPr>
        <w:t xml:space="preserve">, </w:t>
      </w:r>
      <w:proofErr w:type="spellStart"/>
      <w:r w:rsidR="00BA2AFC" w:rsidRPr="00BA2AFC">
        <w:rPr>
          <w:rFonts w:ascii="Times New Roman" w:hAnsi="Times New Roman" w:cs="Times New Roman"/>
          <w:i/>
          <w:sz w:val="24"/>
        </w:rPr>
        <w:t>tsiB</w:t>
      </w:r>
      <w:proofErr w:type="spellEnd"/>
      <w:r w:rsidR="00BA2AFC">
        <w:rPr>
          <w:rFonts w:ascii="Times New Roman" w:hAnsi="Times New Roman" w:cs="Times New Roman"/>
          <w:sz w:val="24"/>
        </w:rPr>
        <w:t> = taxon-specific individual biomass</w:t>
      </w:r>
      <w:r w:rsidR="002E0DEB">
        <w:rPr>
          <w:rFonts w:ascii="Times New Roman" w:hAnsi="Times New Roman" w:cs="Times New Roman"/>
          <w:sz w:val="24"/>
        </w:rPr>
        <w:t>.</w:t>
      </w:r>
      <w:r w:rsidR="00E4618A">
        <w:rPr>
          <w:rFonts w:ascii="Times New Roman" w:hAnsi="Times New Roman" w:cs="Times New Roman"/>
          <w:sz w:val="24"/>
        </w:rPr>
        <w:t xml:space="preserve"> </w:t>
      </w:r>
    </w:p>
    <w:p w:rsidR="00EC14DA" w:rsidRPr="00D871E4" w:rsidRDefault="00EC14DA" w:rsidP="00C90183">
      <w:pPr>
        <w:pStyle w:val="NoSpacing"/>
        <w:jc w:val="both"/>
        <w:rPr>
          <w:rFonts w:ascii="Times New Roman" w:hAnsi="Times New Roman" w:cs="Times New Roman"/>
          <w:sz w:val="24"/>
        </w:rPr>
      </w:pPr>
      <w:r>
        <w:rPr>
          <w:rFonts w:ascii="Times New Roman" w:hAnsi="Times New Roman" w:cs="Times New Roman"/>
          <w:sz w:val="24"/>
        </w:rPr>
        <w:t>References:</w:t>
      </w:r>
      <w:r w:rsidR="00BA2AFC">
        <w:rPr>
          <w:rFonts w:ascii="Times New Roman" w:hAnsi="Times New Roman" w:cs="Times New Roman"/>
          <w:sz w:val="24"/>
        </w:rPr>
        <w:t xml:space="preserve"> </w:t>
      </w:r>
      <w:r w:rsidR="00BA2AFC" w:rsidRPr="00BA2AFC">
        <w:rPr>
          <w:rFonts w:ascii="Times New Roman" w:hAnsi="Times New Roman" w:cs="Times New Roman"/>
          <w:sz w:val="24"/>
          <w:vertAlign w:val="superscript"/>
        </w:rPr>
        <w:t>1</w:t>
      </w:r>
      <w:r w:rsidR="00BA2AFC">
        <w:rPr>
          <w:rFonts w:ascii="Times New Roman" w:hAnsi="Times New Roman" w:cs="Times New Roman"/>
          <w:sz w:val="24"/>
        </w:rPr>
        <w:fldChar w:fldCharType="begin" w:fldLock="1"/>
      </w:r>
      <w:r w:rsidR="002B341C">
        <w:rPr>
          <w:rFonts w:ascii="Times New Roman" w:hAnsi="Times New Roman" w:cs="Times New Roman"/>
          <w:sz w:val="24"/>
        </w:rPr>
        <w:instrText>ADDIN CSL_CITATION { "citationItems" : [ { "id" : "ITEM-1", "itemData" : { "DOI" : "10.3354/meps11769", "ISSN" : "0171-8630", "abstract" : "Deep-sea megafaunal biomass has typically been assessed by sampling with benthic sledges and trawls, but non-destructive methods, particularly photography, are becoming increasingly common. Estimation of individual wet weight in seabed photographs has been achieved using equations obtained from measured trawl-caught specimens for a limited number of taxa. However, a lack of appropriate conversion factors has limited estimation across taxa encompassing whole communities. Here we compile relationships between measured body dimensions and preserved wet weights for a comprehensive catalogue of abyssal epibenthic megafauna, using ~47 000 specimens from the Porcupine Abyssal Plain (NE Atlantic) housed in the Discovery Collections (National Oceanography Centre, Southampton, UK). The practical application of the method is demonstrated using an extremely large dataset of specimen measurements from seabed photographs taken in the same location. We also collate corresponding field data on fresh wet weight, to estimate the impact of fixation in formalin and preservation in industrial denatured alcohol on the apparent biomass. Taxa with substantial proportions of soft tissues lose 35 to 60% of their wet weight during preservation, while those with greater proportions of hard tissues lose 10 to 20%. Our total estimated fresh wet weight biomass of holothurians and cnidarians in the photo graphic survey was ~20 times the previous estimates of total invertebrate biomass based on trawl catches. This dramatic uplift in megabenthic biomass has significant implications for studies of standing stocks, community metabolism, and numerical modelling of benthic carbon flows.", "author" : [ { "dropping-particle" : "", "family" : "Durden", "given" : "Jennifer M.", "non-dropping-particle" : "", "parse-names" : false, "suffix" : "" }, { "dropping-particle" : "", "family" : "Bett", "given" : "Brian J.", "non-dropping-particle" : "", "parse-names" : false, "suffix" : "" }, { "dropping-particle" : "", "family" : "Horton", "given" : "Tammy", "non-dropping-particle" : "", "parse-names" : false, "suffix" : "" }, { "dropping-particle" : "", "family" : "Serpell-Stevens", "given" : "Amanda", "non-dropping-particle" : "", "parse-names" : false, "suffix" : "" }, { "dropping-particle" : "", "family" : "Morris", "given" : "Kirsty J.", "non-dropping-particle" : "", "parse-names" : false, "suffix" : "" }, { "dropping-particle" : "", "family" : "Billett", "given" : "David S. M.", "non-dropping-particle" : "", "parse-names" : false, "suffix" : "" }, { "dropping-particle" : "", "family" : "Ruhl", "given" : "Henry A.", "non-dropping-particle" : "", "parse-names" : false, "suffix" : "" } ], "container-title" : "Marine Ecology Progress Series", "id" : "ITEM-1", "issued" : { "date-parts" : [ [ "2016", "6", "23" ] ] }, "page" : "71-79", "title" : "Improving the estimation of deep-sea megabenthos biomass: Dimension to wet weight conversions for abyssal invertebrates", "type" : "article-journal", "volume" : "552" }, "uris" : [ "http://www.mendeley.com/documents/?uuid=1cb5c274-54a9-4249-a363-a0aa2e004e78" ] } ], "mendeley" : { "formattedCitation" : "(Durden et al., 2016)", "plainTextFormattedCitation" : "(Durden et al., 2016)", "previouslyFormattedCitation" : "(Durden et al., 2016)" }, "properties" : { "noteIndex" : 0 }, "schema" : "https://github.com/citation-style-language/schema/raw/master/csl-citation.json" }</w:instrText>
      </w:r>
      <w:r w:rsidR="00BA2AFC">
        <w:rPr>
          <w:rFonts w:ascii="Times New Roman" w:hAnsi="Times New Roman" w:cs="Times New Roman"/>
          <w:sz w:val="24"/>
        </w:rPr>
        <w:fldChar w:fldCharType="separate"/>
      </w:r>
      <w:r w:rsidR="00BA2AFC" w:rsidRPr="00BA2AFC">
        <w:rPr>
          <w:rFonts w:ascii="Times New Roman" w:hAnsi="Times New Roman" w:cs="Times New Roman"/>
          <w:noProof/>
          <w:sz w:val="24"/>
        </w:rPr>
        <w:t>(Durden et al., 2016)</w:t>
      </w:r>
      <w:r w:rsidR="00BA2AFC">
        <w:rPr>
          <w:rFonts w:ascii="Times New Roman" w:hAnsi="Times New Roman" w:cs="Times New Roman"/>
          <w:sz w:val="24"/>
        </w:rPr>
        <w:fldChar w:fldCharType="end"/>
      </w:r>
      <w:r w:rsidR="00BA2AFC">
        <w:rPr>
          <w:rFonts w:ascii="Times New Roman" w:hAnsi="Times New Roman" w:cs="Times New Roman"/>
          <w:sz w:val="24"/>
        </w:rPr>
        <w:t xml:space="preserve">, </w:t>
      </w:r>
      <w:r w:rsidR="00BA2AFC" w:rsidRPr="00BA2AFC">
        <w:rPr>
          <w:rFonts w:ascii="Times New Roman" w:hAnsi="Times New Roman" w:cs="Times New Roman"/>
          <w:sz w:val="24"/>
          <w:vertAlign w:val="superscript"/>
        </w:rPr>
        <w:t>2</w:t>
      </w:r>
      <w:r w:rsidR="00BA2AFC">
        <w:rPr>
          <w:rFonts w:ascii="Times New Roman" w:hAnsi="Times New Roman" w:cs="Times New Roman"/>
          <w:sz w:val="24"/>
        </w:rPr>
        <w:fldChar w:fldCharType="begin" w:fldLock="1"/>
      </w:r>
      <w:r w:rsidR="00D871E4">
        <w:rPr>
          <w:rFonts w:ascii="Times New Roman" w:hAnsi="Times New Roman" w:cs="Times New Roman"/>
          <w:sz w:val="24"/>
        </w:rPr>
        <w:instrText>ADDIN CSL_CITATION { "citationItems" : [ { "id" : "ITEM-1", "itemData" : { "author" : [ { "dropping-particle" : "", "family" : "Rowe", "given" : "Gilbert T.", "non-dropping-particle" : "", "parse-names" : false, "suffix" : "" } ], "container-title" : "Deep-Sea Biology", "editor" : [ { "dropping-particle" : "", "family" : "Rowe", "given" : "Gilbert T.", "non-dropping-particle" : "", "parse-names" : false, "suffix" : "" } ], "id" : "ITEM-1", "issued" : { "date-parts" : [ [ "1983" ] ] }, "publisher" : "John Wiley &amp; Sons, Inc.", "publisher-place" : "New York", "title" : "Biomass and production of the deep-sea macrobenthos", "type" : "chapter" }, "uris" : [ "http://www.mendeley.com/documents/?uuid=5765ebf0-8cfd-4e31-8a39-75c33b55a940" ] } ], "mendeley" : { "formattedCitation" : "(Rowe, 1983)", "plainTextFormattedCitation" : "(Rowe, 1983)", "previouslyFormattedCitation" : "(Rowe, 1983)" }, "properties" : { "noteIndex" : 0 }, "schema" : "https://github.com/citation-style-language/schema/raw/master/csl-citation.json" }</w:instrText>
      </w:r>
      <w:r w:rsidR="00BA2AFC">
        <w:rPr>
          <w:rFonts w:ascii="Times New Roman" w:hAnsi="Times New Roman" w:cs="Times New Roman"/>
          <w:sz w:val="24"/>
        </w:rPr>
        <w:fldChar w:fldCharType="separate"/>
      </w:r>
      <w:r w:rsidR="00BA2AFC" w:rsidRPr="00BA2AFC">
        <w:rPr>
          <w:rFonts w:ascii="Times New Roman" w:hAnsi="Times New Roman" w:cs="Times New Roman"/>
          <w:noProof/>
          <w:sz w:val="24"/>
        </w:rPr>
        <w:t>(Rowe, 1983)</w:t>
      </w:r>
      <w:r w:rsidR="00BA2AFC">
        <w:rPr>
          <w:rFonts w:ascii="Times New Roman" w:hAnsi="Times New Roman" w:cs="Times New Roman"/>
          <w:sz w:val="24"/>
        </w:rPr>
        <w:fldChar w:fldCharType="end"/>
      </w:r>
      <w:r w:rsidR="008861A4">
        <w:rPr>
          <w:rFonts w:ascii="Times New Roman" w:hAnsi="Times New Roman" w:cs="Times New Roman"/>
          <w:sz w:val="24"/>
        </w:rPr>
        <w:t>,</w:t>
      </w:r>
      <w:r w:rsidR="002B341C">
        <w:rPr>
          <w:rFonts w:ascii="Times New Roman" w:hAnsi="Times New Roman" w:cs="Times New Roman"/>
          <w:sz w:val="24"/>
        </w:rPr>
        <w:t xml:space="preserve"> </w:t>
      </w:r>
      <w:r w:rsidR="002B341C">
        <w:rPr>
          <w:rFonts w:ascii="Times New Roman" w:hAnsi="Times New Roman" w:cs="Times New Roman"/>
          <w:sz w:val="24"/>
          <w:vertAlign w:val="superscript"/>
        </w:rPr>
        <w:t>3</w:t>
      </w:r>
      <w:r w:rsidR="002B341C">
        <w:rPr>
          <w:rFonts w:ascii="Times New Roman" w:hAnsi="Times New Roman" w:cs="Times New Roman"/>
          <w:sz w:val="24"/>
          <w:vertAlign w:val="superscript"/>
        </w:rPr>
        <w:fldChar w:fldCharType="begin" w:fldLock="1"/>
      </w:r>
      <w:r w:rsidR="002B341C">
        <w:rPr>
          <w:rFonts w:ascii="Times New Roman" w:hAnsi="Times New Roman" w:cs="Times New Roman"/>
          <w:sz w:val="24"/>
          <w:vertAlign w:val="superscript"/>
        </w:rPr>
        <w:instrText>ADDIN CSL_CITATION { "citationItems" : [ { "id" : "ITEM-1", "itemData" : { "abstract" : "The structure of megabenthic assemblages of an abyssal polymetallic nodule province located in the tropical East Pacific ocean, between the Clarion and Clipperton fracture zones, is investigated at different levels. On a qualitative level, the identification, the ethology, the taxonomic richness and the faunal composition c1assified by functional groups are described over the totality of the area thus creating a work of reference and an annotated photographic atlas with the contribution of worldwide specialists for each phylum. On basis of a collection of more than 200 000 photographs and 55 hours of videos of the seafloor, a taxonomic richness of 240 taxons with 46 different echinoderms is recorded. Cnidaria is the most diversified phylum on the Clarion-Clipperton area with 59 different taxons. The trophic group of suspension feeders is the most represented.", "author" : [ { "dropping-particle" : "", "family" : "Tilot", "given" : "Virginie", "non-dropping-particle" : "", "parse-names" : false, "suffix" : "" } ], "container-title" : "PhD-Thesis", "id" : "ITEM-1", "issued" : { "date-parts" : [ [ "1992", "7", "7" ] ] }, "number-of-pages" : "349", "publisher" : "Universit\u00e9 de Bretagne Occidentale", "title" : "La structure des assemblages m\u00e9gabenthiques d'une province \u00e0 nodules polym\u00e9talliques de l'oc\u00e9an Pacifique tropical est", "type" : "thesis" }, "uris" : [ "http://www.mendeley.com/documents/?uuid=49bbb7bf-88e4-4594-b7aa-385a1f0e9305" ] } ], "mendeley" : { "formattedCitation" : "(Tilot, 1992)", "plainTextFormattedCitation" : "(Tilot, 1992)" }, "properties" : { "noteIndex" : 0 }, "schema" : "https://github.com/citation-style-language/schema/raw/master/csl-citation.json" }</w:instrText>
      </w:r>
      <w:r w:rsidR="002B341C">
        <w:rPr>
          <w:rFonts w:ascii="Times New Roman" w:hAnsi="Times New Roman" w:cs="Times New Roman"/>
          <w:sz w:val="24"/>
          <w:vertAlign w:val="superscript"/>
        </w:rPr>
        <w:fldChar w:fldCharType="separate"/>
      </w:r>
      <w:r w:rsidR="002B341C" w:rsidRPr="002B341C">
        <w:rPr>
          <w:rFonts w:ascii="Times New Roman" w:hAnsi="Times New Roman" w:cs="Times New Roman"/>
          <w:noProof/>
          <w:sz w:val="24"/>
        </w:rPr>
        <w:t>(</w:t>
      </w:r>
      <w:proofErr w:type="spellStart"/>
      <w:r w:rsidR="002B341C" w:rsidRPr="002B341C">
        <w:rPr>
          <w:rFonts w:ascii="Times New Roman" w:hAnsi="Times New Roman" w:cs="Times New Roman"/>
          <w:noProof/>
          <w:sz w:val="24"/>
        </w:rPr>
        <w:t>Tilot</w:t>
      </w:r>
      <w:proofErr w:type="spellEnd"/>
      <w:r w:rsidR="002B341C" w:rsidRPr="002B341C">
        <w:rPr>
          <w:rFonts w:ascii="Times New Roman" w:hAnsi="Times New Roman" w:cs="Times New Roman"/>
          <w:noProof/>
          <w:sz w:val="24"/>
        </w:rPr>
        <w:t>, 1992)</w:t>
      </w:r>
      <w:r w:rsidR="002B341C">
        <w:rPr>
          <w:rFonts w:ascii="Times New Roman" w:hAnsi="Times New Roman" w:cs="Times New Roman"/>
          <w:sz w:val="24"/>
          <w:vertAlign w:val="superscript"/>
        </w:rPr>
        <w:fldChar w:fldCharType="end"/>
      </w:r>
      <w:r w:rsidR="002B341C">
        <w:rPr>
          <w:rFonts w:ascii="Times New Roman" w:hAnsi="Times New Roman" w:cs="Times New Roman"/>
          <w:sz w:val="24"/>
        </w:rPr>
        <w:t>,</w:t>
      </w:r>
      <w:r w:rsidR="008861A4">
        <w:rPr>
          <w:rFonts w:ascii="Times New Roman" w:hAnsi="Times New Roman" w:cs="Times New Roman"/>
          <w:sz w:val="24"/>
        </w:rPr>
        <w:t xml:space="preserve"> </w:t>
      </w:r>
      <w:r w:rsidR="002B341C">
        <w:rPr>
          <w:rFonts w:ascii="Times New Roman" w:hAnsi="Times New Roman" w:cs="Times New Roman"/>
          <w:sz w:val="24"/>
          <w:vertAlign w:val="superscript"/>
        </w:rPr>
        <w:t>4</w:t>
      </w:r>
      <w:r w:rsidR="00D871E4">
        <w:rPr>
          <w:rFonts w:ascii="Times New Roman" w:hAnsi="Times New Roman" w:cs="Times New Roman"/>
          <w:sz w:val="24"/>
          <w:vertAlign w:val="superscript"/>
        </w:rPr>
        <w:fldChar w:fldCharType="begin" w:fldLock="1"/>
      </w:r>
      <w:r w:rsidR="00D871E4">
        <w:rPr>
          <w:rFonts w:ascii="Times New Roman" w:hAnsi="Times New Roman" w:cs="Times New Roman"/>
          <w:sz w:val="24"/>
          <w:vertAlign w:val="superscript"/>
        </w:rPr>
        <w:instrText>ADDIN CSL_CITATION { "citationItems" : [ { "id" : "ITEM-1", "itemData" : { "DOI" : "10.1111/jai.12299", "ISBN" : "1439-0426", "ISSN" : "01758659", "abstract" : "A Bayesian hierarchical approach is presented for the estimation of length-weight relationships (LWR) in fishes. In particular, estimates are provided for the LWR parameters a and b in general as well as by body shape. These priors and existing LWR studies were used to derive species-specific LWR parameters. In the case of data-poor species, the analysis includes LWR studies of closely related species with the same body shape. This approach yielded LWR parameter estimates with measures of uncertainty for practically all known 32 000 species of fishes. Provided is a large LWR data set extracted from www.fishbase.org, the source code of the respective analyses, and ready-to-use tools for practitioners. This is presented as an example of a self-learning online database where the addition of new studies improves the species-specific parameter estimates, and where these parameter estimates inform the analysis of new data.", "author" : [ { "dropping-particle" : "", "family" : "Froese", "given" : "R.", "non-dropping-particle" : "", "parse-names" : false, "suffix" : "" }, { "dropping-particle" : "", "family" : "Thorson", "given" : "J. T.", "non-dropping-particle" : "", "parse-names" : false, "suffix" : "" }, { "dropping-particle" : "", "family" : "Reyes", "given" : "R. B.", "non-dropping-particle" : "", "parse-names" : false, "suffix" : "" } ], "container-title" : "Journal of Applied Ichthyology", "id" : "ITEM-1", "issued" : { "date-parts" : [ [ "2014", "2" ] ] }, "page" : "78-85", "title" : "A Bayesian approach for estimating length-weight relationships in fishes", "type" : "article-journal", "volume" : "30" }, "uris" : [ "http://www.mendeley.com/documents/?uuid=f8ac1668-9f5c-4b47-8940-8c7fda3e216e" ] } ], "mendeley" : { "formattedCitation" : "(Froese et al., 2014)", "plainTextFormattedCitation" : "(Froese et al., 2014)", "previouslyFormattedCitation" : "(Froese et al., 2014)" }, "properties" : { "noteIndex" : 0 }, "schema" : "https://github.com/citation-style-language/schema/raw/master/csl-citation.json" }</w:instrText>
      </w:r>
      <w:r w:rsidR="00D871E4">
        <w:rPr>
          <w:rFonts w:ascii="Times New Roman" w:hAnsi="Times New Roman" w:cs="Times New Roman"/>
          <w:sz w:val="24"/>
          <w:vertAlign w:val="superscript"/>
        </w:rPr>
        <w:fldChar w:fldCharType="separate"/>
      </w:r>
      <w:r w:rsidR="00D871E4" w:rsidRPr="00D871E4">
        <w:rPr>
          <w:rFonts w:ascii="Times New Roman" w:hAnsi="Times New Roman" w:cs="Times New Roman"/>
          <w:noProof/>
          <w:sz w:val="24"/>
        </w:rPr>
        <w:t>(Froese et al., 2014)</w:t>
      </w:r>
      <w:r w:rsidR="00D871E4">
        <w:rPr>
          <w:rFonts w:ascii="Times New Roman" w:hAnsi="Times New Roman" w:cs="Times New Roman"/>
          <w:sz w:val="24"/>
          <w:vertAlign w:val="superscript"/>
        </w:rPr>
        <w:fldChar w:fldCharType="end"/>
      </w:r>
      <w:r w:rsidR="00D871E4">
        <w:rPr>
          <w:rFonts w:ascii="Times New Roman" w:hAnsi="Times New Roman" w:cs="Times New Roman"/>
          <w:sz w:val="24"/>
        </w:rPr>
        <w:t xml:space="preserve">, </w:t>
      </w:r>
      <w:r w:rsidR="002B341C">
        <w:rPr>
          <w:rFonts w:ascii="Times New Roman" w:hAnsi="Times New Roman" w:cs="Times New Roman"/>
          <w:sz w:val="24"/>
          <w:vertAlign w:val="superscript"/>
        </w:rPr>
        <w:t>5</w:t>
      </w:r>
      <w:r w:rsidR="00D871E4">
        <w:rPr>
          <w:rFonts w:ascii="Times New Roman" w:hAnsi="Times New Roman" w:cs="Times New Roman"/>
          <w:sz w:val="24"/>
        </w:rPr>
        <w:fldChar w:fldCharType="begin" w:fldLock="1"/>
      </w:r>
      <w:r w:rsidR="002B341C">
        <w:rPr>
          <w:rFonts w:ascii="Times New Roman" w:hAnsi="Times New Roman" w:cs="Times New Roman"/>
          <w:sz w:val="24"/>
        </w:rPr>
        <w:instrText>ADDIN CSL_CITATION { "citationItems" : [ { "id" : "ITEM-1", "itemData" : { "URL" : "www.fishbase.org", "accessed" : { "date-parts" : [ [ "2018", "2", "21" ] ] }, "author" : [ { "dropping-particle" : "", "family" : "Froese", "given" : "R.", "non-dropping-particle" : "", "parse-names" : false, "suffix" : "" }, { "dropping-particle" : "", "family" : "Pauly", "given" : "Daniel", "non-dropping-particle" : "", "parse-names" : false, "suffix" : "" } ], "id" : "ITEM-1", "issued" : { "date-parts" : [ [ "2017" ] ] }, "title" : "FishBase", "type" : "webpage" }, "uris" : [ "http://www.mendeley.com/documents/?uuid=c19d907d-02c0-4b99-a396-39f40b5bca78" ] } ], "mendeley" : { "formattedCitation" : "(Froese and Pauly, 2017)", "plainTextFormattedCitation" : "(Froese and Pauly, 2017)", "previouslyFormattedCitation" : "(Froese and Pauly, 2017)" }, "properties" : { "noteIndex" : 0 }, "schema" : "https://github.com/citation-style-language/schema/raw/master/csl-citation.json" }</w:instrText>
      </w:r>
      <w:r w:rsidR="00D871E4">
        <w:rPr>
          <w:rFonts w:ascii="Times New Roman" w:hAnsi="Times New Roman" w:cs="Times New Roman"/>
          <w:sz w:val="24"/>
        </w:rPr>
        <w:fldChar w:fldCharType="separate"/>
      </w:r>
      <w:r w:rsidR="00D871E4" w:rsidRPr="00D871E4">
        <w:rPr>
          <w:rFonts w:ascii="Times New Roman" w:hAnsi="Times New Roman" w:cs="Times New Roman"/>
          <w:noProof/>
          <w:sz w:val="24"/>
        </w:rPr>
        <w:t>(Froese and Pauly, 2017)</w:t>
      </w:r>
      <w:r w:rsidR="00D871E4">
        <w:rPr>
          <w:rFonts w:ascii="Times New Roman" w:hAnsi="Times New Roman" w:cs="Times New Roman"/>
          <w:sz w:val="24"/>
        </w:rPr>
        <w:fldChar w:fldCharType="end"/>
      </w:r>
      <w:r w:rsidR="00DE2D8E">
        <w:rPr>
          <w:rFonts w:ascii="Times New Roman" w:hAnsi="Times New Roman" w:cs="Times New Roman"/>
          <w:sz w:val="24"/>
        </w:rPr>
        <w:t xml:space="preserve">, </w:t>
      </w:r>
      <w:r w:rsidR="002B341C">
        <w:rPr>
          <w:rFonts w:ascii="Times New Roman" w:hAnsi="Times New Roman" w:cs="Times New Roman"/>
          <w:sz w:val="24"/>
          <w:vertAlign w:val="superscript"/>
        </w:rPr>
        <w:t>6</w:t>
      </w:r>
      <w:r w:rsidR="00DE2D8E">
        <w:rPr>
          <w:rFonts w:ascii="Times New Roman" w:hAnsi="Times New Roman" w:cs="Times New Roman"/>
          <w:sz w:val="24"/>
        </w:rPr>
        <w:fldChar w:fldCharType="begin" w:fldLock="1"/>
      </w:r>
      <w:r w:rsidR="0001294B">
        <w:rPr>
          <w:rFonts w:ascii="Times New Roman" w:hAnsi="Times New Roman" w:cs="Times New Roman"/>
          <w:sz w:val="24"/>
        </w:rPr>
        <w:instrText>ADDIN CSL_CITATION { "citationItems" : [ { "id" : "ITEM-1", "itemData" : { "DOI" : "10.1016/j.seares.2010.05.002", "ISBN" : "1385-1101", "ISSN" : "13851101", "abstract" : "We introduce a global data bank on body composition of aquatic organisms that is available at http://www.thomas-brey.de/science/virtualhandbook. It covers ratios between body mass (wet, dry, ash free dry mass), body composition (protein, lipid, carbohydrate), macro-elements (C, N, P) and energy content (J). Sofar, data for 3158 different taxa (animals, plants, bacteria) were collected from 725 different sources. The principal purpose of the data bank is mining for conversion factors, as necessary in ecological studies that require a common energetic currency. The data bank can be used to explore general ecological principles, too: among all animals, carnivorous swimmers have the highest energy density, presumably an across-taxon selection for propulsion power and handling force. Plants and animals do not only differ in their C/N and C/P ratios, but these ratios change with temperature in opposite directions. In plants, C/N and C/P increase with temperature, most likely a response to the higher levels of N and P in polar waters. In animals C/N and C/P decrease with temperature, an indicator for selection towards lower activity and larger lipid stores in polar animals. \u00a9 2010 Elsevier B.V.", "author" : [ { "dropping-particle" : "", "family" : "Brey", "given" : "Thomas", "non-dropping-particle" : "", "parse-names" : false, "suffix" : "" }, { "dropping-particle" : "", "family" : "M\u00fcller-Wiegmann", "given" : "Corinna", "non-dropping-particle" : "", "parse-names" : false, "suffix" : "" }, { "dropping-particle" : "", "family" : "Zittier", "given" : "Zora M.C.", "non-dropping-particle" : "", "parse-names" : false, "suffix" : "" }, { "dropping-particle" : "", "family" : "Hagen", "given" : "Wilhelm", "non-dropping-particle" : "", "parse-names" : false, "suffix" : "" } ], "container-title" : "Journal of Sea Research", "id" : "ITEM-1", "issued" : { "date-parts" : [ [ "2010" ] ] }, "page" : "334-340", "title" : "Body composition in aquatic organisms - A global data bank of relationships between mass, elemental composition and energy content", "type" : "article-journal", "volume" : "64" }, "uris" : [ "http://www.mendeley.com/documents/?uuid=6050de4e-ece8-4240-92a1-5cd23859e164" ] } ], "mendeley" : { "formattedCitation" : "(Brey et al., 2010)", "plainTextFormattedCitation" : "(Brey et al., 2010)", "previouslyFormattedCitation" : "(Brey et al., 2010)" }, "properties" : { "noteIndex" : 0 }, "schema" : "https://github.com/citation-style-language/schema/raw/master/csl-citation.json" }</w:instrText>
      </w:r>
      <w:r w:rsidR="00DE2D8E">
        <w:rPr>
          <w:rFonts w:ascii="Times New Roman" w:hAnsi="Times New Roman" w:cs="Times New Roman"/>
          <w:sz w:val="24"/>
        </w:rPr>
        <w:fldChar w:fldCharType="separate"/>
      </w:r>
      <w:r w:rsidR="00DE2D8E" w:rsidRPr="00DE2D8E">
        <w:rPr>
          <w:rFonts w:ascii="Times New Roman" w:hAnsi="Times New Roman" w:cs="Times New Roman"/>
          <w:noProof/>
          <w:sz w:val="24"/>
        </w:rPr>
        <w:t>(</w:t>
      </w:r>
      <w:proofErr w:type="spellStart"/>
      <w:r w:rsidR="00DE2D8E" w:rsidRPr="00DE2D8E">
        <w:rPr>
          <w:rFonts w:ascii="Times New Roman" w:hAnsi="Times New Roman" w:cs="Times New Roman"/>
          <w:noProof/>
          <w:sz w:val="24"/>
        </w:rPr>
        <w:t>Brey</w:t>
      </w:r>
      <w:proofErr w:type="spellEnd"/>
      <w:r w:rsidR="00DE2D8E" w:rsidRPr="00DE2D8E">
        <w:rPr>
          <w:rFonts w:ascii="Times New Roman" w:hAnsi="Times New Roman" w:cs="Times New Roman"/>
          <w:noProof/>
          <w:sz w:val="24"/>
        </w:rPr>
        <w:t xml:space="preserve"> et al., 2010)</w:t>
      </w:r>
      <w:r w:rsidR="00DE2D8E">
        <w:rPr>
          <w:rFonts w:ascii="Times New Roman" w:hAnsi="Times New Roman" w:cs="Times New Roman"/>
          <w:sz w:val="24"/>
        </w:rPr>
        <w:fldChar w:fldCharType="end"/>
      </w:r>
    </w:p>
    <w:tbl>
      <w:tblPr>
        <w:tblStyle w:val="TableGrid"/>
        <w:tblW w:w="13994" w:type="dxa"/>
        <w:tblLook w:val="04A0" w:firstRow="1" w:lastRow="0" w:firstColumn="1" w:lastColumn="0" w:noHBand="0" w:noVBand="1"/>
      </w:tblPr>
      <w:tblGrid>
        <w:gridCol w:w="1413"/>
        <w:gridCol w:w="1380"/>
        <w:gridCol w:w="1772"/>
        <w:gridCol w:w="1773"/>
        <w:gridCol w:w="1772"/>
        <w:gridCol w:w="1773"/>
        <w:gridCol w:w="1772"/>
        <w:gridCol w:w="1773"/>
        <w:gridCol w:w="566"/>
      </w:tblGrid>
      <w:tr w:rsidR="00454604" w:rsidRPr="008078B1" w:rsidTr="00A36B1F">
        <w:tc>
          <w:tcPr>
            <w:tcW w:w="1413" w:type="dxa"/>
            <w:vMerge w:val="restart"/>
          </w:tcPr>
          <w:p w:rsidR="00454604" w:rsidRPr="008078B1" w:rsidRDefault="00454604" w:rsidP="008861A4">
            <w:pPr>
              <w:rPr>
                <w:b/>
                <w:noProof/>
                <w:szCs w:val="20"/>
              </w:rPr>
            </w:pPr>
            <w:r w:rsidRPr="008078B1">
              <w:rPr>
                <w:b/>
                <w:noProof/>
                <w:szCs w:val="20"/>
              </w:rPr>
              <w:t>Taxon</w:t>
            </w:r>
          </w:p>
        </w:tc>
        <w:tc>
          <w:tcPr>
            <w:tcW w:w="1380" w:type="dxa"/>
            <w:vMerge w:val="restart"/>
          </w:tcPr>
          <w:p w:rsidR="00454604" w:rsidRDefault="00454604" w:rsidP="002E0DEB">
            <w:pPr>
              <w:rPr>
                <w:b/>
                <w:noProof/>
                <w:szCs w:val="20"/>
              </w:rPr>
            </w:pPr>
            <w:r w:rsidRPr="005336DD">
              <w:rPr>
                <w:b/>
                <w:i/>
                <w:noProof/>
                <w:szCs w:val="20"/>
              </w:rPr>
              <w:t>D</w:t>
            </w:r>
          </w:p>
        </w:tc>
        <w:tc>
          <w:tcPr>
            <w:tcW w:w="10635" w:type="dxa"/>
            <w:gridSpan w:val="6"/>
          </w:tcPr>
          <w:p w:rsidR="00454604" w:rsidRDefault="00454604" w:rsidP="00454604">
            <w:pPr>
              <w:jc w:val="center"/>
              <w:rPr>
                <w:b/>
                <w:noProof/>
                <w:szCs w:val="20"/>
              </w:rPr>
            </w:pPr>
            <w:r>
              <w:rPr>
                <w:b/>
                <w:noProof/>
                <w:szCs w:val="20"/>
              </w:rPr>
              <w:t>Conversion factors</w:t>
            </w:r>
          </w:p>
        </w:tc>
        <w:tc>
          <w:tcPr>
            <w:tcW w:w="566" w:type="dxa"/>
            <w:vMerge w:val="restart"/>
          </w:tcPr>
          <w:p w:rsidR="00454604" w:rsidRPr="008078B1" w:rsidRDefault="00454604" w:rsidP="008861A4">
            <w:pPr>
              <w:rPr>
                <w:b/>
                <w:noProof/>
                <w:szCs w:val="20"/>
              </w:rPr>
            </w:pPr>
            <w:r>
              <w:rPr>
                <w:b/>
                <w:noProof/>
                <w:szCs w:val="20"/>
              </w:rPr>
              <w:t>Ref.</w:t>
            </w:r>
          </w:p>
        </w:tc>
      </w:tr>
      <w:tr w:rsidR="00454604" w:rsidRPr="008078B1" w:rsidTr="00454604">
        <w:tc>
          <w:tcPr>
            <w:tcW w:w="1413" w:type="dxa"/>
            <w:vMerge/>
          </w:tcPr>
          <w:p w:rsidR="00454604" w:rsidRPr="008078B1" w:rsidRDefault="00454604" w:rsidP="008861A4">
            <w:pPr>
              <w:rPr>
                <w:b/>
                <w:noProof/>
                <w:szCs w:val="20"/>
              </w:rPr>
            </w:pPr>
          </w:p>
        </w:tc>
        <w:tc>
          <w:tcPr>
            <w:tcW w:w="1380" w:type="dxa"/>
            <w:vMerge/>
          </w:tcPr>
          <w:p w:rsidR="00454604" w:rsidRDefault="00454604" w:rsidP="005336DD">
            <w:pPr>
              <w:rPr>
                <w:b/>
                <w:noProof/>
                <w:szCs w:val="20"/>
              </w:rPr>
            </w:pPr>
          </w:p>
        </w:tc>
        <w:tc>
          <w:tcPr>
            <w:tcW w:w="1772" w:type="dxa"/>
          </w:tcPr>
          <w:p w:rsidR="00454604" w:rsidRPr="00C90183" w:rsidRDefault="00454604" w:rsidP="00A12C99">
            <w:pPr>
              <w:rPr>
                <w:b/>
                <w:i/>
                <w:noProof/>
                <w:szCs w:val="20"/>
              </w:rPr>
            </w:pPr>
            <w:r w:rsidRPr="00C90183">
              <w:rPr>
                <w:b/>
                <w:i/>
                <w:noProof/>
                <w:szCs w:val="20"/>
              </w:rPr>
              <w:t>D</w:t>
            </w:r>
            <w:r>
              <w:rPr>
                <w:b/>
                <w:noProof/>
                <w:szCs w:val="20"/>
              </w:rPr>
              <w:t xml:space="preserve"> (mm) </w:t>
            </w:r>
            <w:r w:rsidRPr="005336DD">
              <w:rPr>
                <w:b/>
                <w:noProof/>
                <w:szCs w:val="20"/>
              </w:rPr>
              <w:sym w:font="Wingdings" w:char="F0E0"/>
            </w:r>
            <w:r>
              <w:rPr>
                <w:b/>
                <w:noProof/>
                <w:szCs w:val="20"/>
              </w:rPr>
              <w:t xml:space="preserve"> </w:t>
            </w:r>
            <w:r>
              <w:rPr>
                <w:b/>
                <w:i/>
                <w:noProof/>
                <w:szCs w:val="20"/>
              </w:rPr>
              <w:t>f</w:t>
            </w:r>
            <w:r w:rsidRPr="005336DD">
              <w:rPr>
                <w:b/>
                <w:i/>
                <w:noProof/>
                <w:szCs w:val="20"/>
              </w:rPr>
              <w:t>WW</w:t>
            </w:r>
            <w:r>
              <w:rPr>
                <w:b/>
                <w:noProof/>
                <w:szCs w:val="20"/>
              </w:rPr>
              <w:t xml:space="preserve"> (g)</w:t>
            </w:r>
          </w:p>
        </w:tc>
        <w:tc>
          <w:tcPr>
            <w:tcW w:w="1773" w:type="dxa"/>
          </w:tcPr>
          <w:p w:rsidR="00454604" w:rsidRPr="008078B1" w:rsidRDefault="00454604" w:rsidP="005336DD">
            <w:pPr>
              <w:rPr>
                <w:b/>
                <w:noProof/>
                <w:szCs w:val="20"/>
              </w:rPr>
            </w:pPr>
            <w:r w:rsidRPr="00C90183">
              <w:rPr>
                <w:b/>
                <w:i/>
                <w:noProof/>
                <w:szCs w:val="20"/>
              </w:rPr>
              <w:t>D</w:t>
            </w:r>
            <w:r>
              <w:rPr>
                <w:b/>
                <w:noProof/>
                <w:szCs w:val="20"/>
              </w:rPr>
              <w:t xml:space="preserve"> (mm) </w:t>
            </w:r>
            <w:r w:rsidRPr="005336DD">
              <w:rPr>
                <w:b/>
                <w:noProof/>
                <w:szCs w:val="20"/>
              </w:rPr>
              <w:sym w:font="Wingdings" w:char="F0E0"/>
            </w:r>
            <w:r>
              <w:rPr>
                <w:b/>
                <w:noProof/>
                <w:szCs w:val="20"/>
              </w:rPr>
              <w:t xml:space="preserve"> </w:t>
            </w:r>
            <w:r w:rsidRPr="00C90183">
              <w:rPr>
                <w:b/>
                <w:i/>
                <w:noProof/>
                <w:szCs w:val="20"/>
              </w:rPr>
              <w:t>p</w:t>
            </w:r>
            <w:r w:rsidRPr="005336DD">
              <w:rPr>
                <w:b/>
                <w:i/>
                <w:noProof/>
                <w:szCs w:val="20"/>
              </w:rPr>
              <w:t>WW</w:t>
            </w:r>
            <w:r>
              <w:rPr>
                <w:b/>
                <w:noProof/>
                <w:szCs w:val="20"/>
              </w:rPr>
              <w:t xml:space="preserve"> (g)</w:t>
            </w:r>
          </w:p>
        </w:tc>
        <w:tc>
          <w:tcPr>
            <w:tcW w:w="1772" w:type="dxa"/>
          </w:tcPr>
          <w:p w:rsidR="00454604" w:rsidRPr="008078B1" w:rsidRDefault="00454604" w:rsidP="008861A4">
            <w:pPr>
              <w:rPr>
                <w:b/>
                <w:noProof/>
                <w:szCs w:val="20"/>
              </w:rPr>
            </w:pPr>
            <w:r w:rsidRPr="00C90183">
              <w:rPr>
                <w:b/>
                <w:i/>
                <w:noProof/>
                <w:szCs w:val="20"/>
              </w:rPr>
              <w:t>p</w:t>
            </w:r>
            <w:r w:rsidRPr="005336DD">
              <w:rPr>
                <w:b/>
                <w:i/>
                <w:noProof/>
                <w:szCs w:val="20"/>
              </w:rPr>
              <w:t>WW</w:t>
            </w:r>
            <w:r>
              <w:rPr>
                <w:b/>
                <w:noProof/>
                <w:szCs w:val="20"/>
              </w:rPr>
              <w:t xml:space="preserve"> (g) </w:t>
            </w:r>
            <w:r w:rsidRPr="00C90183">
              <w:rPr>
                <w:b/>
                <w:noProof/>
                <w:szCs w:val="20"/>
              </w:rPr>
              <w:sym w:font="Wingdings" w:char="F0E0"/>
            </w:r>
            <w:r>
              <w:rPr>
                <w:b/>
                <w:noProof/>
                <w:szCs w:val="20"/>
              </w:rPr>
              <w:t xml:space="preserve"> </w:t>
            </w:r>
            <w:r w:rsidRPr="00C90183">
              <w:rPr>
                <w:b/>
                <w:i/>
                <w:noProof/>
                <w:szCs w:val="20"/>
              </w:rPr>
              <w:t>fWW</w:t>
            </w:r>
            <w:r>
              <w:rPr>
                <w:b/>
                <w:noProof/>
                <w:szCs w:val="20"/>
              </w:rPr>
              <w:t xml:space="preserve"> (g)</w:t>
            </w:r>
          </w:p>
        </w:tc>
        <w:tc>
          <w:tcPr>
            <w:tcW w:w="1773" w:type="dxa"/>
          </w:tcPr>
          <w:p w:rsidR="00454604" w:rsidRPr="00BA2AFC" w:rsidRDefault="00454604" w:rsidP="00BA2AFC">
            <w:pPr>
              <w:jc w:val="left"/>
              <w:rPr>
                <w:b/>
                <w:i/>
                <w:noProof/>
                <w:szCs w:val="20"/>
              </w:rPr>
            </w:pPr>
            <w:r>
              <w:rPr>
                <w:b/>
                <w:i/>
                <w:noProof/>
                <w:szCs w:val="20"/>
              </w:rPr>
              <w:t>f</w:t>
            </w:r>
            <w:r w:rsidRPr="005336DD">
              <w:rPr>
                <w:b/>
                <w:i/>
                <w:noProof/>
                <w:szCs w:val="20"/>
              </w:rPr>
              <w:t>WW</w:t>
            </w:r>
            <w:r>
              <w:rPr>
                <w:b/>
                <w:noProof/>
                <w:szCs w:val="20"/>
              </w:rPr>
              <w:t xml:space="preserve"> (g) </w:t>
            </w:r>
            <w:r w:rsidRPr="006E75B0">
              <w:rPr>
                <w:b/>
                <w:noProof/>
                <w:szCs w:val="20"/>
              </w:rPr>
              <w:sym w:font="Wingdings" w:char="F0E0"/>
            </w:r>
            <w:r>
              <w:rPr>
                <w:b/>
                <w:noProof/>
                <w:szCs w:val="20"/>
              </w:rPr>
              <w:t xml:space="preserve"> </w:t>
            </w:r>
            <w:r w:rsidRPr="006E75B0">
              <w:rPr>
                <w:b/>
                <w:i/>
                <w:noProof/>
                <w:szCs w:val="20"/>
              </w:rPr>
              <w:t>DW</w:t>
            </w:r>
            <w:r>
              <w:rPr>
                <w:b/>
                <w:noProof/>
                <w:szCs w:val="20"/>
              </w:rPr>
              <w:t xml:space="preserve"> (g)</w:t>
            </w:r>
          </w:p>
        </w:tc>
        <w:tc>
          <w:tcPr>
            <w:tcW w:w="1772" w:type="dxa"/>
          </w:tcPr>
          <w:p w:rsidR="00454604" w:rsidRPr="008078B1" w:rsidRDefault="00454604" w:rsidP="00BA2AFC">
            <w:pPr>
              <w:jc w:val="left"/>
              <w:rPr>
                <w:b/>
                <w:noProof/>
                <w:szCs w:val="20"/>
              </w:rPr>
            </w:pPr>
            <w:r w:rsidRPr="00BA2AFC">
              <w:rPr>
                <w:b/>
                <w:i/>
                <w:noProof/>
                <w:szCs w:val="20"/>
              </w:rPr>
              <w:t>fWW</w:t>
            </w:r>
            <w:r>
              <w:rPr>
                <w:b/>
                <w:noProof/>
                <w:szCs w:val="20"/>
              </w:rPr>
              <w:t xml:space="preserve"> (g) </w:t>
            </w:r>
            <w:r w:rsidRPr="00635FA0">
              <w:rPr>
                <w:b/>
                <w:noProof/>
                <w:szCs w:val="20"/>
              </w:rPr>
              <w:sym w:font="Wingdings" w:char="F0E0"/>
            </w:r>
            <w:r>
              <w:rPr>
                <w:b/>
                <w:noProof/>
                <w:szCs w:val="20"/>
              </w:rPr>
              <w:t xml:space="preserve"> </w:t>
            </w:r>
            <w:r w:rsidRPr="00BA2AFC">
              <w:rPr>
                <w:b/>
                <w:i/>
                <w:noProof/>
                <w:szCs w:val="20"/>
              </w:rPr>
              <w:t>tsiB</w:t>
            </w:r>
            <w:r>
              <w:rPr>
                <w:b/>
                <w:noProof/>
                <w:szCs w:val="20"/>
              </w:rPr>
              <w:t xml:space="preserve"> (g org. C)</w:t>
            </w:r>
          </w:p>
        </w:tc>
        <w:tc>
          <w:tcPr>
            <w:tcW w:w="1773" w:type="dxa"/>
          </w:tcPr>
          <w:p w:rsidR="00454604" w:rsidRPr="008078B1" w:rsidRDefault="00454604" w:rsidP="008861A4">
            <w:pPr>
              <w:rPr>
                <w:b/>
                <w:noProof/>
                <w:szCs w:val="20"/>
              </w:rPr>
            </w:pPr>
            <w:r>
              <w:rPr>
                <w:b/>
                <w:noProof/>
                <w:szCs w:val="20"/>
              </w:rPr>
              <w:t xml:space="preserve">DW (g) </w:t>
            </w:r>
            <w:r w:rsidRPr="00454604">
              <w:rPr>
                <w:b/>
                <w:noProof/>
                <w:szCs w:val="20"/>
              </w:rPr>
              <w:sym w:font="Wingdings" w:char="F0E0"/>
            </w:r>
            <w:r>
              <w:rPr>
                <w:b/>
                <w:noProof/>
                <w:szCs w:val="20"/>
              </w:rPr>
              <w:t xml:space="preserve"> </w:t>
            </w:r>
            <w:r w:rsidRPr="00BA2AFC">
              <w:rPr>
                <w:b/>
                <w:i/>
                <w:noProof/>
                <w:szCs w:val="20"/>
              </w:rPr>
              <w:t>tsiB</w:t>
            </w:r>
            <w:r>
              <w:rPr>
                <w:b/>
                <w:noProof/>
                <w:szCs w:val="20"/>
              </w:rPr>
              <w:t xml:space="preserve"> (g org. C)</w:t>
            </w:r>
          </w:p>
        </w:tc>
        <w:tc>
          <w:tcPr>
            <w:tcW w:w="566" w:type="dxa"/>
            <w:vMerge/>
          </w:tcPr>
          <w:p w:rsidR="00454604" w:rsidRPr="008078B1" w:rsidRDefault="00454604" w:rsidP="008861A4">
            <w:pPr>
              <w:rPr>
                <w:b/>
                <w:noProof/>
                <w:szCs w:val="20"/>
              </w:rPr>
            </w:pPr>
          </w:p>
        </w:tc>
      </w:tr>
      <w:tr w:rsidR="00454604" w:rsidRPr="008078B1" w:rsidTr="00454604">
        <w:tc>
          <w:tcPr>
            <w:tcW w:w="1413" w:type="dxa"/>
            <w:shd w:val="clear" w:color="auto" w:fill="auto"/>
          </w:tcPr>
          <w:p w:rsidR="00454604" w:rsidRPr="008078B1" w:rsidRDefault="00454604" w:rsidP="008861A4">
            <w:pPr>
              <w:rPr>
                <w:noProof/>
                <w:szCs w:val="20"/>
                <w:vertAlign w:val="superscript"/>
              </w:rPr>
            </w:pPr>
            <w:r w:rsidRPr="008078B1">
              <w:rPr>
                <w:noProof/>
                <w:szCs w:val="20"/>
              </w:rPr>
              <w:t>Actiniaria</w:t>
            </w:r>
          </w:p>
        </w:tc>
        <w:tc>
          <w:tcPr>
            <w:tcW w:w="1380" w:type="dxa"/>
          </w:tcPr>
          <w:p w:rsidR="00454604" w:rsidRPr="005336DD" w:rsidRDefault="00454604" w:rsidP="008861A4">
            <w:pPr>
              <w:rPr>
                <w:noProof/>
                <w:szCs w:val="20"/>
              </w:rPr>
            </w:pPr>
            <w:r>
              <w:rPr>
                <w:noProof/>
                <w:szCs w:val="20"/>
              </w:rPr>
              <w:t>Column D</w:t>
            </w:r>
          </w:p>
        </w:tc>
        <w:tc>
          <w:tcPr>
            <w:tcW w:w="1772" w:type="dxa"/>
          </w:tcPr>
          <w:p w:rsidR="00454604" w:rsidRDefault="00454604" w:rsidP="008861A4">
            <w:pPr>
              <w:rPr>
                <w:rFonts w:eastAsia="Calibri"/>
                <w:noProof/>
                <w:szCs w:val="20"/>
              </w:rPr>
            </w:pPr>
          </w:p>
        </w:tc>
        <w:tc>
          <w:tcPr>
            <w:tcW w:w="1773" w:type="dxa"/>
          </w:tcPr>
          <w:p w:rsidR="00454604" w:rsidRPr="00C90183" w:rsidRDefault="00454604" w:rsidP="008861A4">
            <w:pPr>
              <w:rPr>
                <w:noProof/>
                <w:szCs w:val="20"/>
              </w:rPr>
            </w:pPr>
            <m:oMathPara>
              <m:oMathParaPr>
                <m:jc m:val="left"/>
              </m:oMathParaPr>
              <m:oMath>
                <m:r>
                  <w:rPr>
                    <w:rFonts w:ascii="Cambria Math" w:hAnsi="Cambria Math"/>
                    <w:noProof/>
                    <w:szCs w:val="20"/>
                  </w:rPr>
                  <m:t>pWW=26×</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2.36</m:t>
                    </m:r>
                  </m:sup>
                </m:sSup>
              </m:oMath>
            </m:oMathPara>
          </w:p>
        </w:tc>
        <w:tc>
          <w:tcPr>
            <w:tcW w:w="1772" w:type="dxa"/>
            <w:shd w:val="clear" w:color="auto" w:fill="auto"/>
          </w:tcPr>
          <w:p w:rsidR="00454604" w:rsidRPr="00635FA0" w:rsidRDefault="00454604" w:rsidP="00635FA0">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0.887</m:t>
                    </m:r>
                  </m:den>
                </m:f>
              </m:oMath>
            </m:oMathPara>
          </w:p>
        </w:tc>
        <w:tc>
          <w:tcPr>
            <w:tcW w:w="1773" w:type="dxa"/>
          </w:tcPr>
          <w:p w:rsidR="00454604" w:rsidRDefault="00454604" w:rsidP="0005544C">
            <w:pPr>
              <w:jc w:val="left"/>
              <w:rPr>
                <w:rFonts w:eastAsia="Calibri"/>
                <w:noProof/>
                <w:szCs w:val="20"/>
              </w:rPr>
            </w:pPr>
          </w:p>
        </w:tc>
        <w:tc>
          <w:tcPr>
            <w:tcW w:w="1772" w:type="dxa"/>
            <w:shd w:val="clear" w:color="auto" w:fill="auto"/>
          </w:tcPr>
          <w:p w:rsidR="00454604" w:rsidRPr="0005544C" w:rsidRDefault="00454604" w:rsidP="0005544C">
            <w:pPr>
              <w:jc w:val="left"/>
              <w:rPr>
                <w:noProof/>
                <w:szCs w:val="20"/>
              </w:rPr>
            </w:pPr>
            <m:oMathPara>
              <m:oMathParaPr>
                <m:jc m:val="left"/>
              </m:oMathParaPr>
              <m:oMath>
                <m:r>
                  <w:rPr>
                    <w:rFonts w:ascii="Cambria Math" w:hAnsi="Cambria Math"/>
                    <w:noProof/>
                    <w:szCs w:val="20"/>
                  </w:rPr>
                  <m:t>tsiB=fWW×0.02</m:t>
                </m:r>
              </m:oMath>
            </m:oMathPara>
          </w:p>
        </w:tc>
        <w:tc>
          <w:tcPr>
            <w:tcW w:w="1773" w:type="dxa"/>
          </w:tcPr>
          <w:p w:rsidR="00454604" w:rsidRDefault="00454604" w:rsidP="008861A4">
            <w:pPr>
              <w:rPr>
                <w:noProof/>
                <w:szCs w:val="20"/>
                <w:vertAlign w:val="superscript"/>
              </w:rPr>
            </w:pPr>
          </w:p>
        </w:tc>
        <w:tc>
          <w:tcPr>
            <w:tcW w:w="566" w:type="dxa"/>
          </w:tcPr>
          <w:p w:rsidR="00454604" w:rsidRPr="00BA2AFC" w:rsidRDefault="00454604" w:rsidP="008861A4">
            <w:pPr>
              <w:rPr>
                <w:noProof/>
                <w:szCs w:val="20"/>
                <w:vertAlign w:val="superscript"/>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proofErr w:type="spellStart"/>
            <w:r w:rsidRPr="008078B1">
              <w:t>Alcyonacea</w:t>
            </w:r>
            <w:bookmarkStart w:id="0" w:name="_GoBack"/>
            <w:bookmarkEnd w:id="0"/>
            <w:proofErr w:type="spellEnd"/>
          </w:p>
        </w:tc>
        <w:tc>
          <w:tcPr>
            <w:tcW w:w="1380" w:type="dxa"/>
          </w:tcPr>
          <w:p w:rsidR="004B7B4C" w:rsidRDefault="004B7B4C" w:rsidP="004B7B4C">
            <w:pPr>
              <w:rPr>
                <w:noProof/>
                <w:szCs w:val="20"/>
              </w:rPr>
            </w:pPr>
          </w:p>
        </w:tc>
        <w:tc>
          <w:tcPr>
            <w:tcW w:w="1772" w:type="dxa"/>
          </w:tcPr>
          <w:p w:rsidR="004B7B4C" w:rsidRDefault="004B7B4C" w:rsidP="004B7B4C">
            <w:pPr>
              <w:rPr>
                <w:rFonts w:eastAsia="Calibri"/>
                <w:noProof/>
                <w:szCs w:val="20"/>
              </w:rPr>
            </w:pPr>
          </w:p>
        </w:tc>
        <w:tc>
          <w:tcPr>
            <w:tcW w:w="1773" w:type="dxa"/>
          </w:tcPr>
          <w:p w:rsidR="004B7B4C" w:rsidRDefault="004B7B4C" w:rsidP="004B7B4C">
            <w:pPr>
              <w:rPr>
                <w:rFonts w:eastAsia="Calibri"/>
                <w:noProof/>
                <w:szCs w:val="20"/>
              </w:rPr>
            </w:pPr>
          </w:p>
        </w:tc>
        <w:tc>
          <w:tcPr>
            <w:tcW w:w="1772" w:type="dxa"/>
            <w:shd w:val="clear" w:color="auto" w:fill="auto"/>
          </w:tcPr>
          <w:p w:rsidR="004B7B4C" w:rsidRDefault="004B7B4C" w:rsidP="004B7B4C">
            <w:pPr>
              <w:rPr>
                <w:noProof/>
                <w:szCs w:val="20"/>
              </w:rPr>
            </w:pPr>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Default="004B7B4C" w:rsidP="004B7B4C">
            <w:pPr>
              <w:jc w:val="left"/>
              <w:rPr>
                <w:rFonts w:eastAsia="Calibri"/>
                <w:noProof/>
                <w:szCs w:val="20"/>
              </w:rPr>
            </w:pPr>
          </w:p>
        </w:tc>
        <w:tc>
          <w:tcPr>
            <w:tcW w:w="1773" w:type="dxa"/>
          </w:tcPr>
          <w:p w:rsidR="004B7B4C" w:rsidRPr="002B341C" w:rsidRDefault="004B7B4C" w:rsidP="004B7B4C">
            <w:pPr>
              <w:rPr>
                <w:noProof/>
                <w:szCs w:val="20"/>
                <w:vertAlign w:val="superscript"/>
              </w:rPr>
            </w:pPr>
            <m:oMathPara>
              <m:oMathParaPr>
                <m:jc m:val="left"/>
              </m:oMathParaPr>
              <m:oMath>
                <m:r>
                  <w:rPr>
                    <w:rFonts w:ascii="Cambria Math" w:hAnsi="Cambria Math"/>
                    <w:noProof/>
                    <w:szCs w:val="20"/>
                  </w:rPr>
                  <m:t>tsiB=DW×0.51</m:t>
                </m:r>
                <m:r>
                  <w:rPr>
                    <w:rFonts w:ascii="Cambria Math" w:hAnsi="Cambria Math"/>
                    <w:noProof/>
                    <w:szCs w:val="20"/>
                  </w:rPr>
                  <m:t>8</m:t>
                </m:r>
              </m:oMath>
            </m:oMathPara>
          </w:p>
        </w:tc>
        <w:tc>
          <w:tcPr>
            <w:tcW w:w="566" w:type="dxa"/>
          </w:tcPr>
          <w:p w:rsidR="004B7B4C" w:rsidRDefault="004B7B4C" w:rsidP="004B7B4C">
            <w:pPr>
              <w:rPr>
                <w:noProof/>
                <w:szCs w:val="20"/>
                <w:vertAlign w:val="superscript"/>
              </w:rPr>
            </w:pPr>
            <w:r>
              <w:rPr>
                <w:noProof/>
                <w:szCs w:val="20"/>
                <w:vertAlign w:val="superscript"/>
              </w:rPr>
              <w:t>3</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Antipatharia</w:t>
            </w:r>
          </w:p>
        </w:tc>
        <w:tc>
          <w:tcPr>
            <w:tcW w:w="1380" w:type="dxa"/>
          </w:tcPr>
          <w:p w:rsidR="004B7B4C" w:rsidRPr="008078B1" w:rsidRDefault="004B7B4C" w:rsidP="004B7B4C">
            <w:pPr>
              <w:rPr>
                <w:noProof/>
                <w:szCs w:val="20"/>
              </w:rPr>
            </w:pPr>
            <w:r>
              <w:rPr>
                <w:noProof/>
                <w:szCs w:val="20"/>
              </w:rPr>
              <w:t>Column D</w:t>
            </w:r>
          </w:p>
        </w:tc>
        <w:tc>
          <w:tcPr>
            <w:tcW w:w="1772" w:type="dxa"/>
          </w:tcPr>
          <w:p w:rsidR="004B7B4C" w:rsidRDefault="004B7B4C" w:rsidP="004B7B4C">
            <w:pPr>
              <w:rPr>
                <w:rFonts w:eastAsia="Calibri"/>
                <w:noProof/>
                <w:szCs w:val="20"/>
              </w:rPr>
            </w:pPr>
          </w:p>
        </w:tc>
        <w:tc>
          <w:tcPr>
            <w:tcW w:w="1773" w:type="dxa"/>
          </w:tcPr>
          <w:p w:rsidR="004B7B4C" w:rsidRPr="00C90183" w:rsidRDefault="004B7B4C" w:rsidP="004B7B4C">
            <w:pPr>
              <w:rPr>
                <w:noProof/>
                <w:szCs w:val="20"/>
              </w:rPr>
            </w:pPr>
            <m:oMathPara>
              <m:oMathParaPr>
                <m:jc m:val="left"/>
              </m:oMathParaPr>
              <m:oMath>
                <m:r>
                  <w:rPr>
                    <w:rFonts w:ascii="Cambria Math" w:hAnsi="Cambria Math"/>
                    <w:noProof/>
                    <w:szCs w:val="20"/>
                  </w:rPr>
                  <m:t>pWW=12×</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2.578</m:t>
                    </m:r>
                  </m:sup>
                </m:sSup>
              </m:oMath>
            </m:oMathPara>
          </w:p>
        </w:tc>
        <w:tc>
          <w:tcPr>
            <w:tcW w:w="1772" w:type="dxa"/>
            <w:shd w:val="clear" w:color="auto" w:fill="auto"/>
          </w:tcPr>
          <w:p w:rsidR="004B7B4C" w:rsidRPr="00635FA0"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0.664</m:t>
                    </m:r>
                  </m:den>
                </m:f>
              </m:oMath>
            </m:oMathPara>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Pr="0005544C" w:rsidRDefault="004B7B4C" w:rsidP="004B7B4C">
            <w:pPr>
              <w:jc w:val="left"/>
              <w:rPr>
                <w:noProof/>
                <w:szCs w:val="20"/>
              </w:rPr>
            </w:pPr>
            <m:oMathPara>
              <m:oMathParaPr>
                <m:jc m:val="left"/>
              </m:oMathParaPr>
              <m:oMath>
                <m:r>
                  <w:rPr>
                    <w:rFonts w:ascii="Cambria Math" w:hAnsi="Cambria Math"/>
                    <w:noProof/>
                    <w:szCs w:val="20"/>
                  </w:rPr>
                  <m:t>tsiB=fWW×0.02</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r>
              <w:rPr>
                <w:noProof/>
                <w:szCs w:val="20"/>
              </w:rPr>
              <w:t>Ascidiacea</w:t>
            </w:r>
          </w:p>
        </w:tc>
        <w:tc>
          <w:tcPr>
            <w:tcW w:w="1380" w:type="dxa"/>
          </w:tcPr>
          <w:p w:rsidR="004B7B4C" w:rsidRDefault="004B7B4C" w:rsidP="004B7B4C">
            <w:pPr>
              <w:rPr>
                <w:noProof/>
                <w:szCs w:val="20"/>
              </w:rPr>
            </w:pPr>
          </w:p>
        </w:tc>
        <w:tc>
          <w:tcPr>
            <w:tcW w:w="1772" w:type="dxa"/>
          </w:tcPr>
          <w:p w:rsidR="004B7B4C" w:rsidRDefault="004B7B4C" w:rsidP="004B7B4C">
            <w:pPr>
              <w:rPr>
                <w:rFonts w:eastAsia="Calibri"/>
                <w:noProof/>
                <w:szCs w:val="20"/>
              </w:rPr>
            </w:pPr>
          </w:p>
        </w:tc>
        <w:tc>
          <w:tcPr>
            <w:tcW w:w="1773" w:type="dxa"/>
          </w:tcPr>
          <w:p w:rsidR="004B7B4C" w:rsidRDefault="004B7B4C" w:rsidP="004B7B4C">
            <w:pPr>
              <w:rPr>
                <w:rFonts w:eastAsia="Calibri"/>
                <w:noProof/>
                <w:szCs w:val="20"/>
              </w:rPr>
            </w:pPr>
          </w:p>
        </w:tc>
        <w:tc>
          <w:tcPr>
            <w:tcW w:w="1772" w:type="dxa"/>
            <w:shd w:val="clear" w:color="auto" w:fill="auto"/>
          </w:tcPr>
          <w:p w:rsidR="004B7B4C" w:rsidRDefault="004B7B4C" w:rsidP="004B7B4C">
            <w:pPr>
              <w:rPr>
                <w:noProof/>
                <w:szCs w:val="20"/>
              </w:rPr>
            </w:pPr>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Default="004B7B4C" w:rsidP="004B7B4C">
            <w:pPr>
              <w:jc w:val="left"/>
              <w:rPr>
                <w:rFonts w:eastAsia="Calibri"/>
                <w:noProof/>
                <w:szCs w:val="20"/>
              </w:rPr>
            </w:pPr>
          </w:p>
        </w:tc>
        <w:tc>
          <w:tcPr>
            <w:tcW w:w="1773" w:type="dxa"/>
          </w:tcPr>
          <w:p w:rsidR="004B7B4C" w:rsidRPr="002B341C" w:rsidRDefault="004B7B4C" w:rsidP="004B7B4C">
            <w:pPr>
              <w:rPr>
                <w:noProof/>
                <w:szCs w:val="20"/>
                <w:vertAlign w:val="superscript"/>
              </w:rPr>
            </w:pPr>
            <m:oMathPara>
              <m:oMathParaPr>
                <m:jc m:val="left"/>
              </m:oMathParaPr>
              <m:oMath>
                <m:r>
                  <w:rPr>
                    <w:rFonts w:ascii="Cambria Math" w:hAnsi="Cambria Math"/>
                    <w:noProof/>
                    <w:szCs w:val="20"/>
                  </w:rPr>
                  <m:t>tsiB=</m:t>
                </m:r>
                <m:r>
                  <w:rPr>
                    <w:rFonts w:ascii="Cambria Math" w:hAnsi="Cambria Math"/>
                    <w:noProof/>
                    <w:szCs w:val="20"/>
                  </w:rPr>
                  <m:t>DW</m:t>
                </m:r>
                <m:r>
                  <w:rPr>
                    <w:rFonts w:ascii="Cambria Math" w:hAnsi="Cambria Math"/>
                    <w:noProof/>
                    <w:szCs w:val="20"/>
                  </w:rPr>
                  <m:t>×0.</m:t>
                </m:r>
                <m:r>
                  <w:rPr>
                    <w:rFonts w:ascii="Cambria Math" w:hAnsi="Cambria Math"/>
                    <w:noProof/>
                    <w:szCs w:val="20"/>
                  </w:rPr>
                  <m:t>51</m:t>
                </m:r>
                <m:r>
                  <w:rPr>
                    <w:rFonts w:ascii="Cambria Math" w:hAnsi="Cambria Math"/>
                    <w:noProof/>
                    <w:szCs w:val="20"/>
                  </w:rPr>
                  <m:t>8</m:t>
                </m:r>
              </m:oMath>
            </m:oMathPara>
          </w:p>
        </w:tc>
        <w:tc>
          <w:tcPr>
            <w:tcW w:w="566" w:type="dxa"/>
          </w:tcPr>
          <w:p w:rsidR="004B7B4C" w:rsidRDefault="004B7B4C" w:rsidP="004B7B4C">
            <w:pPr>
              <w:rPr>
                <w:noProof/>
                <w:szCs w:val="20"/>
                <w:vertAlign w:val="superscript"/>
              </w:rPr>
            </w:pPr>
            <w:r>
              <w:rPr>
                <w:noProof/>
                <w:szCs w:val="20"/>
                <w:vertAlign w:val="superscript"/>
              </w:rPr>
              <w:t>3</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 xml:space="preserve">Asteroidea </w:t>
            </w:r>
          </w:p>
        </w:tc>
        <w:tc>
          <w:tcPr>
            <w:tcW w:w="1380" w:type="dxa"/>
          </w:tcPr>
          <w:p w:rsidR="004B7B4C" w:rsidRPr="008078B1" w:rsidRDefault="004B7B4C" w:rsidP="004B7B4C">
            <w:pPr>
              <w:jc w:val="left"/>
              <w:rPr>
                <w:noProof/>
                <w:szCs w:val="20"/>
              </w:rPr>
            </w:pPr>
            <w:r>
              <w:rPr>
                <w:noProof/>
                <w:szCs w:val="20"/>
              </w:rPr>
              <w:t>Radius from center of disk to end of arm</w:t>
            </w:r>
          </w:p>
        </w:tc>
        <w:tc>
          <w:tcPr>
            <w:tcW w:w="1772" w:type="dxa"/>
          </w:tcPr>
          <w:p w:rsidR="004B7B4C" w:rsidRDefault="004B7B4C" w:rsidP="004B7B4C">
            <w:pPr>
              <w:rPr>
                <w:rFonts w:eastAsia="Calibri"/>
                <w:noProof/>
                <w:szCs w:val="20"/>
              </w:rPr>
            </w:pPr>
          </w:p>
        </w:tc>
        <w:tc>
          <w:tcPr>
            <w:tcW w:w="1773" w:type="dxa"/>
          </w:tcPr>
          <w:p w:rsidR="004B7B4C" w:rsidRPr="00C90183" w:rsidRDefault="004B7B4C" w:rsidP="004B7B4C">
            <w:pPr>
              <w:rPr>
                <w:noProof/>
                <w:szCs w:val="20"/>
              </w:rPr>
            </w:pPr>
            <m:oMathPara>
              <m:oMathParaPr>
                <m:jc m:val="left"/>
              </m:oMathParaPr>
              <m:oMath>
                <m:r>
                  <w:rPr>
                    <w:rFonts w:ascii="Cambria Math" w:hAnsi="Cambria Math"/>
                    <w:noProof/>
                    <w:szCs w:val="20"/>
                  </w:rPr>
                  <m:t>pWW=26×</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2.133</m:t>
                    </m:r>
                  </m:sup>
                </m:sSup>
              </m:oMath>
            </m:oMathPara>
          </w:p>
        </w:tc>
        <w:tc>
          <w:tcPr>
            <w:tcW w:w="1772" w:type="dxa"/>
            <w:shd w:val="clear" w:color="auto" w:fill="auto"/>
          </w:tcPr>
          <w:p w:rsidR="004B7B4C" w:rsidRPr="00635FA0"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0.873</m:t>
                    </m:r>
                  </m:den>
                </m:f>
              </m:oMath>
            </m:oMathPara>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Pr="0005544C" w:rsidRDefault="004B7B4C" w:rsidP="004B7B4C">
            <w:pPr>
              <w:jc w:val="left"/>
              <w:rPr>
                <w:noProof/>
                <w:szCs w:val="20"/>
              </w:rPr>
            </w:pPr>
            <m:oMathPara>
              <m:oMathParaPr>
                <m:jc m:val="left"/>
              </m:oMathParaPr>
              <m:oMath>
                <m:r>
                  <w:rPr>
                    <w:rFonts w:ascii="Cambria Math" w:hAnsi="Cambria Math"/>
                    <w:noProof/>
                    <w:szCs w:val="20"/>
                  </w:rPr>
                  <m:t>tsiB=fWW×0.04</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Cephalopoda</w:t>
            </w:r>
          </w:p>
        </w:tc>
        <w:tc>
          <w:tcPr>
            <w:tcW w:w="1380" w:type="dxa"/>
          </w:tcPr>
          <w:p w:rsidR="004B7B4C" w:rsidRPr="008078B1" w:rsidRDefault="004B7B4C" w:rsidP="004B7B4C">
            <w:pPr>
              <w:rPr>
                <w:noProof/>
                <w:szCs w:val="20"/>
              </w:rPr>
            </w:pPr>
            <w:r>
              <w:rPr>
                <w:noProof/>
                <w:szCs w:val="20"/>
              </w:rPr>
              <w:t>Arm length</w:t>
            </w:r>
          </w:p>
        </w:tc>
        <w:tc>
          <w:tcPr>
            <w:tcW w:w="1772" w:type="dxa"/>
          </w:tcPr>
          <w:p w:rsidR="004B7B4C" w:rsidRDefault="004B7B4C" w:rsidP="004B7B4C">
            <w:pPr>
              <w:rPr>
                <w:rFonts w:eastAsia="Calibri"/>
                <w:noProof/>
                <w:szCs w:val="20"/>
              </w:rPr>
            </w:pPr>
          </w:p>
        </w:tc>
        <w:tc>
          <w:tcPr>
            <w:tcW w:w="1773" w:type="dxa"/>
          </w:tcPr>
          <w:p w:rsidR="004B7B4C" w:rsidRPr="00C90183" w:rsidRDefault="004B7B4C" w:rsidP="004B7B4C">
            <w:pPr>
              <w:rPr>
                <w:noProof/>
                <w:szCs w:val="20"/>
              </w:rPr>
            </w:pPr>
            <m:oMathPara>
              <m:oMathParaPr>
                <m:jc m:val="left"/>
              </m:oMathParaPr>
              <m:oMath>
                <m:r>
                  <w:rPr>
                    <w:rFonts w:ascii="Cambria Math" w:hAnsi="Cambria Math"/>
                    <w:noProof/>
                    <w:szCs w:val="20"/>
                  </w:rPr>
                  <m:t>pWW=3×</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2.438</m:t>
                    </m:r>
                  </m:sup>
                </m:sSup>
              </m:oMath>
            </m:oMathPara>
          </w:p>
        </w:tc>
        <w:tc>
          <w:tcPr>
            <w:tcW w:w="1772" w:type="dxa"/>
            <w:shd w:val="clear" w:color="auto" w:fill="auto"/>
          </w:tcPr>
          <w:p w:rsidR="004B7B4C" w:rsidRPr="00635FA0"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0.415</m:t>
                    </m:r>
                  </m:den>
                </m:f>
              </m:oMath>
            </m:oMathPara>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Pr="0005544C" w:rsidRDefault="004B7B4C" w:rsidP="004B7B4C">
            <w:pPr>
              <w:jc w:val="left"/>
              <w:rPr>
                <w:noProof/>
                <w:szCs w:val="20"/>
              </w:rPr>
            </w:pPr>
            <m:oMathPara>
              <m:oMathParaPr>
                <m:jc m:val="left"/>
              </m:oMathParaPr>
              <m:oMath>
                <m:r>
                  <w:rPr>
                    <w:rFonts w:ascii="Cambria Math" w:hAnsi="Cambria Math"/>
                    <w:noProof/>
                    <w:szCs w:val="20"/>
                  </w:rPr>
                  <m:t>tsiB=fWW×0.041</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Ceriantharia</w:t>
            </w:r>
          </w:p>
        </w:tc>
        <w:tc>
          <w:tcPr>
            <w:tcW w:w="1380" w:type="dxa"/>
          </w:tcPr>
          <w:p w:rsidR="004B7B4C" w:rsidRDefault="004B7B4C" w:rsidP="004B7B4C">
            <w:pPr>
              <w:rPr>
                <w:noProof/>
                <w:szCs w:val="20"/>
              </w:rPr>
            </w:pPr>
          </w:p>
        </w:tc>
        <w:tc>
          <w:tcPr>
            <w:tcW w:w="1772" w:type="dxa"/>
          </w:tcPr>
          <w:p w:rsidR="004B7B4C" w:rsidRDefault="004B7B4C" w:rsidP="004B7B4C">
            <w:pPr>
              <w:rPr>
                <w:rFonts w:eastAsia="Calibri"/>
                <w:noProof/>
                <w:szCs w:val="20"/>
              </w:rPr>
            </w:pPr>
          </w:p>
        </w:tc>
        <w:tc>
          <w:tcPr>
            <w:tcW w:w="1773" w:type="dxa"/>
          </w:tcPr>
          <w:p w:rsidR="004B7B4C" w:rsidRDefault="004B7B4C" w:rsidP="004B7B4C">
            <w:pPr>
              <w:rPr>
                <w:rFonts w:eastAsia="Calibri"/>
                <w:noProof/>
                <w:szCs w:val="20"/>
              </w:rPr>
            </w:pPr>
          </w:p>
        </w:tc>
        <w:tc>
          <w:tcPr>
            <w:tcW w:w="1772" w:type="dxa"/>
            <w:shd w:val="clear" w:color="auto" w:fill="auto"/>
          </w:tcPr>
          <w:p w:rsidR="004B7B4C" w:rsidRDefault="004B7B4C" w:rsidP="004B7B4C">
            <w:pPr>
              <w:rPr>
                <w:noProof/>
                <w:szCs w:val="20"/>
              </w:rPr>
            </w:pPr>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Default="004B7B4C" w:rsidP="004B7B4C">
            <w:pPr>
              <w:jc w:val="left"/>
              <w:rPr>
                <w:rFonts w:eastAsia="Calibri"/>
                <w:noProof/>
                <w:szCs w:val="20"/>
              </w:rPr>
            </w:pPr>
          </w:p>
        </w:tc>
        <w:tc>
          <w:tcPr>
            <w:tcW w:w="1773" w:type="dxa"/>
          </w:tcPr>
          <w:p w:rsidR="004B7B4C" w:rsidRPr="002B341C" w:rsidRDefault="004B7B4C" w:rsidP="004B7B4C">
            <w:pPr>
              <w:rPr>
                <w:noProof/>
                <w:szCs w:val="20"/>
                <w:vertAlign w:val="superscript"/>
              </w:rPr>
            </w:pPr>
            <m:oMathPara>
              <m:oMathParaPr>
                <m:jc m:val="left"/>
              </m:oMathParaPr>
              <m:oMath>
                <m:r>
                  <w:rPr>
                    <w:rFonts w:ascii="Cambria Math" w:hAnsi="Cambria Math"/>
                    <w:noProof/>
                    <w:szCs w:val="20"/>
                  </w:rPr>
                  <m:t>tsiB=DW×0.51</m:t>
                </m:r>
                <m:r>
                  <w:rPr>
                    <w:rFonts w:ascii="Cambria Math" w:hAnsi="Cambria Math"/>
                    <w:noProof/>
                    <w:szCs w:val="20"/>
                  </w:rPr>
                  <m:t>8</m:t>
                </m:r>
              </m:oMath>
            </m:oMathPara>
          </w:p>
        </w:tc>
        <w:tc>
          <w:tcPr>
            <w:tcW w:w="566" w:type="dxa"/>
          </w:tcPr>
          <w:p w:rsidR="004B7B4C" w:rsidRDefault="004B7B4C" w:rsidP="004B7B4C">
            <w:pPr>
              <w:rPr>
                <w:noProof/>
                <w:szCs w:val="20"/>
                <w:vertAlign w:val="superscript"/>
              </w:rPr>
            </w:pPr>
            <w:r>
              <w:rPr>
                <w:noProof/>
                <w:szCs w:val="20"/>
                <w:vertAlign w:val="superscript"/>
              </w:rPr>
              <w:t>3</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Cnidaria</w:t>
            </w:r>
          </w:p>
        </w:tc>
        <w:tc>
          <w:tcPr>
            <w:tcW w:w="1380" w:type="dxa"/>
          </w:tcPr>
          <w:p w:rsidR="004B7B4C" w:rsidRPr="008078B1" w:rsidRDefault="004B7B4C" w:rsidP="004B7B4C">
            <w:pPr>
              <w:rPr>
                <w:noProof/>
                <w:szCs w:val="20"/>
              </w:rPr>
            </w:pPr>
          </w:p>
        </w:tc>
        <w:tc>
          <w:tcPr>
            <w:tcW w:w="1772" w:type="dxa"/>
          </w:tcPr>
          <w:p w:rsidR="004B7B4C" w:rsidRPr="008078B1" w:rsidRDefault="004B7B4C" w:rsidP="004B7B4C">
            <w:pPr>
              <w:rPr>
                <w:noProof/>
                <w:szCs w:val="20"/>
              </w:rPr>
            </w:pPr>
          </w:p>
        </w:tc>
        <w:tc>
          <w:tcPr>
            <w:tcW w:w="1773" w:type="dxa"/>
          </w:tcPr>
          <w:p w:rsidR="004B7B4C" w:rsidRPr="008078B1" w:rsidRDefault="004B7B4C" w:rsidP="004B7B4C">
            <w:pPr>
              <w:rPr>
                <w:noProof/>
                <w:szCs w:val="20"/>
              </w:rPr>
            </w:pPr>
          </w:p>
        </w:tc>
        <w:tc>
          <w:tcPr>
            <w:tcW w:w="1772" w:type="dxa"/>
            <w:shd w:val="clear" w:color="auto" w:fill="auto"/>
          </w:tcPr>
          <w:p w:rsidR="004B7B4C" w:rsidRPr="004F7301"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0.71</m:t>
                    </m:r>
                  </m:den>
                </m:f>
              </m:oMath>
            </m:oMathPara>
          </w:p>
        </w:tc>
        <w:tc>
          <w:tcPr>
            <w:tcW w:w="1773" w:type="dxa"/>
          </w:tcPr>
          <w:p w:rsidR="004B7B4C" w:rsidRDefault="004B7B4C" w:rsidP="004B7B4C">
            <w:pPr>
              <w:rPr>
                <w:rFonts w:eastAsia="Calibri"/>
                <w:noProof/>
                <w:szCs w:val="20"/>
              </w:rPr>
            </w:pPr>
          </w:p>
        </w:tc>
        <w:tc>
          <w:tcPr>
            <w:tcW w:w="1772" w:type="dxa"/>
            <w:shd w:val="clear" w:color="auto" w:fill="auto"/>
          </w:tcPr>
          <w:p w:rsidR="004B7B4C" w:rsidRPr="004F7301" w:rsidRDefault="004B7B4C" w:rsidP="004B7B4C">
            <w:pPr>
              <w:rPr>
                <w:noProof/>
                <w:szCs w:val="20"/>
              </w:rPr>
            </w:pPr>
            <m:oMathPara>
              <m:oMathParaPr>
                <m:jc m:val="left"/>
              </m:oMathParaPr>
              <m:oMath>
                <m:r>
                  <w:rPr>
                    <w:rFonts w:ascii="Cambria Math" w:hAnsi="Cambria Math"/>
                    <w:noProof/>
                    <w:szCs w:val="20"/>
                  </w:rPr>
                  <m:t>tsiB=fWW×0.02</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AA4058">
        <w:tc>
          <w:tcPr>
            <w:tcW w:w="1413" w:type="dxa"/>
            <w:shd w:val="clear" w:color="auto" w:fill="auto"/>
          </w:tcPr>
          <w:p w:rsidR="004B7B4C" w:rsidRPr="008078B1" w:rsidRDefault="004B7B4C" w:rsidP="004B7B4C">
            <w:pPr>
              <w:rPr>
                <w:noProof/>
                <w:szCs w:val="20"/>
              </w:rPr>
            </w:pPr>
            <w:r w:rsidRPr="008078B1">
              <w:rPr>
                <w:noProof/>
                <w:szCs w:val="20"/>
              </w:rPr>
              <w:t>Crinoidea</w:t>
            </w:r>
          </w:p>
        </w:tc>
        <w:tc>
          <w:tcPr>
            <w:tcW w:w="1380" w:type="dxa"/>
          </w:tcPr>
          <w:p w:rsidR="004B7B4C" w:rsidRDefault="004B7B4C" w:rsidP="004B7B4C">
            <w:pPr>
              <w:rPr>
                <w:noProof/>
                <w:szCs w:val="20"/>
              </w:rPr>
            </w:pPr>
          </w:p>
        </w:tc>
        <w:tc>
          <w:tcPr>
            <w:tcW w:w="1772" w:type="dxa"/>
          </w:tcPr>
          <w:p w:rsidR="004B7B4C" w:rsidRDefault="004B7B4C" w:rsidP="004B7B4C">
            <w:pPr>
              <w:rPr>
                <w:rFonts w:eastAsia="Calibri"/>
                <w:noProof/>
                <w:szCs w:val="20"/>
              </w:rPr>
            </w:pPr>
          </w:p>
        </w:tc>
        <w:tc>
          <w:tcPr>
            <w:tcW w:w="1773" w:type="dxa"/>
          </w:tcPr>
          <w:p w:rsidR="004B7B4C" w:rsidRDefault="004B7B4C" w:rsidP="004B7B4C">
            <w:pPr>
              <w:rPr>
                <w:rFonts w:eastAsia="Calibri"/>
                <w:noProof/>
                <w:szCs w:val="20"/>
              </w:rPr>
            </w:pPr>
          </w:p>
        </w:tc>
        <w:tc>
          <w:tcPr>
            <w:tcW w:w="1772" w:type="dxa"/>
            <w:shd w:val="clear" w:color="auto" w:fill="auto"/>
          </w:tcPr>
          <w:p w:rsidR="004B7B4C" w:rsidRDefault="004B7B4C" w:rsidP="004B7B4C">
            <w:pPr>
              <w:rPr>
                <w:noProof/>
                <w:szCs w:val="20"/>
              </w:rPr>
            </w:pPr>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Default="004B7B4C" w:rsidP="004B7B4C">
            <w:pPr>
              <w:jc w:val="left"/>
              <w:rPr>
                <w:rFonts w:eastAsia="Calibri"/>
                <w:noProof/>
                <w:szCs w:val="20"/>
              </w:rPr>
            </w:pPr>
          </w:p>
        </w:tc>
        <w:tc>
          <w:tcPr>
            <w:tcW w:w="1773" w:type="dxa"/>
          </w:tcPr>
          <w:p w:rsidR="004B7B4C" w:rsidRPr="002B341C" w:rsidRDefault="004B7B4C" w:rsidP="004B7B4C">
            <w:pPr>
              <w:rPr>
                <w:noProof/>
                <w:szCs w:val="20"/>
                <w:vertAlign w:val="superscript"/>
              </w:rPr>
            </w:pPr>
            <m:oMathPara>
              <m:oMathParaPr>
                <m:jc m:val="left"/>
              </m:oMathParaPr>
              <m:oMath>
                <m:r>
                  <w:rPr>
                    <w:rFonts w:ascii="Cambria Math" w:hAnsi="Cambria Math"/>
                    <w:noProof/>
                    <w:szCs w:val="20"/>
                  </w:rPr>
                  <m:t>tsiB=DW×0.51</m:t>
                </m:r>
                <m:r>
                  <w:rPr>
                    <w:rFonts w:ascii="Cambria Math" w:hAnsi="Cambria Math"/>
                    <w:noProof/>
                    <w:szCs w:val="20"/>
                  </w:rPr>
                  <m:t>8</m:t>
                </m:r>
              </m:oMath>
            </m:oMathPara>
          </w:p>
        </w:tc>
        <w:tc>
          <w:tcPr>
            <w:tcW w:w="566" w:type="dxa"/>
          </w:tcPr>
          <w:p w:rsidR="004B7B4C" w:rsidRDefault="004B7B4C" w:rsidP="004B7B4C">
            <w:pPr>
              <w:rPr>
                <w:noProof/>
                <w:szCs w:val="20"/>
                <w:vertAlign w:val="superscript"/>
              </w:rPr>
            </w:pPr>
            <w:r>
              <w:rPr>
                <w:noProof/>
                <w:szCs w:val="20"/>
                <w:vertAlign w:val="superscript"/>
              </w:rPr>
              <w:t>3</w:t>
            </w:r>
          </w:p>
        </w:tc>
      </w:tr>
      <w:tr w:rsidR="004B7B4C" w:rsidRPr="008078B1" w:rsidTr="00454604">
        <w:tc>
          <w:tcPr>
            <w:tcW w:w="1413" w:type="dxa"/>
            <w:shd w:val="clear" w:color="auto" w:fill="auto"/>
          </w:tcPr>
          <w:p w:rsidR="004B7B4C" w:rsidRPr="008078B1" w:rsidRDefault="004B7B4C" w:rsidP="004B7B4C">
            <w:pPr>
              <w:rPr>
                <w:noProof/>
                <w:szCs w:val="20"/>
              </w:rPr>
            </w:pPr>
          </w:p>
        </w:tc>
        <w:tc>
          <w:tcPr>
            <w:tcW w:w="1380" w:type="dxa"/>
          </w:tcPr>
          <w:p w:rsidR="004B7B4C" w:rsidRDefault="004B7B4C" w:rsidP="004B7B4C">
            <w:pPr>
              <w:rPr>
                <w:noProof/>
                <w:szCs w:val="20"/>
              </w:rPr>
            </w:pPr>
          </w:p>
        </w:tc>
        <w:tc>
          <w:tcPr>
            <w:tcW w:w="1772" w:type="dxa"/>
          </w:tcPr>
          <w:p w:rsidR="004B7B4C" w:rsidRDefault="004B7B4C" w:rsidP="004B7B4C">
            <w:pPr>
              <w:rPr>
                <w:rFonts w:eastAsia="Calibri"/>
                <w:noProof/>
                <w:szCs w:val="20"/>
              </w:rPr>
            </w:pPr>
          </w:p>
        </w:tc>
        <w:tc>
          <w:tcPr>
            <w:tcW w:w="1773" w:type="dxa"/>
          </w:tcPr>
          <w:p w:rsidR="004B7B4C" w:rsidRDefault="004B7B4C" w:rsidP="004B7B4C">
            <w:pPr>
              <w:rPr>
                <w:rFonts w:eastAsia="Calibri"/>
                <w:noProof/>
                <w:szCs w:val="20"/>
              </w:rPr>
            </w:pPr>
          </w:p>
        </w:tc>
        <w:tc>
          <w:tcPr>
            <w:tcW w:w="1772" w:type="dxa"/>
            <w:shd w:val="clear" w:color="auto" w:fill="auto"/>
          </w:tcPr>
          <w:p w:rsidR="004B7B4C" w:rsidRDefault="004B7B4C" w:rsidP="004B7B4C">
            <w:pPr>
              <w:rPr>
                <w:noProof/>
                <w:szCs w:val="20"/>
              </w:rPr>
            </w:pPr>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Default="004B7B4C" w:rsidP="004B7B4C">
            <w:pPr>
              <w:jc w:val="left"/>
              <w:rPr>
                <w:rFonts w:eastAsia="Calibri"/>
                <w:noProof/>
                <w:szCs w:val="20"/>
              </w:rPr>
            </w:pPr>
          </w:p>
        </w:tc>
        <w:tc>
          <w:tcPr>
            <w:tcW w:w="1773" w:type="dxa"/>
          </w:tcPr>
          <w:p w:rsidR="004B7B4C" w:rsidRDefault="004B7B4C" w:rsidP="004B7B4C">
            <w:pPr>
              <w:rPr>
                <w:noProof/>
                <w:szCs w:val="20"/>
                <w:vertAlign w:val="superscript"/>
              </w:rPr>
            </w:pPr>
          </w:p>
        </w:tc>
        <w:tc>
          <w:tcPr>
            <w:tcW w:w="566" w:type="dxa"/>
          </w:tcPr>
          <w:p w:rsidR="004B7B4C" w:rsidRDefault="004B7B4C" w:rsidP="004B7B4C">
            <w:pPr>
              <w:rPr>
                <w:noProof/>
                <w:szCs w:val="20"/>
                <w:vertAlign w:val="superscript"/>
              </w:rPr>
            </w:pP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Crustacea</w:t>
            </w:r>
          </w:p>
        </w:tc>
        <w:tc>
          <w:tcPr>
            <w:tcW w:w="1380" w:type="dxa"/>
          </w:tcPr>
          <w:p w:rsidR="004B7B4C" w:rsidRPr="008078B1" w:rsidRDefault="004B7B4C" w:rsidP="004B7B4C">
            <w:pPr>
              <w:rPr>
                <w:noProof/>
                <w:szCs w:val="20"/>
              </w:rPr>
            </w:pPr>
            <w:r>
              <w:rPr>
                <w:noProof/>
                <w:szCs w:val="20"/>
              </w:rPr>
              <w:t>Body length</w:t>
            </w:r>
          </w:p>
        </w:tc>
        <w:tc>
          <w:tcPr>
            <w:tcW w:w="1772" w:type="dxa"/>
          </w:tcPr>
          <w:p w:rsidR="004B7B4C" w:rsidRDefault="004B7B4C" w:rsidP="004B7B4C">
            <w:pPr>
              <w:rPr>
                <w:rFonts w:eastAsia="Calibri"/>
                <w:noProof/>
                <w:szCs w:val="20"/>
              </w:rPr>
            </w:pPr>
          </w:p>
        </w:tc>
        <w:tc>
          <w:tcPr>
            <w:tcW w:w="1773" w:type="dxa"/>
          </w:tcPr>
          <w:p w:rsidR="004B7B4C" w:rsidRPr="00C90183" w:rsidRDefault="004B7B4C" w:rsidP="004B7B4C">
            <w:pPr>
              <w:rPr>
                <w:noProof/>
                <w:szCs w:val="20"/>
              </w:rPr>
            </w:pPr>
            <m:oMathPara>
              <m:oMathParaPr>
                <m:jc m:val="left"/>
              </m:oMathParaPr>
              <m:oMath>
                <m:r>
                  <w:rPr>
                    <w:rFonts w:ascii="Cambria Math" w:hAnsi="Cambria Math"/>
                    <w:noProof/>
                    <w:szCs w:val="20"/>
                  </w:rPr>
                  <m:t>pWW=6×</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2.747</m:t>
                    </m:r>
                  </m:sup>
                </m:sSup>
              </m:oMath>
            </m:oMathPara>
          </w:p>
        </w:tc>
        <w:tc>
          <w:tcPr>
            <w:tcW w:w="1772" w:type="dxa"/>
            <w:shd w:val="clear" w:color="auto" w:fill="auto"/>
          </w:tcPr>
          <w:p w:rsidR="004B7B4C" w:rsidRPr="00635FA0"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0.78</m:t>
                    </m:r>
                  </m:den>
                </m:f>
              </m:oMath>
            </m:oMathPara>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Pr="0005544C" w:rsidRDefault="004B7B4C" w:rsidP="004B7B4C">
            <w:pPr>
              <w:jc w:val="left"/>
              <w:rPr>
                <w:noProof/>
                <w:szCs w:val="20"/>
              </w:rPr>
            </w:pPr>
            <m:oMathPara>
              <m:oMathParaPr>
                <m:jc m:val="left"/>
              </m:oMathParaPr>
              <m:oMath>
                <m:r>
                  <w:rPr>
                    <w:rFonts w:ascii="Cambria Math" w:hAnsi="Cambria Math"/>
                    <w:noProof/>
                    <w:szCs w:val="20"/>
                  </w:rPr>
                  <m:t>tsiB=fWW×0.037</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AA4058">
        <w:tc>
          <w:tcPr>
            <w:tcW w:w="1413" w:type="dxa"/>
            <w:shd w:val="clear" w:color="auto" w:fill="auto"/>
          </w:tcPr>
          <w:p w:rsidR="004B7B4C" w:rsidRPr="008078B1" w:rsidRDefault="004B7B4C" w:rsidP="004B7B4C">
            <w:pPr>
              <w:rPr>
                <w:noProof/>
                <w:szCs w:val="20"/>
              </w:rPr>
            </w:pPr>
            <w:r>
              <w:rPr>
                <w:noProof/>
                <w:szCs w:val="20"/>
              </w:rPr>
              <w:t>Echinoidea</w:t>
            </w:r>
          </w:p>
        </w:tc>
        <w:tc>
          <w:tcPr>
            <w:tcW w:w="1380" w:type="dxa"/>
          </w:tcPr>
          <w:p w:rsidR="004B7B4C" w:rsidRDefault="004B7B4C" w:rsidP="004B7B4C">
            <w:pPr>
              <w:rPr>
                <w:noProof/>
                <w:szCs w:val="20"/>
              </w:rPr>
            </w:pPr>
          </w:p>
        </w:tc>
        <w:tc>
          <w:tcPr>
            <w:tcW w:w="1772" w:type="dxa"/>
          </w:tcPr>
          <w:p w:rsidR="004B7B4C" w:rsidRDefault="004B7B4C" w:rsidP="004B7B4C">
            <w:pPr>
              <w:rPr>
                <w:rFonts w:eastAsia="Calibri"/>
                <w:noProof/>
                <w:szCs w:val="20"/>
              </w:rPr>
            </w:pPr>
          </w:p>
        </w:tc>
        <w:tc>
          <w:tcPr>
            <w:tcW w:w="1773" w:type="dxa"/>
          </w:tcPr>
          <w:p w:rsidR="004B7B4C" w:rsidRDefault="004B7B4C" w:rsidP="004B7B4C">
            <w:pPr>
              <w:rPr>
                <w:rFonts w:eastAsia="Calibri"/>
                <w:noProof/>
                <w:szCs w:val="20"/>
              </w:rPr>
            </w:pPr>
          </w:p>
        </w:tc>
        <w:tc>
          <w:tcPr>
            <w:tcW w:w="1772" w:type="dxa"/>
            <w:shd w:val="clear" w:color="auto" w:fill="auto"/>
          </w:tcPr>
          <w:p w:rsidR="004B7B4C" w:rsidRDefault="004B7B4C" w:rsidP="004B7B4C">
            <w:pPr>
              <w:rPr>
                <w:noProof/>
                <w:szCs w:val="20"/>
              </w:rPr>
            </w:pPr>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Default="004B7B4C" w:rsidP="004B7B4C">
            <w:pPr>
              <w:jc w:val="left"/>
              <w:rPr>
                <w:rFonts w:eastAsia="Calibri"/>
                <w:noProof/>
                <w:szCs w:val="20"/>
              </w:rPr>
            </w:pPr>
          </w:p>
        </w:tc>
        <w:tc>
          <w:tcPr>
            <w:tcW w:w="1773" w:type="dxa"/>
          </w:tcPr>
          <w:p w:rsidR="004B7B4C" w:rsidRPr="002B341C" w:rsidRDefault="004B7B4C" w:rsidP="004B7B4C">
            <w:pPr>
              <w:rPr>
                <w:noProof/>
                <w:szCs w:val="20"/>
                <w:vertAlign w:val="superscript"/>
              </w:rPr>
            </w:pPr>
            <m:oMathPara>
              <m:oMathParaPr>
                <m:jc m:val="left"/>
              </m:oMathParaPr>
              <m:oMath>
                <m:r>
                  <w:rPr>
                    <w:rFonts w:ascii="Cambria Math" w:hAnsi="Cambria Math"/>
                    <w:noProof/>
                    <w:szCs w:val="20"/>
                  </w:rPr>
                  <m:t>tsiB=DW×0.51</m:t>
                </m:r>
                <m:r>
                  <w:rPr>
                    <w:rFonts w:ascii="Cambria Math" w:hAnsi="Cambria Math"/>
                    <w:noProof/>
                    <w:szCs w:val="20"/>
                  </w:rPr>
                  <m:t>8</m:t>
                </m:r>
              </m:oMath>
            </m:oMathPara>
          </w:p>
        </w:tc>
        <w:tc>
          <w:tcPr>
            <w:tcW w:w="566" w:type="dxa"/>
          </w:tcPr>
          <w:p w:rsidR="004B7B4C" w:rsidRDefault="004B7B4C" w:rsidP="004B7B4C">
            <w:pPr>
              <w:rPr>
                <w:noProof/>
                <w:szCs w:val="20"/>
                <w:vertAlign w:val="superscript"/>
              </w:rPr>
            </w:pPr>
            <w:r>
              <w:rPr>
                <w:noProof/>
                <w:szCs w:val="20"/>
                <w:vertAlign w:val="superscript"/>
              </w:rPr>
              <w:t>3</w:t>
            </w:r>
          </w:p>
        </w:tc>
      </w:tr>
      <w:tr w:rsidR="004B7B4C" w:rsidRPr="008078B1" w:rsidTr="00454604">
        <w:tc>
          <w:tcPr>
            <w:tcW w:w="1413" w:type="dxa"/>
            <w:shd w:val="clear" w:color="auto" w:fill="auto"/>
          </w:tcPr>
          <w:p w:rsidR="004B7B4C" w:rsidRPr="008078B1" w:rsidRDefault="004B7B4C" w:rsidP="004B7B4C">
            <w:pPr>
              <w:rPr>
                <w:noProof/>
                <w:szCs w:val="20"/>
                <w:vertAlign w:val="superscript"/>
              </w:rPr>
            </w:pPr>
            <w:r w:rsidRPr="008078B1">
              <w:rPr>
                <w:noProof/>
                <w:szCs w:val="20"/>
              </w:rPr>
              <w:t>Ophiuroidea</w:t>
            </w:r>
          </w:p>
        </w:tc>
        <w:tc>
          <w:tcPr>
            <w:tcW w:w="1380" w:type="dxa"/>
          </w:tcPr>
          <w:p w:rsidR="004B7B4C" w:rsidRPr="008078B1" w:rsidRDefault="004B7B4C" w:rsidP="004B7B4C">
            <w:pPr>
              <w:jc w:val="left"/>
              <w:rPr>
                <w:noProof/>
                <w:szCs w:val="20"/>
              </w:rPr>
            </w:pPr>
            <w:r>
              <w:rPr>
                <w:noProof/>
                <w:szCs w:val="20"/>
              </w:rPr>
              <w:t>Radius from center of disk to end of arm</w:t>
            </w:r>
          </w:p>
        </w:tc>
        <w:tc>
          <w:tcPr>
            <w:tcW w:w="1772" w:type="dxa"/>
          </w:tcPr>
          <w:p w:rsidR="004B7B4C" w:rsidRDefault="004B7B4C" w:rsidP="004B7B4C">
            <w:pPr>
              <w:rPr>
                <w:rFonts w:eastAsia="Calibri"/>
                <w:noProof/>
                <w:szCs w:val="20"/>
              </w:rPr>
            </w:pPr>
          </w:p>
        </w:tc>
        <w:tc>
          <w:tcPr>
            <w:tcW w:w="1773" w:type="dxa"/>
          </w:tcPr>
          <w:p w:rsidR="004B7B4C" w:rsidRPr="00C90183" w:rsidRDefault="004B7B4C" w:rsidP="004B7B4C">
            <w:pPr>
              <w:rPr>
                <w:noProof/>
                <w:szCs w:val="20"/>
              </w:rPr>
            </w:pPr>
            <m:oMathPara>
              <m:oMathParaPr>
                <m:jc m:val="left"/>
              </m:oMathParaPr>
              <m:oMath>
                <m:r>
                  <w:rPr>
                    <w:rFonts w:ascii="Cambria Math" w:hAnsi="Cambria Math"/>
                    <w:noProof/>
                    <w:szCs w:val="20"/>
                  </w:rPr>
                  <m:t>pWW=21×</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1.764</m:t>
                    </m:r>
                  </m:sup>
                </m:sSup>
              </m:oMath>
            </m:oMathPara>
          </w:p>
        </w:tc>
        <w:tc>
          <w:tcPr>
            <w:tcW w:w="1772" w:type="dxa"/>
            <w:shd w:val="clear" w:color="auto" w:fill="auto"/>
          </w:tcPr>
          <w:p w:rsidR="004B7B4C" w:rsidRPr="00635FA0"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0.835</m:t>
                    </m:r>
                  </m:den>
                </m:f>
              </m:oMath>
            </m:oMathPara>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Pr="0005544C" w:rsidRDefault="004B7B4C" w:rsidP="004B7B4C">
            <w:pPr>
              <w:jc w:val="left"/>
              <w:rPr>
                <w:noProof/>
                <w:szCs w:val="20"/>
              </w:rPr>
            </w:pPr>
            <m:oMathPara>
              <m:oMathParaPr>
                <m:jc m:val="left"/>
              </m:oMathParaPr>
              <m:oMath>
                <m:r>
                  <w:rPr>
                    <w:rFonts w:ascii="Cambria Math" w:hAnsi="Cambria Math"/>
                    <w:noProof/>
                    <w:szCs w:val="20"/>
                  </w:rPr>
                  <m:t>tsiB=fWW×0.0316</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Polychaeta</w:t>
            </w:r>
          </w:p>
        </w:tc>
        <w:tc>
          <w:tcPr>
            <w:tcW w:w="1380" w:type="dxa"/>
          </w:tcPr>
          <w:p w:rsidR="004B7B4C" w:rsidRPr="008078B1" w:rsidRDefault="004B7B4C" w:rsidP="004B7B4C">
            <w:pPr>
              <w:rPr>
                <w:noProof/>
                <w:szCs w:val="20"/>
              </w:rPr>
            </w:pPr>
            <w:r>
              <w:rPr>
                <w:noProof/>
                <w:szCs w:val="20"/>
              </w:rPr>
              <w:t>Body length</w:t>
            </w:r>
          </w:p>
        </w:tc>
        <w:tc>
          <w:tcPr>
            <w:tcW w:w="1772" w:type="dxa"/>
          </w:tcPr>
          <w:p w:rsidR="004B7B4C" w:rsidRDefault="004B7B4C" w:rsidP="004B7B4C">
            <w:pPr>
              <w:rPr>
                <w:rFonts w:eastAsia="Calibri"/>
                <w:noProof/>
                <w:szCs w:val="20"/>
              </w:rPr>
            </w:pPr>
          </w:p>
        </w:tc>
        <w:tc>
          <w:tcPr>
            <w:tcW w:w="1773" w:type="dxa"/>
          </w:tcPr>
          <w:p w:rsidR="004B7B4C" w:rsidRPr="00C90183" w:rsidRDefault="004B7B4C" w:rsidP="004B7B4C">
            <w:pPr>
              <w:rPr>
                <w:noProof/>
                <w:szCs w:val="20"/>
              </w:rPr>
            </w:pPr>
            <m:oMathPara>
              <m:oMathParaPr>
                <m:jc m:val="left"/>
              </m:oMathParaPr>
              <m:oMath>
                <m:r>
                  <w:rPr>
                    <w:rFonts w:ascii="Cambria Math" w:hAnsi="Cambria Math"/>
                    <w:noProof/>
                    <w:szCs w:val="20"/>
                  </w:rPr>
                  <m:t>pWW=2×</m:t>
                </m:r>
                <m:sSup>
                  <m:sSupPr>
                    <m:ctrlPr>
                      <w:rPr>
                        <w:rFonts w:ascii="Cambria Math" w:hAnsi="Cambria Math"/>
                        <w:i/>
                        <w:noProof/>
                        <w:szCs w:val="20"/>
                      </w:rPr>
                    </m:ctrlPr>
                  </m:sSupPr>
                  <m:e>
                    <m:r>
                      <w:rPr>
                        <w:rFonts w:ascii="Cambria Math" w:hAnsi="Cambria Math"/>
                        <w:noProof/>
                        <w:szCs w:val="20"/>
                      </w:rPr>
                      <m:t>10</m:t>
                    </m:r>
                  </m:e>
                  <m:sup>
                    <m:r>
                      <w:rPr>
                        <w:rFonts w:ascii="Cambria Math" w:hAnsi="Cambria Math"/>
                        <w:noProof/>
                        <w:szCs w:val="20"/>
                      </w:rPr>
                      <m:t>-4</m:t>
                    </m:r>
                  </m:sup>
                </m:sSup>
                <m:r>
                  <w:rPr>
                    <w:rFonts w:ascii="Cambria Math" w:hAnsi="Cambria Math"/>
                    <w:noProof/>
                    <w:szCs w:val="20"/>
                  </w:rPr>
                  <m:t>×</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2.307</m:t>
                    </m:r>
                  </m:sup>
                </m:sSup>
              </m:oMath>
            </m:oMathPara>
          </w:p>
        </w:tc>
        <w:tc>
          <w:tcPr>
            <w:tcW w:w="1772" w:type="dxa"/>
            <w:shd w:val="clear" w:color="auto" w:fill="auto"/>
          </w:tcPr>
          <w:p w:rsidR="004B7B4C" w:rsidRPr="00635FA0"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0.812</m:t>
                    </m:r>
                  </m:den>
                </m:f>
              </m:oMath>
            </m:oMathPara>
          </w:p>
        </w:tc>
        <w:tc>
          <w:tcPr>
            <w:tcW w:w="1773" w:type="dxa"/>
          </w:tcPr>
          <w:p w:rsidR="004B7B4C" w:rsidRDefault="004B7B4C" w:rsidP="004B7B4C">
            <w:pPr>
              <w:jc w:val="left"/>
              <w:rPr>
                <w:rFonts w:eastAsia="Calibri"/>
                <w:noProof/>
                <w:szCs w:val="20"/>
              </w:rPr>
            </w:pPr>
          </w:p>
        </w:tc>
        <w:tc>
          <w:tcPr>
            <w:tcW w:w="1772" w:type="dxa"/>
            <w:shd w:val="clear" w:color="auto" w:fill="auto"/>
          </w:tcPr>
          <w:p w:rsidR="004B7B4C" w:rsidRPr="0005544C" w:rsidRDefault="004B7B4C" w:rsidP="004B7B4C">
            <w:pPr>
              <w:jc w:val="left"/>
              <w:rPr>
                <w:noProof/>
                <w:szCs w:val="20"/>
              </w:rPr>
            </w:pPr>
            <m:oMathPara>
              <m:oMathParaPr>
                <m:jc m:val="left"/>
              </m:oMathParaPr>
              <m:oMath>
                <m:r>
                  <w:rPr>
                    <w:rFonts w:ascii="Cambria Math" w:hAnsi="Cambria Math"/>
                    <w:noProof/>
                    <w:szCs w:val="20"/>
                  </w:rPr>
                  <m:t>tsiB=fWW×0.051</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Porifera</w:t>
            </w:r>
            <w:r w:rsidRPr="008078B1">
              <w:rPr>
                <w:noProof/>
                <w:szCs w:val="20"/>
                <w:vertAlign w:val="superscript"/>
              </w:rPr>
              <w:t>c</w:t>
            </w:r>
          </w:p>
        </w:tc>
        <w:tc>
          <w:tcPr>
            <w:tcW w:w="1380" w:type="dxa"/>
          </w:tcPr>
          <w:p w:rsidR="004B7B4C" w:rsidRPr="008078B1" w:rsidRDefault="004B7B4C" w:rsidP="004B7B4C">
            <w:pPr>
              <w:rPr>
                <w:noProof/>
                <w:szCs w:val="20"/>
              </w:rPr>
            </w:pPr>
          </w:p>
        </w:tc>
        <w:tc>
          <w:tcPr>
            <w:tcW w:w="1772" w:type="dxa"/>
          </w:tcPr>
          <w:p w:rsidR="004B7B4C" w:rsidRPr="008078B1" w:rsidRDefault="004B7B4C" w:rsidP="004B7B4C">
            <w:pPr>
              <w:rPr>
                <w:noProof/>
                <w:szCs w:val="20"/>
              </w:rPr>
            </w:pPr>
          </w:p>
        </w:tc>
        <w:tc>
          <w:tcPr>
            <w:tcW w:w="1773" w:type="dxa"/>
          </w:tcPr>
          <w:p w:rsidR="004B7B4C" w:rsidRPr="008078B1" w:rsidRDefault="004B7B4C" w:rsidP="004B7B4C">
            <w:pPr>
              <w:rPr>
                <w:noProof/>
                <w:szCs w:val="20"/>
              </w:rPr>
            </w:pPr>
          </w:p>
        </w:tc>
        <w:tc>
          <w:tcPr>
            <w:tcW w:w="1772" w:type="dxa"/>
            <w:shd w:val="clear" w:color="auto" w:fill="auto"/>
          </w:tcPr>
          <w:p w:rsidR="004B7B4C" w:rsidRPr="004F7301" w:rsidRDefault="004B7B4C" w:rsidP="004B7B4C">
            <w:pPr>
              <w:rPr>
                <w:noProof/>
                <w:szCs w:val="20"/>
              </w:rPr>
            </w:pPr>
            <m:oMathPara>
              <m:oMathParaPr>
                <m:jc m:val="left"/>
              </m:oMathParaPr>
              <m:oMath>
                <m:r>
                  <w:rPr>
                    <w:rFonts w:ascii="Cambria Math" w:hAnsi="Cambria Math"/>
                    <w:noProof/>
                    <w:szCs w:val="20"/>
                  </w:rPr>
                  <m:t>fWW=</m:t>
                </m:r>
                <m:f>
                  <m:fPr>
                    <m:ctrlPr>
                      <w:rPr>
                        <w:rFonts w:ascii="Cambria Math" w:hAnsi="Cambria Math"/>
                        <w:i/>
                        <w:noProof/>
                        <w:szCs w:val="20"/>
                      </w:rPr>
                    </m:ctrlPr>
                  </m:fPr>
                  <m:num>
                    <m:r>
                      <w:rPr>
                        <w:rFonts w:ascii="Cambria Math" w:hAnsi="Cambria Math"/>
                        <w:noProof/>
                        <w:szCs w:val="20"/>
                      </w:rPr>
                      <m:t>pWW</m:t>
                    </m:r>
                  </m:num>
                  <m:den>
                    <m:r>
                      <w:rPr>
                        <w:rFonts w:ascii="Cambria Math" w:hAnsi="Cambria Math"/>
                        <w:noProof/>
                        <w:szCs w:val="20"/>
                      </w:rPr>
                      <m:t>0.791</m:t>
                    </m:r>
                  </m:den>
                </m:f>
              </m:oMath>
            </m:oMathPara>
          </w:p>
        </w:tc>
        <w:tc>
          <w:tcPr>
            <w:tcW w:w="1773" w:type="dxa"/>
          </w:tcPr>
          <w:p w:rsidR="004B7B4C" w:rsidRDefault="004B7B4C" w:rsidP="004B7B4C">
            <w:pPr>
              <w:rPr>
                <w:rFonts w:eastAsia="Calibri"/>
                <w:noProof/>
                <w:szCs w:val="20"/>
              </w:rPr>
            </w:pPr>
          </w:p>
        </w:tc>
        <w:tc>
          <w:tcPr>
            <w:tcW w:w="1772" w:type="dxa"/>
            <w:shd w:val="clear" w:color="auto" w:fill="auto"/>
          </w:tcPr>
          <w:p w:rsidR="004B7B4C" w:rsidRPr="004F7301" w:rsidRDefault="004B7B4C" w:rsidP="004B7B4C">
            <w:pPr>
              <w:rPr>
                <w:noProof/>
                <w:szCs w:val="20"/>
              </w:rPr>
            </w:pPr>
            <m:oMathPara>
              <m:oMathParaPr>
                <m:jc m:val="left"/>
              </m:oMathParaPr>
              <m:oMath>
                <m:r>
                  <w:rPr>
                    <w:rFonts w:ascii="Cambria Math" w:hAnsi="Cambria Math"/>
                    <w:noProof/>
                    <w:szCs w:val="20"/>
                  </w:rPr>
                  <m:t>tsiB=fWW×0.008</m:t>
                </m:r>
              </m:oMath>
            </m:oMathPara>
          </w:p>
        </w:tc>
        <w:tc>
          <w:tcPr>
            <w:tcW w:w="1773" w:type="dxa"/>
          </w:tcPr>
          <w:p w:rsidR="004B7B4C" w:rsidRDefault="004B7B4C" w:rsidP="004B7B4C">
            <w:pPr>
              <w:rPr>
                <w:noProof/>
                <w:szCs w:val="20"/>
                <w:vertAlign w:val="superscript"/>
              </w:rPr>
            </w:pPr>
          </w:p>
        </w:tc>
        <w:tc>
          <w:tcPr>
            <w:tcW w:w="566" w:type="dxa"/>
          </w:tcPr>
          <w:p w:rsidR="004B7B4C" w:rsidRPr="008078B1" w:rsidRDefault="004B7B4C" w:rsidP="004B7B4C">
            <w:pPr>
              <w:rPr>
                <w:noProof/>
                <w:szCs w:val="20"/>
              </w:rPr>
            </w:pPr>
            <w:r>
              <w:rPr>
                <w:noProof/>
                <w:szCs w:val="20"/>
                <w:vertAlign w:val="superscript"/>
              </w:rPr>
              <w:t>1, 2</w:t>
            </w:r>
          </w:p>
        </w:tc>
      </w:tr>
      <w:tr w:rsidR="004B7B4C" w:rsidRPr="008078B1" w:rsidTr="00454604">
        <w:tc>
          <w:tcPr>
            <w:tcW w:w="1413" w:type="dxa"/>
            <w:shd w:val="clear" w:color="auto" w:fill="auto"/>
          </w:tcPr>
          <w:p w:rsidR="004B7B4C" w:rsidRPr="008078B1" w:rsidRDefault="004B7B4C" w:rsidP="004B7B4C">
            <w:pPr>
              <w:rPr>
                <w:noProof/>
                <w:szCs w:val="20"/>
              </w:rPr>
            </w:pPr>
            <w:r w:rsidRPr="008078B1">
              <w:rPr>
                <w:noProof/>
                <w:szCs w:val="20"/>
              </w:rPr>
              <w:t>Osteichthyes</w:t>
            </w:r>
            <w:r w:rsidRPr="008078B1">
              <w:rPr>
                <w:noProof/>
                <w:szCs w:val="20"/>
                <w:vertAlign w:val="superscript"/>
              </w:rPr>
              <w:t>f</w:t>
            </w:r>
          </w:p>
        </w:tc>
        <w:tc>
          <w:tcPr>
            <w:tcW w:w="1380" w:type="dxa"/>
          </w:tcPr>
          <w:p w:rsidR="004B7B4C" w:rsidRPr="008078B1" w:rsidRDefault="004B7B4C" w:rsidP="004B7B4C">
            <w:pPr>
              <w:rPr>
                <w:noProof/>
                <w:szCs w:val="20"/>
              </w:rPr>
            </w:pPr>
            <w:r>
              <w:rPr>
                <w:noProof/>
                <w:szCs w:val="20"/>
              </w:rPr>
              <w:t>Body length</w:t>
            </w:r>
          </w:p>
        </w:tc>
        <w:tc>
          <w:tcPr>
            <w:tcW w:w="1772" w:type="dxa"/>
          </w:tcPr>
          <w:p w:rsidR="004B7B4C" w:rsidRPr="00A12C99" w:rsidRDefault="004B7B4C" w:rsidP="004B7B4C">
            <w:pPr>
              <w:rPr>
                <w:rFonts w:eastAsia="Calibri"/>
                <w:noProof/>
                <w:szCs w:val="20"/>
              </w:rPr>
            </w:pPr>
            <m:oMathPara>
              <m:oMathParaPr>
                <m:jc m:val="left"/>
              </m:oMathParaPr>
              <m:oMath>
                <m:r>
                  <w:rPr>
                    <w:rFonts w:ascii="Cambria Math" w:hAnsi="Cambria Math"/>
                    <w:noProof/>
                    <w:szCs w:val="20"/>
                  </w:rPr>
                  <m:t>fWW=0.0049×</m:t>
                </m:r>
                <m:sSup>
                  <m:sSupPr>
                    <m:ctrlPr>
                      <w:rPr>
                        <w:rFonts w:ascii="Cambria Math" w:hAnsi="Cambria Math"/>
                        <w:i/>
                        <w:noProof/>
                        <w:szCs w:val="20"/>
                      </w:rPr>
                    </m:ctrlPr>
                  </m:sSupPr>
                  <m:e>
                    <m:r>
                      <w:rPr>
                        <w:rFonts w:ascii="Cambria Math" w:hAnsi="Cambria Math"/>
                        <w:noProof/>
                        <w:szCs w:val="20"/>
                      </w:rPr>
                      <m:t>D</m:t>
                    </m:r>
                  </m:e>
                  <m:sup>
                    <m:r>
                      <w:rPr>
                        <w:rFonts w:ascii="Cambria Math" w:hAnsi="Cambria Math"/>
                        <w:noProof/>
                        <w:szCs w:val="20"/>
                      </w:rPr>
                      <m:t>3.03</m:t>
                    </m:r>
                  </m:sup>
                </m:sSup>
              </m:oMath>
            </m:oMathPara>
          </w:p>
        </w:tc>
        <w:tc>
          <w:tcPr>
            <w:tcW w:w="1773" w:type="dxa"/>
          </w:tcPr>
          <w:p w:rsidR="004B7B4C" w:rsidRPr="005822F4" w:rsidRDefault="004B7B4C" w:rsidP="004B7B4C">
            <w:pPr>
              <w:rPr>
                <w:noProof/>
                <w:szCs w:val="20"/>
              </w:rPr>
            </w:pPr>
          </w:p>
        </w:tc>
        <w:tc>
          <w:tcPr>
            <w:tcW w:w="1772" w:type="dxa"/>
            <w:shd w:val="clear" w:color="auto" w:fill="auto"/>
          </w:tcPr>
          <w:p w:rsidR="004B7B4C" w:rsidRPr="008078B1" w:rsidRDefault="004B7B4C" w:rsidP="004B7B4C">
            <w:pPr>
              <w:rPr>
                <w:noProof/>
                <w:szCs w:val="20"/>
                <w:vertAlign w:val="superscript"/>
              </w:rPr>
            </w:pPr>
          </w:p>
        </w:tc>
        <w:tc>
          <w:tcPr>
            <w:tcW w:w="1773" w:type="dxa"/>
          </w:tcPr>
          <w:p w:rsidR="004B7B4C" w:rsidRPr="002C1ABB" w:rsidRDefault="004B7B4C" w:rsidP="004B7B4C">
            <w:pPr>
              <w:rPr>
                <w:noProof/>
                <w:szCs w:val="20"/>
              </w:rPr>
            </w:pPr>
            <m:oMathPara>
              <m:oMathParaPr>
                <m:jc m:val="left"/>
              </m:oMathParaPr>
              <m:oMath>
                <m:r>
                  <w:rPr>
                    <w:rFonts w:ascii="Cambria Math" w:hAnsi="Cambria Math"/>
                    <w:noProof/>
                    <w:szCs w:val="20"/>
                  </w:rPr>
                  <m:t>DW=fWW×0.243</m:t>
                </m:r>
              </m:oMath>
            </m:oMathPara>
          </w:p>
        </w:tc>
        <w:tc>
          <w:tcPr>
            <w:tcW w:w="1772" w:type="dxa"/>
            <w:shd w:val="clear" w:color="auto" w:fill="auto"/>
          </w:tcPr>
          <w:p w:rsidR="004B7B4C" w:rsidRPr="008078B1" w:rsidRDefault="004B7B4C" w:rsidP="004B7B4C">
            <w:pPr>
              <w:rPr>
                <w:noProof/>
                <w:szCs w:val="20"/>
              </w:rPr>
            </w:pPr>
          </w:p>
        </w:tc>
        <w:tc>
          <w:tcPr>
            <w:tcW w:w="1773" w:type="dxa"/>
          </w:tcPr>
          <w:p w:rsidR="004B7B4C" w:rsidRPr="009E5E01" w:rsidRDefault="004B7B4C" w:rsidP="004B7B4C">
            <w:pPr>
              <w:rPr>
                <w:noProof/>
                <w:szCs w:val="20"/>
                <w:vertAlign w:val="superscript"/>
              </w:rPr>
            </w:pPr>
            <m:oMathPara>
              <m:oMath>
                <m:r>
                  <w:rPr>
                    <w:rFonts w:ascii="Cambria Math" w:hAnsi="Cambria Math"/>
                    <w:noProof/>
                    <w:szCs w:val="20"/>
                  </w:rPr>
                  <m:t>tsiB=DW×0.421</m:t>
                </m:r>
              </m:oMath>
            </m:oMathPara>
          </w:p>
        </w:tc>
        <w:tc>
          <w:tcPr>
            <w:tcW w:w="566" w:type="dxa"/>
          </w:tcPr>
          <w:p w:rsidR="004B7B4C" w:rsidRPr="009E5E01" w:rsidRDefault="004B7B4C" w:rsidP="004B7B4C">
            <w:pPr>
              <w:rPr>
                <w:noProof/>
                <w:szCs w:val="20"/>
                <w:vertAlign w:val="superscript"/>
              </w:rPr>
            </w:pPr>
            <w:r>
              <w:rPr>
                <w:noProof/>
                <w:szCs w:val="20"/>
                <w:vertAlign w:val="superscript"/>
              </w:rPr>
              <w:t>4</w:t>
            </w:r>
            <w:r w:rsidRPr="009E5E01">
              <w:rPr>
                <w:noProof/>
                <w:szCs w:val="20"/>
                <w:vertAlign w:val="superscript"/>
              </w:rPr>
              <w:t xml:space="preserve">, </w:t>
            </w:r>
            <w:r>
              <w:rPr>
                <w:noProof/>
                <w:szCs w:val="20"/>
                <w:vertAlign w:val="superscript"/>
              </w:rPr>
              <w:t>5, 6</w:t>
            </w:r>
          </w:p>
        </w:tc>
      </w:tr>
    </w:tbl>
    <w:p w:rsidR="00EC14DA" w:rsidRPr="00565124" w:rsidRDefault="00565124" w:rsidP="00EC14DA">
      <w:pPr>
        <w:pStyle w:val="NoSpacing"/>
        <w:rPr>
          <w:rFonts w:ascii="Times New Roman" w:hAnsi="Times New Roman" w:cs="Times New Roman"/>
          <w:b/>
          <w:sz w:val="24"/>
        </w:rPr>
      </w:pPr>
      <w:r w:rsidRPr="00565124">
        <w:rPr>
          <w:rFonts w:ascii="Times New Roman" w:hAnsi="Times New Roman" w:cs="Times New Roman"/>
          <w:b/>
          <w:sz w:val="24"/>
        </w:rPr>
        <w:t>References:</w:t>
      </w:r>
    </w:p>
    <w:p w:rsidR="002B341C" w:rsidRPr="002B341C" w:rsidRDefault="0001294B" w:rsidP="002B341C">
      <w:pPr>
        <w:widowControl w:val="0"/>
        <w:autoSpaceDE w:val="0"/>
        <w:autoSpaceDN w:val="0"/>
        <w:adjustRightInd w:val="0"/>
        <w:spacing w:line="240" w:lineRule="auto"/>
        <w:rPr>
          <w:noProof/>
          <w:sz w:val="24"/>
        </w:rPr>
      </w:pPr>
      <w:r>
        <w:rPr>
          <w:sz w:val="24"/>
        </w:rPr>
        <w:fldChar w:fldCharType="begin" w:fldLock="1"/>
      </w:r>
      <w:r>
        <w:rPr>
          <w:sz w:val="24"/>
        </w:rPr>
        <w:instrText xml:space="preserve">ADDIN Mendeley Bibliography CSL_BIBLIOGRAPHY </w:instrText>
      </w:r>
      <w:r>
        <w:rPr>
          <w:sz w:val="24"/>
        </w:rPr>
        <w:fldChar w:fldCharType="separate"/>
      </w:r>
      <w:r w:rsidR="002B341C" w:rsidRPr="002B341C">
        <w:rPr>
          <w:noProof/>
          <w:sz w:val="24"/>
        </w:rPr>
        <w:t>Brey, T., Müller-Wiegmann, C., Zittier, Z. M. C. and Hagen, W.: Body composition in aquatic organisms - A global data bank of relationships between mass, elemental composition and energy content, J. Sea Res., 64, 334–340, doi:10.1016/j.seares.2010.05.002, 2010.</w:t>
      </w:r>
    </w:p>
    <w:p w:rsidR="002B341C" w:rsidRPr="002B341C" w:rsidRDefault="002B341C" w:rsidP="002B341C">
      <w:pPr>
        <w:widowControl w:val="0"/>
        <w:autoSpaceDE w:val="0"/>
        <w:autoSpaceDN w:val="0"/>
        <w:adjustRightInd w:val="0"/>
        <w:spacing w:line="240" w:lineRule="auto"/>
        <w:rPr>
          <w:noProof/>
          <w:sz w:val="24"/>
        </w:rPr>
      </w:pPr>
      <w:r w:rsidRPr="002B341C">
        <w:rPr>
          <w:noProof/>
          <w:sz w:val="24"/>
        </w:rPr>
        <w:t>Durden, J. M., Bett, B. J., Horton, T., Serpell-Stevens, A., Morris, K. J., Billett, D. S. M. and Ruhl, H. A.: Improving the estimation of deep-sea megabenthos biomass: Dimension to wet weight conversions for abyssal invertebrates, Mar. Ecol. Prog. Ser., 552, 71–79, doi:10.3354/meps11769, 2016.</w:t>
      </w:r>
    </w:p>
    <w:p w:rsidR="002B341C" w:rsidRPr="002B341C" w:rsidRDefault="002B341C" w:rsidP="002B341C">
      <w:pPr>
        <w:widowControl w:val="0"/>
        <w:autoSpaceDE w:val="0"/>
        <w:autoSpaceDN w:val="0"/>
        <w:adjustRightInd w:val="0"/>
        <w:spacing w:line="240" w:lineRule="auto"/>
        <w:rPr>
          <w:noProof/>
          <w:sz w:val="24"/>
        </w:rPr>
      </w:pPr>
      <w:r w:rsidRPr="002B341C">
        <w:rPr>
          <w:noProof/>
          <w:sz w:val="24"/>
        </w:rPr>
        <w:t>Froese, R. and Pauly, D.: FishBase, [online] Available from: www.fishbase.org (Accessed 21 February 2018), 2017.</w:t>
      </w:r>
    </w:p>
    <w:p w:rsidR="002B341C" w:rsidRPr="002B341C" w:rsidRDefault="002B341C" w:rsidP="002B341C">
      <w:pPr>
        <w:widowControl w:val="0"/>
        <w:autoSpaceDE w:val="0"/>
        <w:autoSpaceDN w:val="0"/>
        <w:adjustRightInd w:val="0"/>
        <w:spacing w:line="240" w:lineRule="auto"/>
        <w:rPr>
          <w:noProof/>
          <w:sz w:val="24"/>
        </w:rPr>
      </w:pPr>
      <w:r w:rsidRPr="002B341C">
        <w:rPr>
          <w:noProof/>
          <w:sz w:val="24"/>
        </w:rPr>
        <w:t>Froese, R., Thorson, J. T. and Reyes, R. B.: A Bayesian approach for estimating length-weight relationships in fishes, J. Appl. Ichthyol., 30, 78–85, doi:10.1111/jai.12299, 2014.</w:t>
      </w:r>
    </w:p>
    <w:p w:rsidR="002B341C" w:rsidRPr="002B341C" w:rsidRDefault="002B341C" w:rsidP="002B341C">
      <w:pPr>
        <w:widowControl w:val="0"/>
        <w:autoSpaceDE w:val="0"/>
        <w:autoSpaceDN w:val="0"/>
        <w:adjustRightInd w:val="0"/>
        <w:spacing w:line="240" w:lineRule="auto"/>
        <w:rPr>
          <w:noProof/>
          <w:sz w:val="24"/>
        </w:rPr>
      </w:pPr>
      <w:r w:rsidRPr="002B341C">
        <w:rPr>
          <w:noProof/>
          <w:sz w:val="24"/>
        </w:rPr>
        <w:t>Rowe, G. T.: Biomass and production of the deep-sea macrobenthos, in Deep-Sea Biology, edited by G. T. Rowe, John Wiley &amp; Sons, Inc., New York., 1983.</w:t>
      </w:r>
    </w:p>
    <w:p w:rsidR="002B341C" w:rsidRPr="002B341C" w:rsidRDefault="002B341C" w:rsidP="002B341C">
      <w:pPr>
        <w:widowControl w:val="0"/>
        <w:autoSpaceDE w:val="0"/>
        <w:autoSpaceDN w:val="0"/>
        <w:adjustRightInd w:val="0"/>
        <w:spacing w:line="240" w:lineRule="auto"/>
        <w:rPr>
          <w:noProof/>
          <w:sz w:val="24"/>
        </w:rPr>
      </w:pPr>
      <w:r w:rsidRPr="002B341C">
        <w:rPr>
          <w:noProof/>
          <w:sz w:val="24"/>
        </w:rPr>
        <w:t>Tilot, V.: La structure des assemblages mégabenthiques d’une province à nodules polymétalliques de l’océan Pacifique tropical est, Université de Bretagne Occidentale, 7 July. [online] Available from: http://archimer.ifremer.fr/doc/00000/3754/, 1992.</w:t>
      </w:r>
    </w:p>
    <w:p w:rsidR="00565124" w:rsidRPr="00EC14DA" w:rsidRDefault="0001294B" w:rsidP="00EC14DA">
      <w:pPr>
        <w:pStyle w:val="NoSpacing"/>
        <w:rPr>
          <w:rFonts w:ascii="Times New Roman" w:hAnsi="Times New Roman" w:cs="Times New Roman"/>
          <w:sz w:val="24"/>
        </w:rPr>
      </w:pPr>
      <w:r>
        <w:rPr>
          <w:rFonts w:ascii="Times New Roman" w:hAnsi="Times New Roman" w:cs="Times New Roman"/>
          <w:sz w:val="24"/>
        </w:rPr>
        <w:fldChar w:fldCharType="end"/>
      </w:r>
    </w:p>
    <w:sectPr w:rsidR="00565124" w:rsidRPr="00EC14DA" w:rsidSect="0005544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3DA"/>
    <w:rsid w:val="00001C76"/>
    <w:rsid w:val="0000500D"/>
    <w:rsid w:val="0001294B"/>
    <w:rsid w:val="0005544C"/>
    <w:rsid w:val="00093389"/>
    <w:rsid w:val="00096350"/>
    <w:rsid w:val="000F4F39"/>
    <w:rsid w:val="00115587"/>
    <w:rsid w:val="00127AB6"/>
    <w:rsid w:val="00147C70"/>
    <w:rsid w:val="00156BA9"/>
    <w:rsid w:val="0020491E"/>
    <w:rsid w:val="00224ADE"/>
    <w:rsid w:val="002923B9"/>
    <w:rsid w:val="002B341C"/>
    <w:rsid w:val="002C1ABB"/>
    <w:rsid w:val="002D28EF"/>
    <w:rsid w:val="002E0DEB"/>
    <w:rsid w:val="002F43DA"/>
    <w:rsid w:val="0035489A"/>
    <w:rsid w:val="003B47AA"/>
    <w:rsid w:val="003B7322"/>
    <w:rsid w:val="00454604"/>
    <w:rsid w:val="0048118D"/>
    <w:rsid w:val="0049034A"/>
    <w:rsid w:val="00490968"/>
    <w:rsid w:val="004A52C9"/>
    <w:rsid w:val="004B7B4C"/>
    <w:rsid w:val="004F7301"/>
    <w:rsid w:val="00513D75"/>
    <w:rsid w:val="00527E3F"/>
    <w:rsid w:val="005336DD"/>
    <w:rsid w:val="00542595"/>
    <w:rsid w:val="00565124"/>
    <w:rsid w:val="005822F4"/>
    <w:rsid w:val="005E406C"/>
    <w:rsid w:val="006016A2"/>
    <w:rsid w:val="00606499"/>
    <w:rsid w:val="00635FA0"/>
    <w:rsid w:val="006E7382"/>
    <w:rsid w:val="006E75B0"/>
    <w:rsid w:val="006F1881"/>
    <w:rsid w:val="007211CE"/>
    <w:rsid w:val="00772798"/>
    <w:rsid w:val="00781F08"/>
    <w:rsid w:val="007E1CEE"/>
    <w:rsid w:val="007F322B"/>
    <w:rsid w:val="00804B99"/>
    <w:rsid w:val="008861A4"/>
    <w:rsid w:val="00897619"/>
    <w:rsid w:val="008A11DA"/>
    <w:rsid w:val="009049EA"/>
    <w:rsid w:val="0091530C"/>
    <w:rsid w:val="009B5956"/>
    <w:rsid w:val="009E5E01"/>
    <w:rsid w:val="00A00D84"/>
    <w:rsid w:val="00A05250"/>
    <w:rsid w:val="00A12C99"/>
    <w:rsid w:val="00AA2FA1"/>
    <w:rsid w:val="00B015FE"/>
    <w:rsid w:val="00B1177D"/>
    <w:rsid w:val="00B16BEC"/>
    <w:rsid w:val="00B16D2D"/>
    <w:rsid w:val="00B208AF"/>
    <w:rsid w:val="00B31578"/>
    <w:rsid w:val="00B66D16"/>
    <w:rsid w:val="00BA2AFC"/>
    <w:rsid w:val="00C31A14"/>
    <w:rsid w:val="00C52859"/>
    <w:rsid w:val="00C83A64"/>
    <w:rsid w:val="00C90183"/>
    <w:rsid w:val="00D00984"/>
    <w:rsid w:val="00D26EBE"/>
    <w:rsid w:val="00D871E4"/>
    <w:rsid w:val="00DC6088"/>
    <w:rsid w:val="00DE2D8E"/>
    <w:rsid w:val="00E4618A"/>
    <w:rsid w:val="00E6209C"/>
    <w:rsid w:val="00E7418A"/>
    <w:rsid w:val="00EC14DA"/>
    <w:rsid w:val="00ED1443"/>
    <w:rsid w:val="00EE1E4A"/>
    <w:rsid w:val="00F151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D36FB"/>
  <w15:chartTrackingRefBased/>
  <w15:docId w15:val="{E36F7143-1CFA-45CE-90CD-A04A4CF37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14DA"/>
    <w:pPr>
      <w:spacing w:after="0" w:line="360" w:lineRule="auto"/>
      <w:jc w:val="both"/>
    </w:pPr>
    <w:rPr>
      <w:rFonts w:ascii="Times New Roman" w:eastAsia="Times New Roman" w:hAnsi="Times New Roman" w:cs="Times New Roman"/>
      <w:sz w:val="20"/>
      <w:szCs w:val="24"/>
      <w:lang w:val="en-US"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C14DA"/>
    <w:pPr>
      <w:spacing w:after="0" w:line="240" w:lineRule="auto"/>
    </w:pPr>
    <w:rPr>
      <w:lang w:val="en-US"/>
    </w:rPr>
  </w:style>
  <w:style w:type="table" w:styleId="TableGrid">
    <w:name w:val="Table Grid"/>
    <w:basedOn w:val="TableNormal"/>
    <w:uiPriority w:val="39"/>
    <w:rsid w:val="00EC14DA"/>
    <w:pPr>
      <w:spacing w:after="0" w:line="240" w:lineRule="auto"/>
    </w:pPr>
    <w:rPr>
      <w:rFonts w:ascii="Calibri" w:eastAsia="SimSun"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36D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36DD"/>
    <w:rPr>
      <w:rFonts w:ascii="Segoe UI" w:eastAsia="Times New Roman" w:hAnsi="Segoe UI" w:cs="Segoe UI"/>
      <w:sz w:val="18"/>
      <w:szCs w:val="18"/>
      <w:lang w:val="en-US" w:eastAsia="de-DE"/>
    </w:rPr>
  </w:style>
  <w:style w:type="character" w:styleId="PlaceholderText">
    <w:name w:val="Placeholder Text"/>
    <w:basedOn w:val="DefaultParagraphFont"/>
    <w:uiPriority w:val="99"/>
    <w:semiHidden/>
    <w:rsid w:val="005336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16B46-75BB-4125-B1B7-48CD2821D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3</Pages>
  <Words>2360</Words>
  <Characters>12983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nioz</Company>
  <LinksUpToDate>false</LinksUpToDate>
  <CharactersWithSpaces>15313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Stratmann</dc:creator>
  <cp:keywords/>
  <dc:description/>
  <cp:lastModifiedBy>Tanja Stratmann</cp:lastModifiedBy>
  <cp:revision>19</cp:revision>
  <dcterms:created xsi:type="dcterms:W3CDTF">2018-05-24T08:51:00Z</dcterms:created>
  <dcterms:modified xsi:type="dcterms:W3CDTF">2018-06-25T15:24:00Z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http://www.zotero.org/styles/american-sociological-association</vt:lpwstr>
  </property>
  <property fmtid="{D5CDD505-2E9C-101B-9397-08002B2CF9AE}" pid="3" name="Mendeley Recent Style Name 0_1">
    <vt:lpwstr>American Sociological Association</vt:lpwstr>
  </property>
  <property fmtid="{D5CDD505-2E9C-101B-9397-08002B2CF9AE}" pid="4" name="Mendeley Recent Style Id 1_1">
    <vt:lpwstr>http://www.zotero.org/styles/biogeosciences</vt:lpwstr>
  </property>
  <property fmtid="{D5CDD505-2E9C-101B-9397-08002B2CF9AE}" pid="5" name="Mendeley Recent Style Name 1_1">
    <vt:lpwstr>Biogeosciences</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7th edition</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http://www.zotero.org/styles/proceedings-of-the-royal-society-b</vt:lpwstr>
  </property>
  <property fmtid="{D5CDD505-2E9C-101B-9397-08002B2CF9AE}" pid="17" name="Mendeley Recent Style Name 7_1">
    <vt:lpwstr>Proceedings of the Royal Society B</vt:lpwstr>
  </property>
  <property fmtid="{D5CDD505-2E9C-101B-9397-08002B2CF9AE}" pid="18" name="Mendeley Recent Style Id 8_1">
    <vt:lpwstr>http://www.zotero.org/styles/progress-in-oceanography</vt:lpwstr>
  </property>
  <property fmtid="{D5CDD505-2E9C-101B-9397-08002B2CF9AE}" pid="19" name="Mendeley Recent Style Name 8_1">
    <vt:lpwstr>Progress in Oceanography</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65bcc46d-8eb5-329d-9a33-9e88d49473a4</vt:lpwstr>
  </property>
  <property fmtid="{D5CDD505-2E9C-101B-9397-08002B2CF9AE}" pid="24" name="Mendeley Citation Style_1">
    <vt:lpwstr>http://www.zotero.org/styles/biogeosciences</vt:lpwstr>
  </property>
</Properties>
</file>