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DF950E" w14:textId="77777777" w:rsidR="003A288D" w:rsidRPr="003A288D" w:rsidRDefault="003A288D" w:rsidP="003A288D">
      <w:pPr>
        <w:tabs>
          <w:tab w:val="left" w:pos="1853"/>
          <w:tab w:val="center" w:pos="432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3A288D">
        <w:rPr>
          <w:rFonts w:ascii="Times New Roman" w:hAnsi="Times New Roman" w:cs="Times New Roman"/>
          <w:b/>
          <w:sz w:val="24"/>
          <w:szCs w:val="24"/>
        </w:rPr>
        <w:t>Supplementary Information</w:t>
      </w:r>
    </w:p>
    <w:p w14:paraId="5766362B" w14:textId="77777777" w:rsidR="003A288D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738E1AC" w14:textId="77777777" w:rsidR="003A288D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2C3632FE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2554CE">
        <w:rPr>
          <w:rFonts w:ascii="Times New Roman" w:hAnsi="Times New Roman" w:cs="Times New Roman"/>
          <w:b/>
          <w:sz w:val="24"/>
          <w:szCs w:val="24"/>
          <w:lang w:val="en-AU"/>
        </w:rPr>
        <w:t xml:space="preserve">Fluorescence </w:t>
      </w:r>
      <w:r w:rsidRPr="002554CE">
        <w:rPr>
          <w:rFonts w:ascii="Times New Roman" w:hAnsi="Times New Roman" w:cs="Times New Roman"/>
          <w:b/>
          <w:i/>
          <w:sz w:val="24"/>
          <w:szCs w:val="24"/>
          <w:lang w:val="en-AU"/>
        </w:rPr>
        <w:t>in situ</w:t>
      </w:r>
      <w:r w:rsidRPr="002554CE">
        <w:rPr>
          <w:rFonts w:ascii="Times New Roman" w:hAnsi="Times New Roman" w:cs="Times New Roman"/>
          <w:b/>
          <w:sz w:val="24"/>
          <w:szCs w:val="24"/>
          <w:lang w:val="en-AU"/>
        </w:rPr>
        <w:t xml:space="preserve"> hybridization (FISH) and cell sorting of living bacteria</w:t>
      </w:r>
    </w:p>
    <w:p w14:paraId="364EF3E5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DEF65D2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  <w:proofErr w:type="spellStart"/>
      <w:r w:rsidRPr="002554CE">
        <w:rPr>
          <w:rFonts w:ascii="Times New Roman" w:hAnsi="Times New Roman" w:cs="Times New Roman"/>
          <w:sz w:val="24"/>
          <w:szCs w:val="24"/>
          <w:lang w:val="en-AU"/>
        </w:rPr>
        <w:t>Giampiero</w:t>
      </w:r>
      <w:proofErr w:type="spellEnd"/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 Batani</w:t>
      </w: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1,2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, </w:t>
      </w:r>
      <w:r w:rsidRPr="002554CE">
        <w:rPr>
          <w:rFonts w:ascii="Times New Roman" w:hAnsi="Times New Roman" w:cs="Times New Roman"/>
          <w:sz w:val="24"/>
          <w:szCs w:val="24"/>
        </w:rPr>
        <w:t>Kristina Bayer</w:t>
      </w:r>
      <w:r w:rsidRPr="002554C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554CE">
        <w:rPr>
          <w:rFonts w:ascii="Times New Roman" w:hAnsi="Times New Roman" w:cs="Times New Roman"/>
          <w:sz w:val="24"/>
          <w:szCs w:val="24"/>
        </w:rPr>
        <w:t>, Julia Böge</w:t>
      </w:r>
      <w:r w:rsidRPr="002554C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554CE">
        <w:rPr>
          <w:rFonts w:ascii="Times New Roman" w:hAnsi="Times New Roman" w:cs="Times New Roman"/>
          <w:sz w:val="24"/>
          <w:szCs w:val="24"/>
        </w:rPr>
        <w:t>, Ute Hentschel</w:t>
      </w:r>
      <w:r w:rsidRPr="002554CE">
        <w:rPr>
          <w:rFonts w:ascii="Times New Roman" w:hAnsi="Times New Roman" w:cs="Times New Roman"/>
          <w:sz w:val="24"/>
          <w:szCs w:val="24"/>
          <w:vertAlign w:val="superscript"/>
        </w:rPr>
        <w:t>3,4</w:t>
      </w:r>
      <w:r w:rsidRPr="002554CE">
        <w:rPr>
          <w:rFonts w:ascii="Times New Roman" w:hAnsi="Times New Roman" w:cs="Times New Roman"/>
          <w:sz w:val="24"/>
          <w:szCs w:val="24"/>
        </w:rPr>
        <w:t xml:space="preserve"> 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>and Torsten Thomas</w:t>
      </w: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*</w:t>
      </w:r>
    </w:p>
    <w:p w14:paraId="3421E3A9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132790FB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1</w:t>
      </w:r>
      <w:r w:rsidRPr="002554CE">
        <w:rPr>
          <w:rFonts w:ascii="Times New Roman" w:hAnsi="Times New Roman" w:cs="Times New Roman"/>
          <w:sz w:val="24"/>
          <w:szCs w:val="24"/>
        </w:rPr>
        <w:t>Centre for Marine Science and Innovation and School of Biological, Earth and Environmental Sciences, The University of New South Wales, Sydney, New South Wales, Australia</w:t>
      </w:r>
    </w:p>
    <w:p w14:paraId="6FF1A4B4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  <w:lang w:val="en-AU"/>
        </w:rPr>
      </w:pP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2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>Faculty of Science, University of South Bohemia, Ceske Budejovice, Czech Republic</w:t>
      </w:r>
    </w:p>
    <w:p w14:paraId="24487E16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  <w:lang w:val="en-AU"/>
        </w:rPr>
      </w:pP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3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GEOMAR Helmholtz Centre for Ocean Research Kiel, </w:t>
      </w:r>
      <w:proofErr w:type="spellStart"/>
      <w:r w:rsidRPr="002554CE">
        <w:rPr>
          <w:rFonts w:ascii="Times New Roman" w:hAnsi="Times New Roman" w:cs="Times New Roman"/>
          <w:sz w:val="24"/>
          <w:szCs w:val="24"/>
          <w:lang w:val="en-AU"/>
        </w:rPr>
        <w:t>Düsternbrooker</w:t>
      </w:r>
      <w:proofErr w:type="spellEnd"/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proofErr w:type="spellStart"/>
      <w:r w:rsidRPr="002554CE">
        <w:rPr>
          <w:rFonts w:ascii="Times New Roman" w:hAnsi="Times New Roman" w:cs="Times New Roman"/>
          <w:sz w:val="24"/>
          <w:szCs w:val="24"/>
          <w:lang w:val="en-AU"/>
        </w:rPr>
        <w:t>Weg</w:t>
      </w:r>
      <w:proofErr w:type="spellEnd"/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 20, 24105 Kiel, Germany</w:t>
      </w:r>
    </w:p>
    <w:p w14:paraId="0C19CCAA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  <w:lang w:val="en-AU"/>
        </w:rPr>
      </w:pPr>
      <w:r w:rsidRPr="002554CE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4</w:t>
      </w:r>
      <w:r w:rsidRPr="002554CE">
        <w:rPr>
          <w:rFonts w:ascii="Times New Roman" w:eastAsia="Times New Roman" w:hAnsi="Times New Roman" w:cs="Times New Roman"/>
          <w:sz w:val="24"/>
          <w:szCs w:val="24"/>
        </w:rPr>
        <w:t>Christian-</w:t>
      </w:r>
      <w:proofErr w:type="spellStart"/>
      <w:r w:rsidRPr="002554CE">
        <w:rPr>
          <w:rFonts w:ascii="Times New Roman" w:eastAsia="Times New Roman" w:hAnsi="Times New Roman" w:cs="Times New Roman"/>
          <w:sz w:val="24"/>
          <w:szCs w:val="24"/>
        </w:rPr>
        <w:t>Albrechts</w:t>
      </w:r>
      <w:proofErr w:type="spellEnd"/>
      <w:r w:rsidRPr="002554CE">
        <w:rPr>
          <w:rFonts w:ascii="Times New Roman" w:eastAsia="Times New Roman" w:hAnsi="Times New Roman" w:cs="Times New Roman"/>
          <w:sz w:val="24"/>
          <w:szCs w:val="24"/>
        </w:rPr>
        <w:t xml:space="preserve"> University of Kiel, Christian-</w:t>
      </w:r>
      <w:proofErr w:type="spellStart"/>
      <w:r w:rsidRPr="002554CE">
        <w:rPr>
          <w:rFonts w:ascii="Times New Roman" w:eastAsia="Times New Roman" w:hAnsi="Times New Roman" w:cs="Times New Roman"/>
          <w:sz w:val="24"/>
          <w:szCs w:val="24"/>
        </w:rPr>
        <w:t>Albrechts</w:t>
      </w:r>
      <w:proofErr w:type="spellEnd"/>
      <w:r w:rsidRPr="002554CE">
        <w:rPr>
          <w:rFonts w:ascii="Times New Roman" w:eastAsia="Times New Roman" w:hAnsi="Times New Roman" w:cs="Times New Roman"/>
          <w:sz w:val="24"/>
          <w:szCs w:val="24"/>
        </w:rPr>
        <w:t>-Platz 4, 24118 Kiel, Germany</w:t>
      </w:r>
    </w:p>
    <w:p w14:paraId="54CD51D9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AU"/>
        </w:rPr>
      </w:pPr>
    </w:p>
    <w:p w14:paraId="63C9E598" w14:textId="77777777" w:rsidR="003A288D" w:rsidRPr="002554CE" w:rsidRDefault="003A288D" w:rsidP="003A288D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  <w:lang w:val="en-AU"/>
        </w:rPr>
      </w:pPr>
      <w:r>
        <w:rPr>
          <w:rFonts w:ascii="Times New Roman" w:hAnsi="Times New Roman" w:cs="Times New Roman"/>
          <w:sz w:val="24"/>
          <w:szCs w:val="24"/>
          <w:lang w:val="en-AU"/>
        </w:rPr>
        <w:t>*Corresponding author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en-AU"/>
        </w:rPr>
        <w:t xml:space="preserve">email: </w:t>
      </w:r>
      <w:r w:rsidRPr="002554CE">
        <w:rPr>
          <w:rFonts w:ascii="Times New Roman" w:hAnsi="Times New Roman" w:cs="Times New Roman"/>
          <w:sz w:val="24"/>
          <w:szCs w:val="24"/>
          <w:lang w:val="en-AU"/>
        </w:rPr>
        <w:t>t.thomas@unsw.edu.au</w:t>
      </w:r>
    </w:p>
    <w:p w14:paraId="5379EA69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7229118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424FC1E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29E8DFCB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65DE40DE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1A6B617D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2487ADE9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42791A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7D0B442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E5885C3" w14:textId="29596770" w:rsidR="00B23033" w:rsidRDefault="008C0EBC" w:rsidP="00DC5E92">
      <w:pPr>
        <w:spacing w:after="0" w:line="480" w:lineRule="auto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lastRenderedPageBreak/>
        <w:t>Supplementary F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>igures</w:t>
      </w:r>
    </w:p>
    <w:p w14:paraId="5CC66E31" w14:textId="276F3073" w:rsidR="00CA4E80" w:rsidRDefault="00CA4E80" w:rsidP="00DC5E92">
      <w:pPr>
        <w:spacing w:after="0" w:line="480" w:lineRule="auto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9A0508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6FA26FE2" wp14:editId="7C7DE568">
            <wp:extent cx="5486400" cy="1994160"/>
            <wp:effectExtent l="0" t="0" r="0" b="12700"/>
            <wp:docPr id="6" name="Picture 6" descr="\\serverFPR\Redir\FPR\gbatani\Desktop\for revision paper live FISH\diagram optimisation step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FPR\Redir\FPR\gbatani\Desktop\for revision paper live FISH\diagram optimisation steps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9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02436" w14:textId="7494E42A" w:rsidR="00CA4E80" w:rsidRPr="00A0701E" w:rsidRDefault="00CA4E80" w:rsidP="00CA4E80">
      <w:pPr>
        <w:spacing w:after="0" w:line="240" w:lineRule="auto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bookmarkStart w:id="0" w:name="_GoBack"/>
      <w:r w:rsidRPr="00A0701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Supplementary Figure S1.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Optimization processes undertaken at each FISH step. The yellow boxes show the conditions used in the final live-FISH protocol (see Table 2) that maximized viability of both Gram-positive and Gram-negative bacteria. PBS=</w:t>
      </w:r>
      <w:r w:rsidRPr="00A070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phosphate Buffered Saline solution; ASW=artificial seawater; CMFASW=</w:t>
      </w:r>
      <w:r w:rsidRPr="00A070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Ca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>2+-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and Mg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>2+-</w:t>
      </w:r>
      <w:r w:rsidRPr="00A070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free artificial seawater.</w:t>
      </w:r>
    </w:p>
    <w:bookmarkEnd w:id="0"/>
    <w:p w14:paraId="2FD6BBB9" w14:textId="77777777" w:rsidR="00CA4E80" w:rsidRPr="00DC5E92" w:rsidRDefault="00CA4E80" w:rsidP="00DC5E92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AU"/>
        </w:rPr>
      </w:pPr>
    </w:p>
    <w:p w14:paraId="60BE7C87" w14:textId="25008F41" w:rsidR="00731E4D" w:rsidRPr="003A288D" w:rsidRDefault="00697E34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697E34">
        <w:rPr>
          <w:noProof/>
        </w:rPr>
        <w:lastRenderedPageBreak/>
        <w:drawing>
          <wp:inline distT="0" distB="0" distL="0" distR="0" wp14:anchorId="0F63EB6F" wp14:editId="6571A4FD">
            <wp:extent cx="5486400" cy="6186605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18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C350B" w14:textId="65CEC5D9" w:rsidR="00731E4D" w:rsidRPr="003A288D" w:rsidRDefault="003A288D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t xml:space="preserve">Supplementary </w:t>
      </w:r>
      <w:r w:rsidR="00731E4D" w:rsidRPr="003A288D">
        <w:rPr>
          <w:rFonts w:ascii="Times New Roman" w:hAnsi="Times New Roman" w:cs="Times New Roman"/>
          <w:b/>
          <w:sz w:val="24"/>
          <w:szCs w:val="24"/>
          <w:lang w:val="en-AU"/>
        </w:rPr>
        <w:t>Figure S</w:t>
      </w:r>
      <w:r w:rsidR="00CA4E80">
        <w:rPr>
          <w:rFonts w:ascii="Times New Roman" w:hAnsi="Times New Roman" w:cs="Times New Roman"/>
          <w:b/>
          <w:sz w:val="24"/>
          <w:szCs w:val="24"/>
          <w:lang w:val="en-AU"/>
        </w:rPr>
        <w:t>2</w:t>
      </w:r>
      <w:r w:rsidR="00731E4D"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. 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Optimization of the hybridization step. </w:t>
      </w:r>
      <w:r w:rsidR="00731E4D" w:rsidRPr="003A288D">
        <w:rPr>
          <w:rFonts w:ascii="Times New Roman" w:hAnsi="Times New Roman" w:cs="Times New Roman"/>
          <w:b/>
          <w:sz w:val="24"/>
          <w:szCs w:val="24"/>
          <w:lang w:val="en-AU"/>
        </w:rPr>
        <w:t>a)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CFU ml</w:t>
      </w:r>
      <w:r w:rsidR="00731E4D" w:rsidRPr="003A288D">
        <w:rPr>
          <w:rFonts w:ascii="Times New Roman" w:hAnsi="Times New Roman" w:cs="Times New Roman"/>
          <w:sz w:val="24"/>
          <w:szCs w:val="24"/>
          <w:vertAlign w:val="superscript"/>
          <w:lang w:val="en-AU"/>
        </w:rPr>
        <w:t>-1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is expressed as a f</w:t>
      </w:r>
      <w:r w:rsidR="00612B48">
        <w:rPr>
          <w:rFonts w:ascii="Times New Roman" w:hAnsi="Times New Roman" w:cs="Times New Roman"/>
          <w:sz w:val="24"/>
          <w:szCs w:val="24"/>
          <w:lang w:val="en-AU"/>
        </w:rPr>
        <w:t>unction of time (1, 1.5, 2, 2.5 and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3 h of incubation) for both </w:t>
      </w:r>
      <w:r w:rsidR="00731E4D" w:rsidRPr="003A288D">
        <w:rPr>
          <w:rFonts w:ascii="Times New Roman" w:hAnsi="Times New Roman" w:cs="Times New Roman"/>
          <w:i/>
          <w:sz w:val="24"/>
          <w:szCs w:val="24"/>
          <w:lang w:val="en-AU"/>
        </w:rPr>
        <w:t>Bacillus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AU29 and </w:t>
      </w:r>
      <w:proofErr w:type="spellStart"/>
      <w:r w:rsidR="00731E4D" w:rsidRPr="003A288D">
        <w:rPr>
          <w:rFonts w:ascii="Times New Roman" w:hAnsi="Times New Roman" w:cs="Times New Roman"/>
          <w:i/>
          <w:sz w:val="24"/>
          <w:szCs w:val="24"/>
          <w:lang w:val="en-AU"/>
        </w:rPr>
        <w:t>Ruegeria</w:t>
      </w:r>
      <w:proofErr w:type="spellEnd"/>
      <w:r w:rsidR="00612B48">
        <w:rPr>
          <w:rFonts w:ascii="Times New Roman" w:hAnsi="Times New Roman" w:cs="Times New Roman"/>
          <w:sz w:val="24"/>
          <w:szCs w:val="24"/>
          <w:lang w:val="en-AU"/>
        </w:rPr>
        <w:t xml:space="preserve"> sp. AU82. Error bars show standard deviations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  <w:r w:rsidR="00731E4D" w:rsidRPr="003A288D">
        <w:rPr>
          <w:rFonts w:ascii="Times New Roman" w:hAnsi="Times New Roman" w:cs="Times New Roman"/>
          <w:b/>
          <w:sz w:val="24"/>
          <w:szCs w:val="24"/>
          <w:lang w:val="en-AU"/>
        </w:rPr>
        <w:t>b)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5B0DF9" w:rsidRPr="003A288D">
        <w:rPr>
          <w:rFonts w:ascii="Times New Roman" w:hAnsi="Times New Roman" w:cs="Times New Roman"/>
          <w:sz w:val="24"/>
          <w:szCs w:val="24"/>
          <w:lang w:val="en-AU"/>
        </w:rPr>
        <w:t>The</w:t>
      </w:r>
      <w:r w:rsidR="00731E4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731E4D" w:rsidRPr="003A288D">
        <w:rPr>
          <w:rFonts w:ascii="Times New Roman" w:hAnsi="Times New Roman" w:cs="Times New Roman"/>
          <w:sz w:val="24"/>
          <w:szCs w:val="24"/>
        </w:rPr>
        <w:t>fluorescence images show how a signal in the cells was only observed from 2 h of hybridization onwards for both species analyzed. Scale bars, 10 µm.</w:t>
      </w:r>
    </w:p>
    <w:p w14:paraId="7D4B8CFB" w14:textId="77777777" w:rsidR="00731E4D" w:rsidRPr="003A288D" w:rsidRDefault="00731E4D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66C7CE8" w14:textId="77777777" w:rsidR="00731E4D" w:rsidRPr="003A288D" w:rsidRDefault="00731E4D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1B00B6B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0C2F6E" wp14:editId="78843D0A">
            <wp:extent cx="5516088" cy="1904578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53" cy="190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2336" w14:textId="48890028" w:rsidR="00B23033" w:rsidRPr="003A288D" w:rsidRDefault="000B7B4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>Supplementary Figure S</w:t>
      </w:r>
      <w:r w:rsidR="00B25ABC">
        <w:rPr>
          <w:rFonts w:ascii="Times New Roman" w:hAnsi="Times New Roman" w:cs="Times New Roman"/>
          <w:b/>
          <w:sz w:val="24"/>
          <w:szCs w:val="24"/>
          <w:lang w:val="en-AU"/>
        </w:rPr>
        <w:t>3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>.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Growth of (A)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A375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 hybridiz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ed with the probe PARA739_6-Fam and (B) </w:t>
      </w:r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 xml:space="preserve">Bacillus </w:t>
      </w:r>
      <w:r w:rsidR="00A37533" w:rsidRPr="003A288D">
        <w:rPr>
          <w:rFonts w:ascii="Times New Roman" w:hAnsi="Times New Roman" w:cs="Times New Roman"/>
          <w:sz w:val="24"/>
          <w:szCs w:val="24"/>
          <w:lang w:val="en-AU"/>
        </w:rPr>
        <w:t>sp. AU29 hybridiz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ed with the probe LGC339_6-Fam, and both counterstained with PI. In panel (A), arrows point at the wells showing turbidity and containing 1 and 10 cells from the 6-Fam positive and PI negative (and hence potentially live) population. The identity of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 was confirmed in all wells with growth. Nothing grew in the wells where 100 cells of the 6-Fam positive and PI negative population and from the 6-Fam negative and PI positive (and hence dead) population were sorted (see Fig.</w:t>
      </w:r>
      <w:r w:rsidR="00A418A2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2 </w:t>
      </w:r>
      <w:proofErr w:type="spellStart"/>
      <w:r w:rsidR="00A418A2" w:rsidRPr="003A288D">
        <w:rPr>
          <w:rFonts w:ascii="Times New Roman" w:hAnsi="Times New Roman" w:cs="Times New Roman"/>
          <w:sz w:val="24"/>
          <w:szCs w:val="24"/>
          <w:lang w:val="en-AU"/>
        </w:rPr>
        <w:t>i</w:t>
      </w:r>
      <w:proofErr w:type="spellEnd"/>
      <w:r w:rsidR="00A418A2" w:rsidRPr="003A288D">
        <w:rPr>
          <w:rFonts w:ascii="Times New Roman" w:hAnsi="Times New Roman" w:cs="Times New Roman"/>
          <w:sz w:val="24"/>
          <w:szCs w:val="24"/>
          <w:lang w:val="en-AU"/>
        </w:rPr>
        <w:t>.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). In panel (B), the arrows point at the wells showing turbidity in the R3 population (6-Fam positive and PI negative) and corresponding to </w:t>
      </w:r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 xml:space="preserve">Bacillus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sp. AU29, while no growth was observed for the R4 (6-Fam positive and PI positive) and R6 (6-Fam negative and PI pos</w:t>
      </w:r>
      <w:r w:rsidR="00A418A2" w:rsidRPr="003A288D">
        <w:rPr>
          <w:rFonts w:ascii="Times New Roman" w:hAnsi="Times New Roman" w:cs="Times New Roman"/>
          <w:sz w:val="24"/>
          <w:szCs w:val="24"/>
          <w:lang w:val="en-AU"/>
        </w:rPr>
        <w:t>itive) populations (see Fig. 2 ii.)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. The control wells with only marine broth (MB - e.g. where no cells were sorted into) were negative.</w:t>
      </w:r>
    </w:p>
    <w:p w14:paraId="6D497FD8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37BA6845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53F0100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D161FFC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34D5EF39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E472E09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BBDB7F4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1846FDAF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767EE795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7D872421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4482007F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4A59E160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269DAD" wp14:editId="587B9ED5">
            <wp:extent cx="5519080" cy="3687288"/>
            <wp:effectExtent l="0" t="0" r="5715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420" cy="368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80686" w14:textId="4AD7CEB4" w:rsidR="00B23033" w:rsidRPr="003A288D" w:rsidRDefault="000B7B4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>Supplementary Figure S</w:t>
      </w:r>
      <w:r w:rsidR="00B25ABC">
        <w:rPr>
          <w:rFonts w:ascii="Times New Roman" w:hAnsi="Times New Roman" w:cs="Times New Roman"/>
          <w:b/>
          <w:sz w:val="24"/>
          <w:szCs w:val="24"/>
          <w:lang w:val="en-AU"/>
        </w:rPr>
        <w:t>4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.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Growth of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 within the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 </w:t>
      </w:r>
      <w:r w:rsidR="00A25A02" w:rsidRPr="003A288D">
        <w:rPr>
          <w:rFonts w:ascii="Times New Roman" w:hAnsi="Times New Roman" w:cs="Times New Roman"/>
          <w:sz w:val="24"/>
          <w:szCs w:val="24"/>
          <w:lang w:val="en-AU"/>
        </w:rPr>
        <w:t>mock community hybridiz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ed with the probe PARA739_6-Fam and counterstained with PI. The arrows point at the wells showing turbidity in the three populations gated and sorted (see Fig. </w:t>
      </w:r>
      <w:r w:rsidR="005B10FF" w:rsidRPr="003A288D">
        <w:rPr>
          <w:rFonts w:ascii="Times New Roman" w:hAnsi="Times New Roman" w:cs="Times New Roman"/>
          <w:sz w:val="24"/>
          <w:szCs w:val="24"/>
          <w:lang w:val="en-AU"/>
        </w:rPr>
        <w:t>2 iii.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). In the “6-Fam positive and PI negative” (and hence potentially live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SB55) population, growth corresponded successfully to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 cells. In the “6-Fam negative and PI positive” (and hence dead) population, turbidity corresponded to contamination</w:t>
      </w:r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 xml:space="preserve">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by </w:t>
      </w:r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Staphylococcus epidermidis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. Finally, in the “6-Fam negative and PI negative” population corresponding to all unstained events, growth consisted of </w:t>
      </w:r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 xml:space="preserve">Bacillus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sp. AU29 cells. The control wells with only marine broth (MB - e.g. where no cells were sorted into) were negative.</w:t>
      </w:r>
    </w:p>
    <w:p w14:paraId="1B8F3D0A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612573EF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74DD86B7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7186141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3FBD88B4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65322CD7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0EF30EF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03353232" w14:textId="77777777" w:rsidR="00B23033" w:rsidRPr="003A288D" w:rsidRDefault="00594FBD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98938EF" wp14:editId="4059DD59">
            <wp:extent cx="5474525" cy="3776714"/>
            <wp:effectExtent l="0" t="0" r="0" b="0"/>
            <wp:docPr id="1" name="Picture 1" descr="E:\Bil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Bild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781" cy="378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54D3" w14:textId="5421B6DE" w:rsidR="00B23033" w:rsidRPr="003A288D" w:rsidRDefault="000B7B4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>Supplementary Figure S</w:t>
      </w:r>
      <w:r w:rsidR="00B25ABC">
        <w:rPr>
          <w:rFonts w:ascii="Times New Roman" w:hAnsi="Times New Roman" w:cs="Times New Roman"/>
          <w:b/>
          <w:sz w:val="24"/>
          <w:szCs w:val="24"/>
          <w:lang w:val="en-AU"/>
        </w:rPr>
        <w:t>5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.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Growth of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 inoculated into Baltic seawater</w:t>
      </w:r>
      <w:r w:rsidR="00A25A02" w:rsidRPr="003A288D">
        <w:rPr>
          <w:rFonts w:ascii="Times New Roman" w:hAnsi="Times New Roman" w:cs="Times New Roman"/>
          <w:sz w:val="24"/>
          <w:szCs w:val="24"/>
          <w:lang w:val="en-AU"/>
        </w:rPr>
        <w:t>,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A25A02" w:rsidRPr="003A288D">
        <w:rPr>
          <w:rFonts w:ascii="Times New Roman" w:hAnsi="Times New Roman" w:cs="Times New Roman"/>
          <w:sz w:val="24"/>
          <w:szCs w:val="24"/>
          <w:lang w:val="en-AU"/>
        </w:rPr>
        <w:t>hybridiz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ed with the probe PARA739_6-Fam</w:t>
      </w:r>
      <w:r w:rsidR="00A25A02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and counterstained with PI. T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urbidity (arrows) was observed only in the 6-Fam positive and PI negative (and hence potentially live) population (R3) and in the 6-Fam negative and PI negative (R5) one corresponding to all unstained events (see Fig. </w:t>
      </w:r>
      <w:r w:rsidR="005B10FF" w:rsidRPr="003A288D">
        <w:rPr>
          <w:rFonts w:ascii="Times New Roman" w:hAnsi="Times New Roman" w:cs="Times New Roman"/>
          <w:sz w:val="24"/>
          <w:szCs w:val="24"/>
          <w:lang w:val="en-AU"/>
        </w:rPr>
        <w:t>2 iv.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). Growth in the 6-Fam positive and PI negative population corresponded to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SB55, while turbidity in the 6-Fam negative and PI negative one was due to contamination. The control wells with only marine broth (MB - e.g. where no cells were sorted into) were negative.</w:t>
      </w:r>
    </w:p>
    <w:p w14:paraId="0869E00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60C40797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5B641BA6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2A858972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5FF6A198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13A2337E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7AD77D79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</w:p>
    <w:p w14:paraId="37F58C22" w14:textId="77777777" w:rsidR="00B23033" w:rsidRPr="003A288D" w:rsidRDefault="00BC64BC" w:rsidP="00B23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28D85D5" wp14:editId="1A5428CE">
            <wp:extent cx="5608955" cy="37249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0DD3E2" w14:textId="2C713692" w:rsidR="00B23033" w:rsidRPr="003A288D" w:rsidRDefault="000B7B4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>Supplementary Figure S</w:t>
      </w:r>
      <w:r w:rsidR="00B25ABC">
        <w:rPr>
          <w:rFonts w:ascii="Times New Roman" w:hAnsi="Times New Roman" w:cs="Times New Roman"/>
          <w:b/>
          <w:sz w:val="24"/>
          <w:szCs w:val="24"/>
          <w:lang w:val="en-AU"/>
        </w:rPr>
        <w:t>6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>.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Growth of </w:t>
      </w:r>
      <w:proofErr w:type="spellStart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Alphaproteobacteria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from the Baltic seawater m</w:t>
      </w:r>
      <w:r w:rsidR="00A37533" w:rsidRPr="003A288D">
        <w:rPr>
          <w:rFonts w:ascii="Times New Roman" w:hAnsi="Times New Roman" w:cs="Times New Roman"/>
          <w:sz w:val="24"/>
          <w:szCs w:val="24"/>
          <w:lang w:val="en-AU"/>
        </w:rPr>
        <w:t>icrobial community when hybridiz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ed with the probe ALF968_6-Fam. The arrow points at the well showing turbidity</w:t>
      </w:r>
      <w:r w:rsidR="00B23033"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 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in the 6-Fam positive and PI negative population (corresponding to potentially living cells - see Fig. </w:t>
      </w:r>
      <w:r w:rsidR="005B10FF" w:rsidRPr="003A288D">
        <w:rPr>
          <w:rFonts w:ascii="Times New Roman" w:hAnsi="Times New Roman" w:cs="Times New Roman"/>
          <w:sz w:val="24"/>
          <w:szCs w:val="24"/>
          <w:lang w:val="en-AU"/>
        </w:rPr>
        <w:t>3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) and confirmed to be affiliated within the alphaproteobacterial genus </w:t>
      </w:r>
      <w:proofErr w:type="spellStart"/>
      <w:r w:rsidR="00B23033" w:rsidRPr="003A288D">
        <w:rPr>
          <w:rFonts w:ascii="Times New Roman" w:hAnsi="Times New Roman" w:cs="Times New Roman"/>
          <w:i/>
          <w:sz w:val="24"/>
          <w:szCs w:val="24"/>
          <w:lang w:val="en-AU"/>
        </w:rPr>
        <w:t>Brevundimonas</w:t>
      </w:r>
      <w:proofErr w:type="spellEnd"/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. Nothing grew in the wells corresponding to the 6-Fam </w:t>
      </w:r>
      <w:r w:rsidR="005B10FF" w:rsidRPr="003A288D">
        <w:rPr>
          <w:rFonts w:ascii="Times New Roman" w:hAnsi="Times New Roman" w:cs="Times New Roman"/>
          <w:sz w:val="24"/>
          <w:szCs w:val="24"/>
          <w:lang w:val="en-AU"/>
        </w:rPr>
        <w:t>positive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and PI positive (and hence dead) population (see Fig. </w:t>
      </w:r>
      <w:r w:rsidR="005B10FF" w:rsidRPr="003A288D">
        <w:rPr>
          <w:rFonts w:ascii="Times New Roman" w:hAnsi="Times New Roman" w:cs="Times New Roman"/>
          <w:sz w:val="24"/>
          <w:szCs w:val="24"/>
          <w:lang w:val="en-AU"/>
        </w:rPr>
        <w:t>3</w:t>
      </w:r>
      <w:r w:rsidR="00B23033" w:rsidRPr="003A288D">
        <w:rPr>
          <w:rFonts w:ascii="Times New Roman" w:hAnsi="Times New Roman" w:cs="Times New Roman"/>
          <w:sz w:val="24"/>
          <w:szCs w:val="24"/>
          <w:lang w:val="en-AU"/>
        </w:rPr>
        <w:t>) and the control ones with only marine broth (MB - e.g. where no cells were sorted into).</w:t>
      </w:r>
    </w:p>
    <w:p w14:paraId="478675A5" w14:textId="77777777" w:rsidR="00B23033" w:rsidRPr="003A288D" w:rsidRDefault="00B23033" w:rsidP="00B230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0C5C0E0A" w14:textId="77777777" w:rsidR="003A288D" w:rsidRDefault="003A288D" w:rsidP="00B23033">
      <w:pPr>
        <w:tabs>
          <w:tab w:val="left" w:pos="3039"/>
        </w:tabs>
        <w:rPr>
          <w:rFonts w:ascii="Times New Roman" w:hAnsi="Times New Roman" w:cs="Times New Roman"/>
          <w:sz w:val="24"/>
          <w:szCs w:val="24"/>
          <w:lang w:val="en-AU"/>
        </w:rPr>
      </w:pPr>
    </w:p>
    <w:p w14:paraId="328A31C1" w14:textId="77777777" w:rsidR="00DB4BEB" w:rsidRDefault="00DB4BEB">
      <w:pPr>
        <w:spacing w:after="160" w:line="259" w:lineRule="auto"/>
        <w:rPr>
          <w:rFonts w:ascii="Times New Roman" w:hAnsi="Times New Roman" w:cs="Times New Roman"/>
          <w:b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br w:type="page"/>
      </w:r>
    </w:p>
    <w:p w14:paraId="429359F8" w14:textId="3ABE5330" w:rsidR="00B23033" w:rsidRPr="003A288D" w:rsidRDefault="00B23033" w:rsidP="00B23033">
      <w:pPr>
        <w:tabs>
          <w:tab w:val="left" w:pos="3039"/>
        </w:tabs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lastRenderedPageBreak/>
        <w:t>Supplementary Tables</w:t>
      </w:r>
    </w:p>
    <w:p w14:paraId="1818677B" w14:textId="1DC42F42" w:rsidR="002C3706" w:rsidRDefault="007B7A61" w:rsidP="007B7A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t>Supplementary Table S1</w:t>
      </w: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>.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Comparison</w:t>
      </w:r>
      <w:r w:rsidR="007D4D2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of the</w:t>
      </w:r>
      <w:r w:rsidR="007D4D2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cell viability between each of the eleven treatments (combinations of different buffers, centrifugation speeds and incubation times during the pre-hybridization step of the live-FISH procedure) and the conditions of the modified FFF protocol (PBS - 10,000 x g - 5 min)</w:t>
      </w:r>
      <w:r w:rsidR="007D4D23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for</w:t>
      </w:r>
      <w:r w:rsidR="007D4D23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7D4D23" w:rsidRPr="003A288D">
        <w:rPr>
          <w:rFonts w:ascii="Times New Roman" w:hAnsi="Times New Roman" w:cs="Times New Roman"/>
          <w:i/>
          <w:sz w:val="24"/>
          <w:szCs w:val="24"/>
          <w:lang w:val="en-AU"/>
        </w:rPr>
        <w:t>Bacillus</w:t>
      </w:r>
      <w:r w:rsidR="007D4D2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AU29 and </w:t>
      </w:r>
      <w:proofErr w:type="spellStart"/>
      <w:r w:rsidR="007D4D23" w:rsidRPr="003A288D">
        <w:rPr>
          <w:rFonts w:ascii="Times New Roman" w:hAnsi="Times New Roman" w:cs="Times New Roman"/>
          <w:i/>
          <w:sz w:val="24"/>
          <w:szCs w:val="24"/>
          <w:lang w:val="en-AU"/>
        </w:rPr>
        <w:t>Ruegeria</w:t>
      </w:r>
      <w:proofErr w:type="spellEnd"/>
      <w:r w:rsidR="007D4D23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</w:t>
      </w:r>
      <w:r w:rsidR="007D4D23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7D4D23" w:rsidRPr="003A288D">
        <w:rPr>
          <w:rFonts w:ascii="Times New Roman" w:hAnsi="Times New Roman" w:cs="Times New Roman"/>
          <w:sz w:val="24"/>
          <w:szCs w:val="24"/>
          <w:lang w:val="en-AU"/>
        </w:rPr>
        <w:t>AU82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 xml:space="preserve">. Significance was assessed with a </w:t>
      </w:r>
      <w:r w:rsidR="007D4D23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>Kruskal-Wallis test.</w:t>
      </w:r>
    </w:p>
    <w:p w14:paraId="11FDCBB4" w14:textId="043BA996" w:rsidR="007B7A61" w:rsidRPr="003A288D" w:rsidRDefault="007B7A61" w:rsidP="007B7A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Pr="003A288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C6E6AF" wp14:editId="49DCDCC0">
            <wp:extent cx="5486400" cy="406440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6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3180C" w14:textId="77777777" w:rsidR="00CC21ED" w:rsidRDefault="00CC21ED" w:rsidP="00CC21ED">
      <w:pPr>
        <w:tabs>
          <w:tab w:val="left" w:pos="3039"/>
        </w:tabs>
        <w:spacing w:after="0" w:line="240" w:lineRule="auto"/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 xml:space="preserve">ns = not significant; </w:t>
      </w:r>
    </w:p>
    <w:p w14:paraId="5C39B142" w14:textId="7FE59B0E" w:rsidR="00B23033" w:rsidRPr="00CC21ED" w:rsidRDefault="00CC21ED" w:rsidP="00B23033">
      <w:pPr>
        <w:tabs>
          <w:tab w:val="left" w:pos="3039"/>
        </w:tabs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 xml:space="preserve">mean rank differences = differences between the mean rank of the modified FFF protocol and the mean rank of each treatment. </w:t>
      </w: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>Boldface indicates statistical significance (p ≤ 0.05 for the Kruskal-Wallis test, and *p ≤ 0.05 but &gt; 0.01 and **p ≤ 0.01 for the Dunn’s multiple comparisons test).</w:t>
      </w:r>
    </w:p>
    <w:p w14:paraId="04EDE807" w14:textId="77777777" w:rsidR="002C3706" w:rsidRDefault="002C3706">
      <w:pPr>
        <w:spacing w:after="160" w:line="259" w:lineRule="auto"/>
        <w:rPr>
          <w:rFonts w:ascii="Times New Roman" w:hAnsi="Times New Roman" w:cs="Times New Roman"/>
          <w:b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br w:type="page"/>
      </w:r>
    </w:p>
    <w:p w14:paraId="5DC960F7" w14:textId="30791D5F" w:rsidR="002C3706" w:rsidRDefault="007B7A61" w:rsidP="007B7A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lastRenderedPageBreak/>
        <w:t>Supplementary Table S2</w:t>
      </w: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t xml:space="preserve">.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Comparison</w:t>
      </w:r>
      <w:r w:rsidR="002C3706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of the</w:t>
      </w:r>
      <w:r w:rsidR="002C3706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>cell viability between each of the twelve treatments (combinations of different buffers, centrifugation speeds and incubation times during the pre-hybridization step of the live-FISH procedure) and the control consisting of cell numbers before the treatments (e.g. after incubation overnight)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for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 xml:space="preserve"> both </w:t>
      </w:r>
      <w:r w:rsidR="00CC21ED" w:rsidRPr="003A288D">
        <w:rPr>
          <w:rFonts w:ascii="Times New Roman" w:hAnsi="Times New Roman" w:cs="Times New Roman"/>
          <w:i/>
          <w:sz w:val="24"/>
          <w:szCs w:val="24"/>
          <w:lang w:val="en-AU"/>
        </w:rPr>
        <w:t>Bacillus</w:t>
      </w:r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AU29 and </w:t>
      </w:r>
      <w:proofErr w:type="spellStart"/>
      <w:r w:rsidR="00CC21ED" w:rsidRPr="003A288D">
        <w:rPr>
          <w:rFonts w:ascii="Times New Roman" w:hAnsi="Times New Roman" w:cs="Times New Roman"/>
          <w:i/>
          <w:sz w:val="24"/>
          <w:szCs w:val="24"/>
          <w:lang w:val="en-AU"/>
        </w:rPr>
        <w:t>Ruegeria</w:t>
      </w:r>
      <w:proofErr w:type="spellEnd"/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AU82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.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 xml:space="preserve">Significance was assessed with a  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>Kruskal-Wallis test.</w:t>
      </w:r>
    </w:p>
    <w:p w14:paraId="5FA119AF" w14:textId="3AC0A169" w:rsidR="007B7A61" w:rsidRPr="00237951" w:rsidRDefault="007B7A61" w:rsidP="007B7A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</w:p>
    <w:p w14:paraId="2C5206C5" w14:textId="6E58F68F" w:rsidR="00B23033" w:rsidRPr="003A288D" w:rsidRDefault="007B7A61" w:rsidP="00B23033">
      <w:pPr>
        <w:tabs>
          <w:tab w:val="left" w:pos="3039"/>
        </w:tabs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F7C841" wp14:editId="6DCA4CA3">
            <wp:extent cx="5014209" cy="4463617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50" cy="446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404D" w14:textId="77777777" w:rsidR="00CC21ED" w:rsidRDefault="00CC21ED" w:rsidP="00CC21ED">
      <w:pPr>
        <w:tabs>
          <w:tab w:val="left" w:pos="3039"/>
        </w:tabs>
        <w:spacing w:after="0" w:line="240" w:lineRule="auto"/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 xml:space="preserve">ns = not significant; </w:t>
      </w:r>
    </w:p>
    <w:p w14:paraId="496CA302" w14:textId="0AFD1336" w:rsidR="00CC21ED" w:rsidRDefault="00CC21ED" w:rsidP="00CC21ED">
      <w:pPr>
        <w:tabs>
          <w:tab w:val="left" w:pos="3039"/>
        </w:tabs>
        <w:spacing w:after="0" w:line="240" w:lineRule="auto"/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 xml:space="preserve">mean rank differences = differences between the mean rank of the control and the mean rank of each treatment. </w:t>
      </w:r>
    </w:p>
    <w:p w14:paraId="185001E1" w14:textId="351D01AF" w:rsidR="00B23033" w:rsidRPr="003A288D" w:rsidRDefault="00CC21ED" w:rsidP="00CC21ED">
      <w:pPr>
        <w:tabs>
          <w:tab w:val="left" w:pos="3039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>Boldface indicates statistical significance (p ≤ 0.05 for the Kruskal-Wallis test, and *p ≤ 0.05 but &gt; 0.01 and **p ≤ 0.01 for the Dunn’s multiple comparisons test).</w:t>
      </w:r>
    </w:p>
    <w:p w14:paraId="5064CEBB" w14:textId="77777777" w:rsidR="00B23033" w:rsidRPr="003A288D" w:rsidRDefault="00B23033" w:rsidP="00B23033">
      <w:pPr>
        <w:tabs>
          <w:tab w:val="left" w:pos="3039"/>
        </w:tabs>
        <w:rPr>
          <w:rFonts w:ascii="Times New Roman" w:hAnsi="Times New Roman" w:cs="Times New Roman"/>
          <w:sz w:val="24"/>
          <w:szCs w:val="24"/>
          <w:lang w:val="en-AU"/>
        </w:rPr>
      </w:pPr>
    </w:p>
    <w:p w14:paraId="4ABD578B" w14:textId="0CADDFC9" w:rsidR="00B23033" w:rsidRPr="003A288D" w:rsidRDefault="00B23033" w:rsidP="00B23033">
      <w:pPr>
        <w:tabs>
          <w:tab w:val="left" w:pos="3039"/>
        </w:tabs>
        <w:rPr>
          <w:rFonts w:ascii="Times New Roman" w:hAnsi="Times New Roman" w:cs="Times New Roman"/>
          <w:sz w:val="24"/>
          <w:szCs w:val="24"/>
          <w:lang w:val="en-AU"/>
        </w:rPr>
      </w:pPr>
    </w:p>
    <w:p w14:paraId="5F3AF379" w14:textId="77777777" w:rsidR="002C3706" w:rsidRDefault="002C3706">
      <w:pPr>
        <w:spacing w:after="160" w:line="259" w:lineRule="auto"/>
        <w:rPr>
          <w:rFonts w:ascii="Times New Roman" w:hAnsi="Times New Roman" w:cs="Times New Roman"/>
          <w:b/>
          <w:sz w:val="24"/>
          <w:szCs w:val="24"/>
          <w:lang w:val="en-AU"/>
        </w:rPr>
      </w:pPr>
      <w:r>
        <w:rPr>
          <w:rFonts w:ascii="Times New Roman" w:hAnsi="Times New Roman" w:cs="Times New Roman"/>
          <w:b/>
          <w:sz w:val="24"/>
          <w:szCs w:val="24"/>
          <w:lang w:val="en-AU"/>
        </w:rPr>
        <w:br w:type="page"/>
      </w:r>
    </w:p>
    <w:p w14:paraId="5CD45E50" w14:textId="3D360CC1" w:rsidR="00B23033" w:rsidRPr="00CC21ED" w:rsidRDefault="00B23033" w:rsidP="00B23033">
      <w:pPr>
        <w:tabs>
          <w:tab w:val="left" w:pos="3039"/>
        </w:tabs>
        <w:spacing w:after="0" w:line="360" w:lineRule="auto"/>
        <w:jc w:val="both"/>
        <w:rPr>
          <w:rFonts w:ascii="Times New Roman" w:hAnsi="Times New Roman" w:cs="Times New Roman"/>
          <w:sz w:val="16"/>
          <w:szCs w:val="16"/>
          <w:lang w:val="en-AU"/>
        </w:rPr>
      </w:pPr>
      <w:r w:rsidRPr="003A288D">
        <w:rPr>
          <w:rFonts w:ascii="Times New Roman" w:hAnsi="Times New Roman" w:cs="Times New Roman"/>
          <w:b/>
          <w:sz w:val="24"/>
          <w:szCs w:val="24"/>
          <w:lang w:val="en-AU"/>
        </w:rPr>
        <w:lastRenderedPageBreak/>
        <w:t>Supplementary Table S3.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Comparison</w:t>
      </w:r>
      <w:r w:rsidR="002C3706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of the</w:t>
      </w:r>
      <w:r w:rsidR="002C3706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cell viability between each of the three treatments (combination of incubations in different cold solutions during the heat shock step of the live-FISH procedure) and the control consisting of cell numbers before the treatments (e.g. after pre-hybridization) 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 xml:space="preserve">were tested on both </w:t>
      </w:r>
      <w:r w:rsidR="00CC21ED" w:rsidRPr="003A288D">
        <w:rPr>
          <w:rFonts w:ascii="Times New Roman" w:hAnsi="Times New Roman" w:cs="Times New Roman"/>
          <w:i/>
          <w:sz w:val="24"/>
          <w:szCs w:val="24"/>
          <w:lang w:val="en-AU"/>
        </w:rPr>
        <w:t>Bacillus</w:t>
      </w:r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AU29 and </w:t>
      </w:r>
      <w:proofErr w:type="spellStart"/>
      <w:r w:rsidR="00CC21ED" w:rsidRPr="003A288D">
        <w:rPr>
          <w:rFonts w:ascii="Times New Roman" w:hAnsi="Times New Roman" w:cs="Times New Roman"/>
          <w:i/>
          <w:sz w:val="24"/>
          <w:szCs w:val="24"/>
          <w:lang w:val="en-AU"/>
        </w:rPr>
        <w:t>Pseudovibrio</w:t>
      </w:r>
      <w:proofErr w:type="spellEnd"/>
      <w:r w:rsidR="00CC21ED"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sp. SB55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>.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  <w:r w:rsidR="002C3706">
        <w:rPr>
          <w:rFonts w:ascii="Times New Roman" w:hAnsi="Times New Roman" w:cs="Times New Roman"/>
          <w:sz w:val="24"/>
          <w:szCs w:val="24"/>
          <w:lang w:val="en-AU"/>
        </w:rPr>
        <w:t xml:space="preserve">Significance was assessed with </w:t>
      </w:r>
      <w:proofErr w:type="gramStart"/>
      <w:r w:rsidR="002C3706">
        <w:rPr>
          <w:rFonts w:ascii="Times New Roman" w:hAnsi="Times New Roman" w:cs="Times New Roman"/>
          <w:sz w:val="24"/>
          <w:szCs w:val="24"/>
          <w:lang w:val="en-AU"/>
        </w:rPr>
        <w:t xml:space="preserve">a  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>Kruskal</w:t>
      </w:r>
      <w:proofErr w:type="gramEnd"/>
      <w:r w:rsidRPr="003A288D">
        <w:rPr>
          <w:rFonts w:ascii="Times New Roman" w:hAnsi="Times New Roman" w:cs="Times New Roman"/>
          <w:sz w:val="24"/>
          <w:szCs w:val="24"/>
          <w:lang w:val="en-AU"/>
        </w:rPr>
        <w:t>-Wallis test</w:t>
      </w:r>
      <w:r w:rsidR="00CC21ED">
        <w:rPr>
          <w:rFonts w:ascii="Times New Roman" w:hAnsi="Times New Roman" w:cs="Times New Roman"/>
          <w:sz w:val="24"/>
          <w:szCs w:val="24"/>
          <w:lang w:val="en-AU"/>
        </w:rPr>
        <w:t>.</w:t>
      </w:r>
      <w:r w:rsidRPr="003A288D">
        <w:rPr>
          <w:rFonts w:ascii="Times New Roman" w:hAnsi="Times New Roman" w:cs="Times New Roman"/>
          <w:sz w:val="24"/>
          <w:szCs w:val="24"/>
          <w:lang w:val="en-AU"/>
        </w:rPr>
        <w:t xml:space="preserve"> </w:t>
      </w:r>
    </w:p>
    <w:p w14:paraId="5A3315B4" w14:textId="77777777" w:rsidR="00B23033" w:rsidRPr="003A288D" w:rsidRDefault="00B23033" w:rsidP="00B23033">
      <w:pPr>
        <w:tabs>
          <w:tab w:val="left" w:pos="3039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150F5C31" w14:textId="77777777" w:rsidR="00DB4BEB" w:rsidRDefault="00B23033" w:rsidP="00B23033">
      <w:pPr>
        <w:tabs>
          <w:tab w:val="left" w:pos="3039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3A288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A677A5" wp14:editId="7748DA05">
            <wp:extent cx="6068291" cy="147217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161" cy="148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A754" w14:textId="77777777" w:rsidR="00CC21ED" w:rsidRDefault="00CC21ED" w:rsidP="00CC21ED">
      <w:pPr>
        <w:tabs>
          <w:tab w:val="left" w:pos="3039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>ns = not significant;</w:t>
      </w:r>
    </w:p>
    <w:p w14:paraId="7CD44DD8" w14:textId="5D942339" w:rsidR="00CC21ED" w:rsidRDefault="00CC21ED" w:rsidP="00CC21ED">
      <w:pPr>
        <w:tabs>
          <w:tab w:val="left" w:pos="3039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 xml:space="preserve">mean rank differences = differences between the mean rank of the control and the mean rank of each treatment. </w:t>
      </w:r>
    </w:p>
    <w:p w14:paraId="7130171D" w14:textId="400A30ED" w:rsidR="00DB4BEB" w:rsidRDefault="00CC21ED" w:rsidP="00CC21ED">
      <w:pPr>
        <w:tabs>
          <w:tab w:val="left" w:pos="303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>
        <w:rPr>
          <w:rFonts w:ascii="Times New Roman" w:hAnsi="Times New Roman" w:cs="Times New Roman"/>
          <w:sz w:val="16"/>
          <w:szCs w:val="16"/>
          <w:lang w:val="en-AU"/>
        </w:rPr>
        <w:t>*</w:t>
      </w:r>
      <w:r w:rsidRPr="00CC21ED">
        <w:rPr>
          <w:rFonts w:ascii="Times New Roman" w:hAnsi="Times New Roman" w:cs="Times New Roman"/>
          <w:sz w:val="16"/>
          <w:szCs w:val="16"/>
          <w:lang w:val="en-AU"/>
        </w:rPr>
        <w:t>Boldface indicates statistical significance (p ≤ 0.05 for the Kruskal-Wallis test, and *p ≤ 0.05 but &gt; 0.01 for the Dunn’s multiple comparisons test).</w:t>
      </w:r>
    </w:p>
    <w:p w14:paraId="1F2B1B30" w14:textId="77777777" w:rsidR="00DB4BEB" w:rsidRDefault="00DB4BEB" w:rsidP="00CC21ED">
      <w:pPr>
        <w:tabs>
          <w:tab w:val="left" w:pos="303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p w14:paraId="74D470C8" w14:textId="2AF0F402" w:rsidR="00B23033" w:rsidRPr="003A288D" w:rsidRDefault="00B23033" w:rsidP="00B23033">
      <w:pPr>
        <w:tabs>
          <w:tab w:val="left" w:pos="3039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</w:p>
    <w:sectPr w:rsidR="00B23033" w:rsidRPr="003A288D" w:rsidSect="00B23033">
      <w:footerReference w:type="default" r:id="rId15"/>
      <w:pgSz w:w="12240" w:h="15840"/>
      <w:pgMar w:top="1440" w:right="1800" w:bottom="1440" w:left="180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597682" w14:textId="77777777" w:rsidR="00C62611" w:rsidRDefault="00C62611" w:rsidP="00B23033">
      <w:pPr>
        <w:spacing w:after="0" w:line="240" w:lineRule="auto"/>
      </w:pPr>
      <w:r>
        <w:separator/>
      </w:r>
    </w:p>
  </w:endnote>
  <w:endnote w:type="continuationSeparator" w:id="0">
    <w:p w14:paraId="702437BA" w14:textId="77777777" w:rsidR="00C62611" w:rsidRDefault="00C62611" w:rsidP="00B230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Yu Mincho">
    <w:panose1 w:val="02020400000000000000"/>
    <w:charset w:val="80"/>
    <w:family w:val="roman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756929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B918665" w14:textId="4F467605" w:rsidR="00CC21ED" w:rsidRDefault="00CC21E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25AB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8DD85BE" w14:textId="77777777" w:rsidR="00CC21ED" w:rsidRDefault="00CC21E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95DE4F" w14:textId="77777777" w:rsidR="00C62611" w:rsidRDefault="00C62611" w:rsidP="00B23033">
      <w:pPr>
        <w:spacing w:after="0" w:line="240" w:lineRule="auto"/>
      </w:pPr>
      <w:r>
        <w:separator/>
      </w:r>
    </w:p>
  </w:footnote>
  <w:footnote w:type="continuationSeparator" w:id="0">
    <w:p w14:paraId="0727BEBB" w14:textId="77777777" w:rsidR="00C62611" w:rsidRDefault="00C62611" w:rsidP="00B230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39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s5tad9t8sp0fbet0vi5fvw9zz52frstfpsr&quot;&gt;Fac_Fish_endnote_library&lt;record-ids&gt;&lt;item&gt;20&lt;/item&gt;&lt;item&gt;34&lt;/item&gt;&lt;/record-ids&gt;&lt;/item&gt;&lt;/Libraries&gt;"/>
  </w:docVars>
  <w:rsids>
    <w:rsidRoot w:val="00B23033"/>
    <w:rsid w:val="00063EE0"/>
    <w:rsid w:val="00064820"/>
    <w:rsid w:val="00067014"/>
    <w:rsid w:val="000B7B43"/>
    <w:rsid w:val="000C2086"/>
    <w:rsid w:val="000F50D4"/>
    <w:rsid w:val="001417CB"/>
    <w:rsid w:val="00174175"/>
    <w:rsid w:val="001F6383"/>
    <w:rsid w:val="00237951"/>
    <w:rsid w:val="002459A2"/>
    <w:rsid w:val="00287BD9"/>
    <w:rsid w:val="002C3706"/>
    <w:rsid w:val="002F3B90"/>
    <w:rsid w:val="00377583"/>
    <w:rsid w:val="003A288D"/>
    <w:rsid w:val="003B460B"/>
    <w:rsid w:val="003C52A0"/>
    <w:rsid w:val="00457ED3"/>
    <w:rsid w:val="004F1CD6"/>
    <w:rsid w:val="00556622"/>
    <w:rsid w:val="0058467F"/>
    <w:rsid w:val="00594FBD"/>
    <w:rsid w:val="005B0DF9"/>
    <w:rsid w:val="005B10FF"/>
    <w:rsid w:val="00612B48"/>
    <w:rsid w:val="00697E34"/>
    <w:rsid w:val="006E71E8"/>
    <w:rsid w:val="00731E4D"/>
    <w:rsid w:val="0073377A"/>
    <w:rsid w:val="007B7A61"/>
    <w:rsid w:val="007D4D23"/>
    <w:rsid w:val="008755E2"/>
    <w:rsid w:val="00891299"/>
    <w:rsid w:val="008C0EBC"/>
    <w:rsid w:val="008D2243"/>
    <w:rsid w:val="009C4224"/>
    <w:rsid w:val="009F13F9"/>
    <w:rsid w:val="00A0701E"/>
    <w:rsid w:val="00A12461"/>
    <w:rsid w:val="00A166DC"/>
    <w:rsid w:val="00A25A02"/>
    <w:rsid w:val="00A37533"/>
    <w:rsid w:val="00A418A2"/>
    <w:rsid w:val="00AA2C2B"/>
    <w:rsid w:val="00B06984"/>
    <w:rsid w:val="00B15CB7"/>
    <w:rsid w:val="00B23033"/>
    <w:rsid w:val="00B25ABC"/>
    <w:rsid w:val="00B43322"/>
    <w:rsid w:val="00B711D6"/>
    <w:rsid w:val="00BC64BC"/>
    <w:rsid w:val="00BE1172"/>
    <w:rsid w:val="00C05BD8"/>
    <w:rsid w:val="00C62611"/>
    <w:rsid w:val="00C67462"/>
    <w:rsid w:val="00CA4E80"/>
    <w:rsid w:val="00CC21ED"/>
    <w:rsid w:val="00D2683B"/>
    <w:rsid w:val="00D851D4"/>
    <w:rsid w:val="00DB4BEB"/>
    <w:rsid w:val="00DC5E92"/>
    <w:rsid w:val="00E106DB"/>
    <w:rsid w:val="00E91DCB"/>
    <w:rsid w:val="00F14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B6C2D8D"/>
  <w15:docId w15:val="{F66668E9-F15E-5741-8B07-AF6139526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B23033"/>
    <w:pPr>
      <w:spacing w:after="200" w:line="276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B23033"/>
    <w:pPr>
      <w:tabs>
        <w:tab w:val="center" w:pos="4680"/>
        <w:tab w:val="right" w:pos="9360"/>
      </w:tabs>
      <w:spacing w:after="0" w:line="240" w:lineRule="auto"/>
    </w:pPr>
    <w:rPr>
      <w:rFonts w:eastAsiaTheme="minorHAnsi"/>
    </w:rPr>
  </w:style>
  <w:style w:type="character" w:customStyle="1" w:styleId="FooterChar">
    <w:name w:val="Footer Char"/>
    <w:basedOn w:val="DefaultParagraphFont"/>
    <w:link w:val="Footer"/>
    <w:uiPriority w:val="99"/>
    <w:rsid w:val="00B23033"/>
  </w:style>
  <w:style w:type="table" w:styleId="TableGrid">
    <w:name w:val="Table Grid"/>
    <w:basedOn w:val="TableNormal"/>
    <w:uiPriority w:val="39"/>
    <w:rsid w:val="00B23033"/>
    <w:pPr>
      <w:spacing w:after="0" w:line="240" w:lineRule="auto"/>
    </w:pPr>
    <w:rPr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B23033"/>
  </w:style>
  <w:style w:type="paragraph" w:styleId="Header">
    <w:name w:val="header"/>
    <w:basedOn w:val="Normal"/>
    <w:link w:val="HeaderChar"/>
    <w:uiPriority w:val="99"/>
    <w:unhideWhenUsed/>
    <w:rsid w:val="00B230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033"/>
    <w:rPr>
      <w:rFonts w:eastAsiaTheme="minorEastAs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683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83B"/>
    <w:rPr>
      <w:rFonts w:ascii="Lucida Grande" w:eastAsiaTheme="minorEastAsia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F1C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F1C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F1CD6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1C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1CD6"/>
    <w:rPr>
      <w:rFonts w:eastAsiaTheme="minorEastAsia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BC64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EndNoteBibliographyTitle">
    <w:name w:val="EndNote Bibliography Title"/>
    <w:basedOn w:val="Normal"/>
    <w:rsid w:val="00DB4BEB"/>
    <w:pPr>
      <w:spacing w:after="0"/>
      <w:jc w:val="center"/>
    </w:pPr>
    <w:rPr>
      <w:rFonts w:ascii="Times New Roman" w:hAnsi="Times New Roman" w:cs="Times New Roman"/>
      <w:sz w:val="24"/>
    </w:rPr>
  </w:style>
  <w:style w:type="paragraph" w:customStyle="1" w:styleId="EndNoteBibliography">
    <w:name w:val="EndNote Bibliography"/>
    <w:basedOn w:val="Normal"/>
    <w:rsid w:val="00DB4BEB"/>
    <w:pPr>
      <w:spacing w:line="240" w:lineRule="auto"/>
      <w:jc w:val="both"/>
    </w:pPr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844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1020</Words>
  <Characters>5816</Characters>
  <Application>Microsoft Office Word</Application>
  <DocSecurity>0</DocSecurity>
  <Lines>48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GEOMAR</Company>
  <LinksUpToDate>false</LinksUpToDate>
  <CharactersWithSpaces>6823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Batani Giampiero Mgr.</dc:creator>
  <cp:keywords/>
  <dc:description/>
  <cp:lastModifiedBy>Torsten Thomas</cp:lastModifiedBy>
  <cp:revision>3</cp:revision>
  <dcterms:created xsi:type="dcterms:W3CDTF">2019-10-14T01:10:00Z</dcterms:created>
  <dcterms:modified xsi:type="dcterms:W3CDTF">2019-10-14T01:10:00Z</dcterms:modified>
</cp:coreProperties>
</file>