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A1282" w14:textId="6E7572FF" w:rsidR="00AC69DC" w:rsidRDefault="007A4B73">
      <w:pPr>
        <w:rPr>
          <w:rFonts w:eastAsia="Calibri" w:cs="Times New Roman"/>
          <w:sz w:val="24"/>
          <w:lang w:val="en-US"/>
        </w:rPr>
      </w:pPr>
      <w:bookmarkStart w:id="0" w:name="_Hlk29120530"/>
      <w:r w:rsidRPr="007A4B73">
        <w:rPr>
          <w:rFonts w:eastAsia="Calibri" w:cs="Times New Roman"/>
          <w:b/>
          <w:bCs/>
          <w:sz w:val="24"/>
          <w:lang w:val="en-US"/>
        </w:rPr>
        <w:t xml:space="preserve">Supplementary Table </w:t>
      </w:r>
      <w:r w:rsidR="00291A18">
        <w:rPr>
          <w:rFonts w:eastAsia="Calibri" w:cs="Times New Roman"/>
          <w:b/>
          <w:bCs/>
          <w:sz w:val="24"/>
          <w:lang w:val="en-US"/>
        </w:rPr>
        <w:t>S</w:t>
      </w:r>
      <w:r w:rsidRPr="007A4B73">
        <w:rPr>
          <w:rFonts w:eastAsia="Calibri" w:cs="Times New Roman"/>
          <w:b/>
          <w:bCs/>
          <w:sz w:val="24"/>
          <w:lang w:val="en-US"/>
        </w:rPr>
        <w:t>1</w:t>
      </w:r>
      <w:r w:rsidRPr="007A4B73">
        <w:rPr>
          <w:rFonts w:eastAsia="Calibri" w:cs="Times New Roman"/>
          <w:sz w:val="24"/>
          <w:lang w:val="en-US"/>
        </w:rPr>
        <w:t xml:space="preserve">: </w:t>
      </w:r>
      <w:r w:rsidR="007B6DE5">
        <w:rPr>
          <w:rFonts w:eastAsia="Calibri" w:cs="Times New Roman"/>
          <w:sz w:val="24"/>
          <w:lang w:val="en-US"/>
        </w:rPr>
        <w:t>Examples</w:t>
      </w:r>
      <w:r w:rsidRPr="007A4B73">
        <w:rPr>
          <w:rFonts w:eastAsia="Calibri" w:cs="Times New Roman"/>
          <w:sz w:val="24"/>
          <w:lang w:val="en-US"/>
        </w:rPr>
        <w:t xml:space="preserve"> of the past and current international initiatives in the field of marine biotechnology in Europe.</w:t>
      </w:r>
      <w:r>
        <w:rPr>
          <w:rFonts w:eastAsia="Calibri" w:cs="Times New Roman"/>
          <w:sz w:val="24"/>
          <w:lang w:val="en-US"/>
        </w:rPr>
        <w:t xml:space="preserve"> The level column represents the </w:t>
      </w:r>
      <w:r w:rsidR="00980A9B">
        <w:rPr>
          <w:rFonts w:eastAsia="Calibri" w:cs="Times New Roman"/>
          <w:sz w:val="24"/>
          <w:lang w:val="en-US"/>
        </w:rPr>
        <w:t xml:space="preserve">targeted involvement within each initiative </w:t>
      </w:r>
      <w:r w:rsidR="00D61C55">
        <w:rPr>
          <w:rFonts w:eastAsia="Calibri" w:cs="Times New Roman"/>
          <w:sz w:val="24"/>
          <w:lang w:val="en-US"/>
        </w:rPr>
        <w:t>(industry, research community, legislative authorities, general public, environment</w:t>
      </w:r>
      <w:r w:rsidR="007702AB">
        <w:rPr>
          <w:rFonts w:eastAsia="Calibri" w:cs="Times New Roman"/>
          <w:sz w:val="24"/>
          <w:lang w:val="en-US"/>
        </w:rPr>
        <w:t xml:space="preserve"> protection</w:t>
      </w:r>
      <w:r w:rsidR="00D61C55">
        <w:rPr>
          <w:rFonts w:eastAsia="Calibri" w:cs="Times New Roman"/>
          <w:sz w:val="24"/>
          <w:lang w:val="en-US"/>
        </w:rPr>
        <w:t xml:space="preserve">; they are presented in Figure </w:t>
      </w:r>
      <w:r w:rsidR="005E2EA3">
        <w:rPr>
          <w:rFonts w:eastAsia="Calibri" w:cs="Times New Roman"/>
          <w:sz w:val="24"/>
          <w:lang w:val="en-US"/>
        </w:rPr>
        <w:t>2</w:t>
      </w:r>
      <w:r w:rsidR="00D61C55">
        <w:rPr>
          <w:rFonts w:eastAsia="Calibri" w:cs="Times New Roman"/>
          <w:sz w:val="24"/>
          <w:lang w:val="en-US"/>
        </w:rPr>
        <w:t xml:space="preserve"> and </w:t>
      </w:r>
      <w:r w:rsidR="00ED0141">
        <w:rPr>
          <w:rFonts w:eastAsia="Calibri" w:cs="Times New Roman"/>
          <w:sz w:val="24"/>
          <w:lang w:val="en-US"/>
        </w:rPr>
        <w:t>in</w:t>
      </w:r>
      <w:r w:rsidR="00D61C55">
        <w:rPr>
          <w:rFonts w:eastAsia="Calibri" w:cs="Times New Roman"/>
          <w:sz w:val="24"/>
          <w:lang w:val="en-US"/>
        </w:rPr>
        <w:t xml:space="preserve"> the main text).</w:t>
      </w:r>
    </w:p>
    <w:tbl>
      <w:tblPr>
        <w:tblStyle w:val="Tabelamrea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14"/>
        <w:gridCol w:w="3081"/>
        <w:gridCol w:w="990"/>
        <w:gridCol w:w="1216"/>
        <w:gridCol w:w="1671"/>
      </w:tblGrid>
      <w:tr w:rsidR="00373D46" w:rsidRPr="00945725" w14:paraId="21B4692B" w14:textId="77777777" w:rsidTr="00BE1F82">
        <w:tc>
          <w:tcPr>
            <w:tcW w:w="21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A44C118" w14:textId="77777777" w:rsidR="00373D46" w:rsidRPr="00945725" w:rsidRDefault="00373D46" w:rsidP="007A4B73">
            <w:pPr>
              <w:rPr>
                <w:rFonts w:eastAsia="Calibri" w:cs="Times New Roman"/>
                <w:b/>
                <w:sz w:val="20"/>
                <w:szCs w:val="20"/>
              </w:rPr>
            </w:pPr>
            <w:bookmarkStart w:id="1" w:name="_Hlk29122837"/>
            <w:bookmarkEnd w:id="0"/>
            <w:r w:rsidRPr="00945725">
              <w:rPr>
                <w:rFonts w:eastAsia="Calibri" w:cs="Times New Roman"/>
                <w:b/>
                <w:sz w:val="20"/>
                <w:szCs w:val="20"/>
              </w:rPr>
              <w:t>Initiative</w:t>
            </w:r>
          </w:p>
        </w:tc>
        <w:tc>
          <w:tcPr>
            <w:tcW w:w="308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AB09493" w14:textId="77777777" w:rsidR="00373D46" w:rsidRPr="00945725" w:rsidRDefault="00373D46" w:rsidP="007A4B73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45725">
              <w:rPr>
                <w:rFonts w:eastAsia="Calibri" w:cs="Times New Roman"/>
                <w:b/>
                <w:sz w:val="20"/>
                <w:szCs w:val="20"/>
              </w:rPr>
              <w:t>Purpose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340C9F6" w14:textId="77777777" w:rsidR="00373D46" w:rsidRPr="00945725" w:rsidRDefault="00373D46" w:rsidP="007A4B73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45725">
              <w:rPr>
                <w:rFonts w:eastAsia="Calibri" w:cs="Times New Roman"/>
                <w:b/>
                <w:sz w:val="20"/>
                <w:szCs w:val="20"/>
              </w:rPr>
              <w:t>Duration</w:t>
            </w:r>
          </w:p>
        </w:tc>
        <w:tc>
          <w:tcPr>
            <w:tcW w:w="121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7908DD4" w14:textId="77777777" w:rsidR="00373D46" w:rsidRPr="00945725" w:rsidRDefault="00373D46" w:rsidP="007A4B73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45725">
              <w:rPr>
                <w:rFonts w:eastAsia="Calibri" w:cs="Times New Roman"/>
                <w:b/>
                <w:sz w:val="20"/>
                <w:szCs w:val="20"/>
              </w:rPr>
              <w:t>Leading country</w:t>
            </w:r>
          </w:p>
        </w:tc>
        <w:tc>
          <w:tcPr>
            <w:tcW w:w="16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F9DBEFB" w14:textId="77777777" w:rsidR="00373D46" w:rsidRPr="00945725" w:rsidRDefault="00373D46" w:rsidP="007A4B73">
            <w:pPr>
              <w:rPr>
                <w:rFonts w:eastAsia="Calibri" w:cs="Times New Roman"/>
                <w:b/>
                <w:sz w:val="20"/>
                <w:szCs w:val="20"/>
              </w:rPr>
            </w:pPr>
            <w:r w:rsidRPr="00945725">
              <w:rPr>
                <w:rFonts w:eastAsia="Calibri" w:cs="Times New Roman"/>
                <w:b/>
                <w:sz w:val="20"/>
                <w:szCs w:val="20"/>
              </w:rPr>
              <w:t>Level (Figure 1 in the article)</w:t>
            </w:r>
          </w:p>
        </w:tc>
      </w:tr>
      <w:bookmarkEnd w:id="1"/>
      <w:tr w:rsidR="00945725" w:rsidRPr="00945725" w14:paraId="521011BB" w14:textId="77777777" w:rsidTr="00BE1F82">
        <w:tc>
          <w:tcPr>
            <w:tcW w:w="211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4E11337" w14:textId="7F7C2544" w:rsidR="00945725" w:rsidRPr="00945725" w:rsidRDefault="00945725" w:rsidP="00945725">
            <w:pPr>
              <w:rPr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fldChar w:fldCharType="begin"/>
            </w:r>
            <w:r w:rsidRPr="00945725">
              <w:rPr>
                <w:rFonts w:eastAsia="Calibri" w:cs="Times New Roman"/>
                <w:sz w:val="20"/>
                <w:szCs w:val="20"/>
              </w:rPr>
              <w:instrText xml:space="preserve"> HYPERLINK "https://ocean4biotech.eu/" </w:instrText>
            </w:r>
            <w:r w:rsidRPr="00945725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45725">
              <w:rPr>
                <w:rStyle w:val="Hiperpovezava"/>
                <w:rFonts w:eastAsia="Calibri" w:cs="Times New Roman"/>
                <w:sz w:val="20"/>
                <w:szCs w:val="20"/>
              </w:rPr>
              <w:t>Ocean4Biotech</w:t>
            </w:r>
            <w:r w:rsidRPr="00945725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308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9AAE4BF" w14:textId="58AE8ECC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European transdisciplinary networking platform for marine biotechnology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4C163CF7" w14:textId="3BA913EF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2019-2023</w:t>
            </w:r>
          </w:p>
        </w:tc>
        <w:tc>
          <w:tcPr>
            <w:tcW w:w="121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0C2DB7CF" w14:textId="606E79E9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Slovenia</w:t>
            </w:r>
          </w:p>
        </w:tc>
        <w:tc>
          <w:tcPr>
            <w:tcW w:w="167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50F13F23" w14:textId="0947C16E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Science, governance, environment, industry, general public</w:t>
            </w:r>
          </w:p>
        </w:tc>
      </w:tr>
      <w:tr w:rsidR="00945725" w:rsidRPr="00945725" w14:paraId="00115C7A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4FC66C" w14:textId="3B98C0DD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4" w:history="1">
              <w:proofErr w:type="spellStart"/>
              <w:r w:rsidR="00945725" w:rsidRPr="00945725">
                <w:rPr>
                  <w:rStyle w:val="Hiperpovezava"/>
                  <w:rFonts w:eastAsia="Calibri" w:cs="Times New Roman"/>
                  <w:sz w:val="20"/>
                  <w:szCs w:val="20"/>
                </w:rPr>
                <w:t>BlueBio</w:t>
              </w:r>
              <w:proofErr w:type="spellEnd"/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7BE5B0" w14:textId="6E2BC29D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Identify new and improve existing ways of bringing bio-based products and services to the market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278393" w14:textId="1FD5E332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2018-2023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EF9B29" w14:textId="6B79A6D7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Norway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203801" w14:textId="3502705B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Governance</w:t>
            </w:r>
          </w:p>
        </w:tc>
      </w:tr>
      <w:tr w:rsidR="00945725" w:rsidRPr="00945725" w14:paraId="0BB475F4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3E3C33" w14:textId="32E68C74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5" w:history="1">
              <w:r w:rsidR="00945725" w:rsidRPr="00945725">
                <w:rPr>
                  <w:rStyle w:val="Hiperpovezava"/>
                  <w:rFonts w:eastAsia="Calibri" w:cs="Times New Roman"/>
                  <w:sz w:val="20"/>
                  <w:szCs w:val="20"/>
                </w:rPr>
                <w:t>Blue generation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983444" w14:textId="51A703AC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 xml:space="preserve">Engage young people between 15 and 29 years to pursue a sustainable career in Blue Economy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19CFF8" w14:textId="0F44CCE8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2018-2022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4C50EE" w14:textId="5D759794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Greece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C9BF16" w14:textId="0344E48F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General public, industry</w:t>
            </w:r>
          </w:p>
        </w:tc>
      </w:tr>
      <w:tr w:rsidR="00945725" w:rsidRPr="00945725" w14:paraId="1528C4C3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0073D9" w14:textId="4717D7DA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6" w:history="1">
              <w:r w:rsidR="00945725" w:rsidRPr="00945725">
                <w:rPr>
                  <w:rStyle w:val="Hiperpovezava"/>
                  <w:sz w:val="20"/>
                  <w:szCs w:val="20"/>
                </w:rPr>
                <w:t>MARISTEM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C0AEA4" w14:textId="77777777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cs="Times New Roman"/>
                <w:sz w:val="20"/>
                <w:szCs w:val="20"/>
              </w:rPr>
              <w:t>Stem cells of marine/aquatic</w:t>
            </w:r>
          </w:p>
          <w:p w14:paraId="4D690AFF" w14:textId="12F8D1BA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cs="Times New Roman"/>
                <w:sz w:val="20"/>
                <w:szCs w:val="20"/>
              </w:rPr>
              <w:t>invertebrates: from basic research to innovative applications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D7B732" w14:textId="6E9281B1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2017-2021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9BDBD8" w14:textId="05865B31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Italy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4DCFC7" w14:textId="0E650BE5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Science, governance, industry</w:t>
            </w:r>
          </w:p>
        </w:tc>
      </w:tr>
      <w:tr w:rsidR="00945725" w:rsidRPr="00945725" w14:paraId="4D096E2F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B9C51" w14:textId="12C82637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7" w:history="1">
              <w:r w:rsidR="00945725" w:rsidRPr="00945725">
                <w:rPr>
                  <w:rStyle w:val="Hiperpovezava"/>
                  <w:rFonts w:cs="Times New Roman"/>
                  <w:sz w:val="20"/>
                  <w:szCs w:val="20"/>
                </w:rPr>
                <w:t>SEAFOOD</w:t>
              </w:r>
              <w:r w:rsidR="00945725" w:rsidRPr="00945725">
                <w:rPr>
                  <w:rStyle w:val="Hiperpovezava"/>
                  <w:rFonts w:cs="Times New Roman"/>
                  <w:sz w:val="20"/>
                  <w:szCs w:val="20"/>
                  <w:vertAlign w:val="superscript"/>
                </w:rPr>
                <w:t>TOMORROW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D8AD29" w14:textId="236ED15E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cs="Times New Roman"/>
                <w:sz w:val="20"/>
                <w:szCs w:val="20"/>
              </w:rPr>
              <w:t>Nutritious, safe and sustainable seafood for consumers of tomorrow.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77E0A6" w14:textId="6D62C9C4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2017-2020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F229BA" w14:textId="01E358C2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Portugal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37B437" w14:textId="09D0BF9B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cs="Times New Roman"/>
                <w:sz w:val="20"/>
                <w:szCs w:val="20"/>
              </w:rPr>
              <w:t>Science, environment, industry</w:t>
            </w:r>
          </w:p>
        </w:tc>
      </w:tr>
      <w:tr w:rsidR="00945725" w:rsidRPr="00945725" w14:paraId="633BCEB0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695BA2" w14:textId="265F7538" w:rsidR="00945725" w:rsidRPr="00945725" w:rsidRDefault="00945725" w:rsidP="00945725">
            <w:pPr>
              <w:rPr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ANT-Biofilm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ED316A" w14:textId="3720A6C2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Microbial colonization of benthic Antarctic environments: response of microbial abundances, diversity, activities and larval settlement to natural or anthropogenic disturbances and search for secondary metabolites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8D8800" w14:textId="7AAA29E7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2017-2020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A72F56" w14:textId="6D16836B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Italy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CFA6B9" w14:textId="13BC8D7F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 xml:space="preserve">Science </w:t>
            </w:r>
          </w:p>
        </w:tc>
      </w:tr>
      <w:tr w:rsidR="00945725" w:rsidRPr="00945725" w14:paraId="6869A8E3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4088D0" w14:textId="6697A20D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8" w:history="1">
              <w:r w:rsidR="00945725" w:rsidRPr="00945725">
                <w:rPr>
                  <w:rStyle w:val="Hiperpovezava"/>
                  <w:rFonts w:eastAsia="Calibri" w:cs="Times New Roman"/>
                  <w:sz w:val="20"/>
                  <w:szCs w:val="20"/>
                </w:rPr>
                <w:t>FOCUS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D805C" w14:textId="6230C4C2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Development of a virtual platform for courses on marine biotechnology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C2195E" w14:textId="03F91FDF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2017-2019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542416" w14:textId="074855E1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Lithuania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F91A10" w14:textId="7D133E20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Science, industry, general public</w:t>
            </w:r>
          </w:p>
        </w:tc>
      </w:tr>
      <w:tr w:rsidR="00945725" w:rsidRPr="00945725" w14:paraId="0449146B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E46318" w14:textId="56B6713D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9" w:history="1">
              <w:proofErr w:type="spellStart"/>
              <w:r w:rsidR="00945725" w:rsidRPr="00945725">
                <w:rPr>
                  <w:rStyle w:val="Hiperpovezava"/>
                  <w:rFonts w:eastAsia="Calibri" w:cs="Times New Roman"/>
                  <w:sz w:val="20"/>
                  <w:szCs w:val="20"/>
                </w:rPr>
                <w:t>DNAqua</w:t>
              </w:r>
              <w:proofErr w:type="spellEnd"/>
              <w:r w:rsidR="00945725" w:rsidRPr="00945725">
                <w:rPr>
                  <w:rStyle w:val="Hiperpovezava"/>
                  <w:rFonts w:eastAsia="Calibri" w:cs="Times New Roman"/>
                  <w:sz w:val="20"/>
                  <w:szCs w:val="20"/>
                </w:rPr>
                <w:t>-Net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BA50FB" w14:textId="30230561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Developing new genetic tools for bioassessment and monitoring of aquatic ecosystems in Europe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C18F0A" w14:textId="4A923A5F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2016-2020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995503" w14:textId="66D62A12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Germany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5F40E2" w14:textId="4118F365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Science, governance, environment, industry</w:t>
            </w:r>
          </w:p>
        </w:tc>
      </w:tr>
      <w:tr w:rsidR="00945725" w:rsidRPr="00945725" w14:paraId="53BA6D3E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77B529" w14:textId="069AA3C7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10" w:history="1">
              <w:r w:rsidR="00945725" w:rsidRPr="00945725">
                <w:rPr>
                  <w:rStyle w:val="Hiperpovezava"/>
                  <w:rFonts w:eastAsia="Calibri" w:cs="Times New Roman"/>
                  <w:sz w:val="20"/>
                  <w:szCs w:val="20"/>
                </w:rPr>
                <w:t>SUBMARINER network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6D9E3E" w14:textId="7589CADA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 xml:space="preserve">A Baltic blue biotechnology alliance to advance marine biobased product development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5C7AC7" w14:textId="42380AED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2016-2019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DEFE5C" w14:textId="7B07F824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Germany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D0CFA3" w14:textId="7BC7794E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Science, industry, government</w:t>
            </w:r>
          </w:p>
        </w:tc>
      </w:tr>
      <w:tr w:rsidR="00945725" w:rsidRPr="00945725" w14:paraId="290A0A5A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5D0C69" w14:textId="7AEDAEE0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11" w:history="1">
              <w:r w:rsidR="00945725" w:rsidRPr="00945725">
                <w:rPr>
                  <w:rStyle w:val="Hiperpovezava"/>
                  <w:sz w:val="20"/>
                  <w:szCs w:val="20"/>
                </w:rPr>
                <w:t>MARINA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B1CA76" w14:textId="0B5AB90B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sz w:val="20"/>
                <w:szCs w:val="20"/>
              </w:rPr>
              <w:t>Share knowledge, including the citizens’ vision and societal needs, create synergies between research &amp; innovation and the environmental safeguard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B0D670" w14:textId="3279A39A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2016-2019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1F6668" w14:textId="7F862528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Italy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A89286" w14:textId="171EEFF0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 xml:space="preserve">General public, science, </w:t>
            </w:r>
            <w:r w:rsidR="000F44E0">
              <w:rPr>
                <w:rFonts w:eastAsia="Calibri" w:cs="Times New Roman"/>
                <w:sz w:val="20"/>
                <w:szCs w:val="20"/>
              </w:rPr>
              <w:t xml:space="preserve">policy makers, industry, </w:t>
            </w:r>
            <w:r w:rsidRPr="00945725">
              <w:rPr>
                <w:rFonts w:eastAsia="Calibri" w:cs="Times New Roman"/>
                <w:sz w:val="20"/>
                <w:szCs w:val="20"/>
              </w:rPr>
              <w:t>environment</w:t>
            </w:r>
          </w:p>
        </w:tc>
      </w:tr>
      <w:tr w:rsidR="00945725" w:rsidRPr="00945725" w14:paraId="6F7A9C4C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0BEF2D" w14:textId="57911D7B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12" w:history="1">
              <w:proofErr w:type="spellStart"/>
              <w:r w:rsidR="00945725" w:rsidRPr="00945725">
                <w:rPr>
                  <w:rStyle w:val="Hiperpovezava"/>
                  <w:rFonts w:cs="Times New Roman"/>
                  <w:sz w:val="20"/>
                  <w:szCs w:val="20"/>
                </w:rPr>
                <w:t>NoMorFilm</w:t>
              </w:r>
              <w:proofErr w:type="spellEnd"/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E33A56" w14:textId="7524E719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cs="Times New Roman"/>
                <w:sz w:val="20"/>
                <w:szCs w:val="20"/>
              </w:rPr>
              <w:t>Novel marine biomolecules against biofilm. application to medical devices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41B66F" w14:textId="23C2AE1C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2015-2019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0074DA" w14:textId="7E9E1DBE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Spain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8F8F56" w14:textId="12E7FD5C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cs="Times New Roman"/>
                <w:sz w:val="20"/>
                <w:szCs w:val="20"/>
              </w:rPr>
              <w:t>Science, industry</w:t>
            </w:r>
          </w:p>
        </w:tc>
      </w:tr>
      <w:tr w:rsidR="00945725" w:rsidRPr="00945725" w14:paraId="5E5F8B11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1BE061" w14:textId="266D66B4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13" w:history="1">
              <w:r w:rsidR="00945725" w:rsidRPr="00945725">
                <w:rPr>
                  <w:rStyle w:val="Hiperpovezava"/>
                  <w:rFonts w:cs="Times New Roman"/>
                  <w:sz w:val="20"/>
                  <w:szCs w:val="20"/>
                </w:rPr>
                <w:t>PHYCOMORPH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7BDD14" w14:textId="4E09CE46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cs="Times New Roman"/>
                <w:sz w:val="20"/>
                <w:szCs w:val="20"/>
              </w:rPr>
              <w:t>Advancing knowledge on seaweed growth and development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DD1B0F" w14:textId="693B26D3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2015-2019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6403A4" w14:textId="1D4D4CDD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France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EC615A" w14:textId="398A7674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cs="Times New Roman"/>
                <w:sz w:val="20"/>
                <w:szCs w:val="20"/>
              </w:rPr>
              <w:t>Science, governance, environment, industry</w:t>
            </w:r>
          </w:p>
        </w:tc>
      </w:tr>
      <w:tr w:rsidR="00945725" w:rsidRPr="00945725" w14:paraId="0AFC2160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224C1" w14:textId="5FA32465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14" w:anchor="tabs|Name:overview" w:history="1">
              <w:r w:rsidR="00945725" w:rsidRPr="00945725">
                <w:rPr>
                  <w:rStyle w:val="Hiperpovezava"/>
                  <w:rFonts w:eastAsia="Calibri" w:cs="Times New Roman"/>
                  <w:sz w:val="20"/>
                  <w:szCs w:val="20"/>
                </w:rPr>
                <w:t>EUALGAE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78D288" w14:textId="10B82F67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Development of an economical model for the commercialization of algae-based bioproducts, including fuels and fine chemical products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31A41E" w14:textId="04FF4DCD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2015-2019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71DE48" w14:textId="51585A9C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Spain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69194A" w14:textId="4598E1CC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Science, industry</w:t>
            </w:r>
          </w:p>
        </w:tc>
      </w:tr>
      <w:tr w:rsidR="00945725" w:rsidRPr="00945725" w14:paraId="78F93838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7DBAC7" w14:textId="55FE0C9A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15" w:history="1">
              <w:r w:rsidR="00945725" w:rsidRPr="00945725">
                <w:rPr>
                  <w:rStyle w:val="Hiperpovezava"/>
                  <w:sz w:val="20"/>
                  <w:szCs w:val="20"/>
                </w:rPr>
                <w:t>INMARE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735B48" w14:textId="0E365B65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Industrial applications of marine enzymes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81A942" w14:textId="565CF74C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2015-2019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470320" w14:textId="478814FF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UK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4F944E" w14:textId="4A9A542D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Science, industry</w:t>
            </w:r>
          </w:p>
        </w:tc>
      </w:tr>
      <w:tr w:rsidR="00945725" w:rsidRPr="00945725" w14:paraId="1CD8525A" w14:textId="77777777" w:rsidTr="00BF1312">
        <w:tc>
          <w:tcPr>
            <w:tcW w:w="211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F296903" w14:textId="44211A0A" w:rsidR="00945725" w:rsidRPr="00945725" w:rsidRDefault="00945725" w:rsidP="00945725">
            <w:pPr>
              <w:rPr>
                <w:sz w:val="20"/>
                <w:szCs w:val="20"/>
              </w:rPr>
            </w:pPr>
            <w:r w:rsidRPr="00945725">
              <w:rPr>
                <w:rFonts w:eastAsia="Calibri" w:cs="Times New Roman"/>
                <w:b/>
                <w:sz w:val="20"/>
                <w:szCs w:val="20"/>
              </w:rPr>
              <w:lastRenderedPageBreak/>
              <w:t>Initiative</w:t>
            </w:r>
          </w:p>
        </w:tc>
        <w:tc>
          <w:tcPr>
            <w:tcW w:w="308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2AE3ED4" w14:textId="44F0CD92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b/>
                <w:sz w:val="20"/>
                <w:szCs w:val="20"/>
              </w:rPr>
              <w:t>Purpose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1AD2156" w14:textId="650B2F01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b/>
                <w:sz w:val="20"/>
                <w:szCs w:val="20"/>
              </w:rPr>
              <w:t>Duration</w:t>
            </w:r>
          </w:p>
        </w:tc>
        <w:tc>
          <w:tcPr>
            <w:tcW w:w="121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9E49D4F" w14:textId="791738D0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b/>
                <w:sz w:val="20"/>
                <w:szCs w:val="20"/>
              </w:rPr>
              <w:t>Leading country</w:t>
            </w:r>
          </w:p>
        </w:tc>
        <w:tc>
          <w:tcPr>
            <w:tcW w:w="167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273BAF7" w14:textId="0AEB82A5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b/>
                <w:sz w:val="20"/>
                <w:szCs w:val="20"/>
              </w:rPr>
              <w:t>Level (Figure 1 in the article)</w:t>
            </w:r>
          </w:p>
        </w:tc>
      </w:tr>
      <w:tr w:rsidR="00945725" w:rsidRPr="00945725" w14:paraId="43CD4DB5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42B304" w14:textId="1CD761C2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16" w:history="1">
              <w:r w:rsidR="00945725" w:rsidRPr="00945725">
                <w:rPr>
                  <w:rStyle w:val="Hiperpovezava"/>
                  <w:sz w:val="20"/>
                  <w:szCs w:val="20"/>
                </w:rPr>
                <w:t>EMBRIC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DA641D" w14:textId="0DCE0188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Promote new applications derived from marine organisms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3F8733" w14:textId="331D7EC5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2015-2019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328120" w14:textId="0D952688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France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907B0B" w14:textId="2DF3F684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Science</w:t>
            </w:r>
          </w:p>
        </w:tc>
      </w:tr>
      <w:tr w:rsidR="00945725" w:rsidRPr="00945725" w14:paraId="67EDBBA5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D34AE0" w14:textId="0D54EE58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17" w:history="1">
              <w:proofErr w:type="spellStart"/>
              <w:r w:rsidR="00945725" w:rsidRPr="00945725">
                <w:rPr>
                  <w:rStyle w:val="Hiperpovezava"/>
                  <w:sz w:val="20"/>
                  <w:szCs w:val="20"/>
                </w:rPr>
                <w:t>Searica</w:t>
              </w:r>
              <w:proofErr w:type="spellEnd"/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EC60EC" w14:textId="0E485BB2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Protection of marine biodiversity, marine and maritime research, maritime industries, marine renewable energies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4F06A3" w14:textId="08F27836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Since 2015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BE914D" w14:textId="58FA5A1A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Belgium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91B01" w14:textId="175F70EA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Governance</w:t>
            </w:r>
          </w:p>
        </w:tc>
      </w:tr>
      <w:tr w:rsidR="00945725" w:rsidRPr="00945725" w14:paraId="68085063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BBBD59" w14:textId="542F9B22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18" w:history="1">
              <w:proofErr w:type="spellStart"/>
              <w:r w:rsidR="00945725" w:rsidRPr="00945725">
                <w:rPr>
                  <w:rStyle w:val="Hiperpovezava"/>
                  <w:sz w:val="20"/>
                  <w:szCs w:val="20"/>
                </w:rPr>
                <w:t>MarineBiotech</w:t>
              </w:r>
              <w:proofErr w:type="spellEnd"/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5BE0AA" w14:textId="415F4802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Pool resources to undertake joint funding of transnational projects in the area of Marine Biotechnology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C6B1B8" w14:textId="7F5A5AB3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2014-2017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9CE97D" w14:textId="48568D66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Norway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B62DD1" w14:textId="3B7B4C02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Governance</w:t>
            </w:r>
          </w:p>
        </w:tc>
      </w:tr>
      <w:tr w:rsidR="00945725" w:rsidRPr="00945725" w14:paraId="10934DFA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97E386" w14:textId="0E0729BD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19" w:history="1">
              <w:proofErr w:type="spellStart"/>
              <w:r w:rsidR="00945725" w:rsidRPr="00945725">
                <w:rPr>
                  <w:rStyle w:val="Hiperpovezava"/>
                  <w:sz w:val="20"/>
                  <w:szCs w:val="20"/>
                </w:rPr>
                <w:t>PharmaSea</w:t>
              </w:r>
              <w:proofErr w:type="spellEnd"/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004D3E" w14:textId="43D8F1BB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Biodiscovery research and development for the commercialization of new substances from marine organisms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A031E5" w14:textId="74BE6401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2012-2017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A6E705" w14:textId="470F68BC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Belgium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F999EF" w14:textId="3531BD34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Science, governance, environment, industry</w:t>
            </w:r>
          </w:p>
        </w:tc>
      </w:tr>
      <w:tr w:rsidR="00945725" w:rsidRPr="00945725" w14:paraId="6C9353C8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9B0EEE" w14:textId="5D2C8AC1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20" w:history="1">
              <w:r w:rsidR="00945725" w:rsidRPr="00945725">
                <w:rPr>
                  <w:rStyle w:val="Hiperpovezava"/>
                  <w:rFonts w:cs="Times New Roman"/>
                  <w:sz w:val="20"/>
                  <w:szCs w:val="20"/>
                </w:rPr>
                <w:t>IDREEM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98B9C4" w14:textId="10D40182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cs="Times New Roman"/>
                <w:sz w:val="20"/>
                <w:szCs w:val="20"/>
              </w:rPr>
              <w:t xml:space="preserve">Innovative resource efficient technologies, processes and services in European </w:t>
            </w:r>
            <w:proofErr w:type="spellStart"/>
            <w:r w:rsidRPr="00945725">
              <w:rPr>
                <w:rFonts w:cs="Times New Roman"/>
                <w:sz w:val="20"/>
                <w:szCs w:val="20"/>
              </w:rPr>
              <w:t>Mariculture</w:t>
            </w:r>
            <w:proofErr w:type="spellEnd"/>
            <w:r w:rsidRPr="00945725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1B9767" w14:textId="304A8137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2012-2016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8C265A" w14:textId="354BDC2B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UK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A84607" w14:textId="3A4A3883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cs="Times New Roman"/>
                <w:sz w:val="20"/>
                <w:szCs w:val="20"/>
              </w:rPr>
              <w:t>Science, governance, environment, industry</w:t>
            </w:r>
          </w:p>
        </w:tc>
      </w:tr>
      <w:tr w:rsidR="00945725" w:rsidRPr="00945725" w14:paraId="29922EAC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72538A" w14:textId="3FA73E93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21" w:history="1">
              <w:proofErr w:type="spellStart"/>
              <w:r w:rsidR="00945725" w:rsidRPr="00945725">
                <w:rPr>
                  <w:rStyle w:val="Hiperpovezava"/>
                  <w:sz w:val="20"/>
                  <w:szCs w:val="20"/>
                </w:rPr>
                <w:t>SeaBioTech</w:t>
              </w:r>
              <w:proofErr w:type="spellEnd"/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FBA144" w14:textId="0E18678B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The potential of marine biodiversity for industrial biotechnology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664FCB" w14:textId="594906AD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2012-2016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101164" w14:textId="61920A1D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UK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77E4D3" w14:textId="3A9AF09F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Science, governance, environment, industry</w:t>
            </w:r>
          </w:p>
        </w:tc>
      </w:tr>
      <w:tr w:rsidR="00945725" w:rsidRPr="00945725" w14:paraId="104FDB16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B25367" w14:textId="0D0ECA99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22" w:history="1">
              <w:proofErr w:type="spellStart"/>
              <w:r w:rsidR="00945725" w:rsidRPr="00945725">
                <w:rPr>
                  <w:rStyle w:val="Hiperpovezava"/>
                  <w:sz w:val="20"/>
                  <w:szCs w:val="20"/>
                </w:rPr>
                <w:t>MaCuMBA</w:t>
              </w:r>
              <w:proofErr w:type="spellEnd"/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365F1A" w14:textId="0B7F0084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Cultivation methods for improving the biotechnological applications of marine microorganisms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EB2344" w14:textId="22436C85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2012-2016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B4B1BD" w14:textId="0FA6F65F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The Netherlands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133E75" w14:textId="13465C01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Science</w:t>
            </w:r>
          </w:p>
        </w:tc>
      </w:tr>
      <w:tr w:rsidR="00945725" w:rsidRPr="00945725" w14:paraId="2F8CE227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E3FC72" w14:textId="6AAF2CA6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23" w:history="1">
              <w:r w:rsidR="00945725" w:rsidRPr="00945725">
                <w:rPr>
                  <w:rStyle w:val="Hiperpovezava"/>
                  <w:sz w:val="20"/>
                  <w:szCs w:val="20"/>
                </w:rPr>
                <w:t>Micro B</w:t>
              </w:r>
              <w:r w:rsidR="00945725" w:rsidRPr="00945725">
                <w:rPr>
                  <w:rStyle w:val="Hiperpovezava"/>
                  <w:sz w:val="20"/>
                  <w:szCs w:val="20"/>
                  <w:vertAlign w:val="subscript"/>
                </w:rPr>
                <w:t>3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58927C" w14:textId="5D50CA86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Marine microbial biodiversity, bioinformatics, biotechnology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F85632" w14:textId="7F7657EF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2012-2015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0F8A05" w14:textId="7A18632F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Germany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2E8ABA" w14:textId="14A1E98E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Science</w:t>
            </w:r>
          </w:p>
        </w:tc>
      </w:tr>
      <w:tr w:rsidR="00945725" w:rsidRPr="00945725" w14:paraId="04EB5278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74B0B7" w14:textId="369B0FAE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24" w:history="1">
              <w:r w:rsidR="00945725" w:rsidRPr="00945725">
                <w:rPr>
                  <w:rStyle w:val="Hiperpovezava"/>
                  <w:rFonts w:eastAsia="Calibri" w:cs="Times New Roman"/>
                  <w:sz w:val="20"/>
                  <w:szCs w:val="20"/>
                </w:rPr>
                <w:t>MIRRI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C4502" w14:textId="75B560B9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Microbial resource research infrastructure providing high quality microorganisms, associated data and partner expertise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E02030" w14:textId="4A4C833B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Since 2012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3FAFB3" w14:textId="7453492B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Portugal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4443D6" w14:textId="3A2AF58D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Science, environment</w:t>
            </w:r>
          </w:p>
        </w:tc>
      </w:tr>
      <w:tr w:rsidR="00945725" w:rsidRPr="00945725" w14:paraId="43E48A4F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9849D2" w14:textId="295DB97A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25" w:history="1">
              <w:r w:rsidR="00945725" w:rsidRPr="00945725">
                <w:rPr>
                  <w:rStyle w:val="Hiperpovezava"/>
                  <w:rFonts w:eastAsia="Calibri" w:cs="Times New Roman"/>
                  <w:sz w:val="20"/>
                  <w:szCs w:val="20"/>
                </w:rPr>
                <w:t>BAMMBO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550656" w14:textId="0BA13FC9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Sustainable production of biologically active molecules of marine based origin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E0CD44" w14:textId="4418B9EB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2011-2015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2F49C6" w14:textId="03A1332F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Ireland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2E00E2" w14:textId="5A353823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Science, industry</w:t>
            </w:r>
          </w:p>
        </w:tc>
      </w:tr>
      <w:tr w:rsidR="00945725" w:rsidRPr="00945725" w14:paraId="10199571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C4B7D7" w14:textId="62C8F89C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26" w:history="1">
              <w:proofErr w:type="spellStart"/>
              <w:r w:rsidR="00945725" w:rsidRPr="00945725">
                <w:rPr>
                  <w:rStyle w:val="Hiperpovezava"/>
                  <w:sz w:val="20"/>
                  <w:szCs w:val="20"/>
                </w:rPr>
                <w:t>MarineFungi</w:t>
              </w:r>
              <w:proofErr w:type="spellEnd"/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CDA3BA" w14:textId="52F6768E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Natural products from marine fungi for the treatment of cancer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0ECA46" w14:textId="542EF60F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2011-2014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729FA6" w14:textId="28A27A70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Germany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6349F9" w14:textId="7C3FDE1F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Science, industry</w:t>
            </w:r>
          </w:p>
        </w:tc>
      </w:tr>
      <w:tr w:rsidR="00945725" w:rsidRPr="00945725" w14:paraId="613A63FF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2D13C7" w14:textId="23BA97DB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27" w:history="1">
              <w:r w:rsidR="00945725" w:rsidRPr="00945725">
                <w:rPr>
                  <w:rStyle w:val="Hiperpovezava"/>
                  <w:sz w:val="20"/>
                  <w:szCs w:val="20"/>
                </w:rPr>
                <w:t>EMBRC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5C87AB" w14:textId="4860734A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Research infrastructure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CD84D0" w14:textId="3733C9B5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Since 2011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6CE34C" w14:textId="58CDE6D7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France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58BC3E" w14:textId="6E1DA7E2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Science, environment</w:t>
            </w:r>
          </w:p>
        </w:tc>
      </w:tr>
      <w:tr w:rsidR="00945725" w:rsidRPr="00945725" w14:paraId="11D19274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B193C9" w14:textId="4E61E14B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28" w:history="1">
              <w:r w:rsidR="00945725" w:rsidRPr="00945725">
                <w:rPr>
                  <w:rStyle w:val="Hiperpovezava"/>
                  <w:rFonts w:eastAsia="Calibri" w:cs="Times New Roman"/>
                  <w:sz w:val="20"/>
                  <w:szCs w:val="20"/>
                </w:rPr>
                <w:t>MAREX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7F500D" w14:textId="1C0CC6FA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Discovery of marine diversity, compound isolation, characterization, bioactivity screening and finally to the evaluation of industrial feasibility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2EC7E2" w14:textId="313A184C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2010-2014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B6F5AE" w14:textId="1CC2ED49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Finland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FBE01E" w14:textId="7D15BC8B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Science, industry</w:t>
            </w:r>
          </w:p>
        </w:tc>
      </w:tr>
      <w:tr w:rsidR="00945725" w:rsidRPr="00945725" w14:paraId="13D89AD1" w14:textId="77777777" w:rsidTr="00BE1F82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431702" w14:textId="307AA168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29" w:history="1">
              <w:r w:rsidR="00945725" w:rsidRPr="00945725">
                <w:rPr>
                  <w:rStyle w:val="Hiperpovezava"/>
                  <w:rFonts w:cs="Times New Roman"/>
                  <w:sz w:val="20"/>
                  <w:szCs w:val="20"/>
                </w:rPr>
                <w:t>NETALGAE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D6A53B" w14:textId="6B8EE62D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cs="Times New Roman"/>
                <w:sz w:val="20"/>
                <w:szCs w:val="20"/>
              </w:rPr>
              <w:t>Inter-regional network to promote sustainable development in the marine algal industry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8DABDE" w14:textId="64212C8E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2010-2012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0718A0" w14:textId="67B7261D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Ireland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4875B6" w14:textId="783E2144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cs="Times New Roman"/>
                <w:sz w:val="20"/>
                <w:szCs w:val="20"/>
              </w:rPr>
              <w:t>Science, governance, environment, industry</w:t>
            </w:r>
          </w:p>
        </w:tc>
      </w:tr>
      <w:tr w:rsidR="00945725" w:rsidRPr="00945725" w14:paraId="14F75F83" w14:textId="77777777" w:rsidTr="00945725"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CFB70D" w14:textId="158108C5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30" w:history="1">
              <w:r w:rsidR="00945725" w:rsidRPr="00945725">
                <w:rPr>
                  <w:rStyle w:val="Hiperpovezava"/>
                  <w:rFonts w:cs="Times New Roman"/>
                  <w:sz w:val="20"/>
                  <w:szCs w:val="20"/>
                </w:rPr>
                <w:t>Marine Genomics Europe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AE15AA" w14:textId="123A27A4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cs="Times New Roman"/>
                <w:sz w:val="20"/>
                <w:szCs w:val="20"/>
              </w:rPr>
              <w:t>Development, utilization and spreading of high-throughput genomic approaches for the study of the biology of marine organisms and the functioning of marine ecosystems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81C71E" w14:textId="5C0F6949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2004-2008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C091C1" w14:textId="564703E3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France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A47A5E" w14:textId="7D6D0AA8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cs="Times New Roman"/>
                <w:sz w:val="20"/>
                <w:szCs w:val="20"/>
              </w:rPr>
              <w:t>General public, science, environment</w:t>
            </w:r>
          </w:p>
        </w:tc>
      </w:tr>
      <w:tr w:rsidR="00945725" w:rsidRPr="00945725" w14:paraId="7D712D2B" w14:textId="77777777" w:rsidTr="00945725">
        <w:tc>
          <w:tcPr>
            <w:tcW w:w="211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78C4C75E" w14:textId="1969292F" w:rsidR="00945725" w:rsidRPr="00945725" w:rsidRDefault="000F44E0" w:rsidP="00945725">
            <w:pPr>
              <w:rPr>
                <w:sz w:val="20"/>
                <w:szCs w:val="20"/>
              </w:rPr>
            </w:pPr>
            <w:hyperlink r:id="rId31" w:history="1">
              <w:r w:rsidR="00945725" w:rsidRPr="00945725">
                <w:rPr>
                  <w:rStyle w:val="Hiperpovezava"/>
                  <w:sz w:val="20"/>
                  <w:szCs w:val="20"/>
                </w:rPr>
                <w:t>European Marine Board</w:t>
              </w:r>
            </w:hyperlink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3021554A" w14:textId="725DB03F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European think tank in marine science policy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09D1C058" w14:textId="0F3F63FA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Since 1995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4ECC95E2" w14:textId="0DEB2C17" w:rsidR="00945725" w:rsidRPr="00945725" w:rsidRDefault="00945725" w:rsidP="00945725">
            <w:pPr>
              <w:rPr>
                <w:rFonts w:eastAsia="Calibri"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Belgium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199ED57F" w14:textId="12071FA9" w:rsidR="00945725" w:rsidRPr="00945725" w:rsidRDefault="00945725" w:rsidP="00945725">
            <w:pPr>
              <w:rPr>
                <w:rFonts w:cs="Times New Roman"/>
                <w:sz w:val="20"/>
                <w:szCs w:val="20"/>
              </w:rPr>
            </w:pPr>
            <w:r w:rsidRPr="00945725">
              <w:rPr>
                <w:rFonts w:eastAsia="Calibri" w:cs="Times New Roman"/>
                <w:sz w:val="20"/>
                <w:szCs w:val="20"/>
              </w:rPr>
              <w:t>Governance</w:t>
            </w:r>
          </w:p>
        </w:tc>
      </w:tr>
    </w:tbl>
    <w:p w14:paraId="26332FE9" w14:textId="77777777" w:rsidR="007A4B73" w:rsidRDefault="007A4B73"/>
    <w:sectPr w:rsidR="007A4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B73"/>
    <w:rsid w:val="00021250"/>
    <w:rsid w:val="000A6F9E"/>
    <w:rsid w:val="000F44E0"/>
    <w:rsid w:val="0014503E"/>
    <w:rsid w:val="00156E7F"/>
    <w:rsid w:val="00184696"/>
    <w:rsid w:val="001A6F30"/>
    <w:rsid w:val="00230A0F"/>
    <w:rsid w:val="00291A18"/>
    <w:rsid w:val="00333806"/>
    <w:rsid w:val="00354E20"/>
    <w:rsid w:val="003600AE"/>
    <w:rsid w:val="00373D46"/>
    <w:rsid w:val="0038488D"/>
    <w:rsid w:val="00386C3B"/>
    <w:rsid w:val="003C230D"/>
    <w:rsid w:val="003D455C"/>
    <w:rsid w:val="00451013"/>
    <w:rsid w:val="004521C2"/>
    <w:rsid w:val="004D43D6"/>
    <w:rsid w:val="00510A8F"/>
    <w:rsid w:val="00552046"/>
    <w:rsid w:val="005561AE"/>
    <w:rsid w:val="00575A64"/>
    <w:rsid w:val="005B5907"/>
    <w:rsid w:val="005D213E"/>
    <w:rsid w:val="005E2EA3"/>
    <w:rsid w:val="005F3658"/>
    <w:rsid w:val="00637B1E"/>
    <w:rsid w:val="00696087"/>
    <w:rsid w:val="007702AB"/>
    <w:rsid w:val="007770E1"/>
    <w:rsid w:val="007A4B73"/>
    <w:rsid w:val="007B6DE5"/>
    <w:rsid w:val="007E2F78"/>
    <w:rsid w:val="007E6536"/>
    <w:rsid w:val="007F3A17"/>
    <w:rsid w:val="00824426"/>
    <w:rsid w:val="00854169"/>
    <w:rsid w:val="008B2C2E"/>
    <w:rsid w:val="00900852"/>
    <w:rsid w:val="009354D3"/>
    <w:rsid w:val="009447C4"/>
    <w:rsid w:val="00945725"/>
    <w:rsid w:val="00967C05"/>
    <w:rsid w:val="009764D7"/>
    <w:rsid w:val="0098066E"/>
    <w:rsid w:val="00980A9B"/>
    <w:rsid w:val="00994DE0"/>
    <w:rsid w:val="009E4EF6"/>
    <w:rsid w:val="009F794B"/>
    <w:rsid w:val="00AC69DC"/>
    <w:rsid w:val="00AF6E2F"/>
    <w:rsid w:val="00B0136A"/>
    <w:rsid w:val="00B06181"/>
    <w:rsid w:val="00B65CA9"/>
    <w:rsid w:val="00BA270F"/>
    <w:rsid w:val="00BA6EBE"/>
    <w:rsid w:val="00BB6CED"/>
    <w:rsid w:val="00BE1F82"/>
    <w:rsid w:val="00CB1643"/>
    <w:rsid w:val="00CF1ACE"/>
    <w:rsid w:val="00CF7853"/>
    <w:rsid w:val="00D06819"/>
    <w:rsid w:val="00D14E95"/>
    <w:rsid w:val="00D3640F"/>
    <w:rsid w:val="00D61C55"/>
    <w:rsid w:val="00D77206"/>
    <w:rsid w:val="00DA1D00"/>
    <w:rsid w:val="00DC11C2"/>
    <w:rsid w:val="00DE69C2"/>
    <w:rsid w:val="00E54439"/>
    <w:rsid w:val="00ED0141"/>
    <w:rsid w:val="00F062C8"/>
    <w:rsid w:val="00F145D4"/>
    <w:rsid w:val="00F21B86"/>
    <w:rsid w:val="00F44638"/>
    <w:rsid w:val="00F44D14"/>
    <w:rsid w:val="00F6072B"/>
    <w:rsid w:val="00FF1D18"/>
    <w:rsid w:val="00FF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74251"/>
  <w15:chartTrackingRefBased/>
  <w15:docId w15:val="{ADA9BCFA-89A1-484F-8BFC-2E7622916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67C05"/>
    <w:rPr>
      <w:rFonts w:ascii="Times New Roman" w:hAnsi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7A4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A4B73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59"/>
    <w:rsid w:val="007A4B73"/>
    <w:pPr>
      <w:spacing w:after="0" w:line="240" w:lineRule="auto"/>
    </w:pPr>
    <w:rPr>
      <w:rFonts w:ascii="Cambria" w:hAnsi="Cambr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B65CA9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B65CA9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18469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84696"/>
    <w:pPr>
      <w:spacing w:before="120" w:after="240" w:line="240" w:lineRule="auto"/>
    </w:pPr>
    <w:rPr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84696"/>
    <w:rPr>
      <w:rFonts w:ascii="Times New Roman" w:hAnsi="Times New Roman"/>
      <w:sz w:val="20"/>
      <w:szCs w:val="20"/>
      <w:lang w:val="en-US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156E7F"/>
    <w:rPr>
      <w:color w:val="605E5C"/>
      <w:shd w:val="clear" w:color="auto" w:fill="E1DFDD"/>
    </w:rPr>
  </w:style>
  <w:style w:type="table" w:customStyle="1" w:styleId="Tabelamrea1">
    <w:name w:val="Tabela – mreža1"/>
    <w:basedOn w:val="Navadnatabela"/>
    <w:next w:val="Tabelamrea"/>
    <w:uiPriority w:val="39"/>
    <w:rsid w:val="007770E1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log1">
    <w:name w:val="Slog1"/>
    <w:basedOn w:val="Navaden"/>
    <w:link w:val="Slog1Znak"/>
    <w:rsid w:val="0014503E"/>
    <w:pPr>
      <w:spacing w:after="0" w:line="240" w:lineRule="auto"/>
    </w:pPr>
    <w:rPr>
      <w:rFonts w:eastAsia="Calibri" w:cs="Times New Roman"/>
      <w:color w:val="0000FF"/>
      <w:sz w:val="24"/>
      <w:szCs w:val="24"/>
      <w:u w:val="single"/>
      <w:lang w:val="en-US"/>
    </w:rPr>
  </w:style>
  <w:style w:type="character" w:styleId="Nerazreenaomemba">
    <w:name w:val="Unresolved Mention"/>
    <w:basedOn w:val="Privzetapisavaodstavka"/>
    <w:uiPriority w:val="99"/>
    <w:semiHidden/>
    <w:unhideWhenUsed/>
    <w:rsid w:val="008B2C2E"/>
    <w:rPr>
      <w:color w:val="605E5C"/>
      <w:shd w:val="clear" w:color="auto" w:fill="E1DFDD"/>
    </w:rPr>
  </w:style>
  <w:style w:type="character" w:customStyle="1" w:styleId="Slog1Znak">
    <w:name w:val="Slog1 Znak"/>
    <w:basedOn w:val="Privzetapisavaodstavka"/>
    <w:link w:val="Slog1"/>
    <w:rsid w:val="0014503E"/>
    <w:rPr>
      <w:rFonts w:ascii="Times New Roman" w:eastAsia="Calibri" w:hAnsi="Times New Roman" w:cs="Times New Roman"/>
      <w:color w:val="0000FF"/>
      <w:sz w:val="24"/>
      <w:szCs w:val="24"/>
      <w:u w:val="sing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u.lt/focus/" TargetMode="External"/><Relationship Id="rId13" Type="http://schemas.openxmlformats.org/officeDocument/2006/relationships/hyperlink" Target="http://phycomorph.org/" TargetMode="External"/><Relationship Id="rId18" Type="http://schemas.openxmlformats.org/officeDocument/2006/relationships/hyperlink" Target="http://www.marinebiotech.eu/" TargetMode="External"/><Relationship Id="rId26" Type="http://schemas.openxmlformats.org/officeDocument/2006/relationships/hyperlink" Target="https://cordis.europa.eu/project/rcn/98779/factsheet/e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spider.science.strath.ac.uk/seabiotech/" TargetMode="External"/><Relationship Id="rId7" Type="http://schemas.openxmlformats.org/officeDocument/2006/relationships/hyperlink" Target="https://seafoodtomorrow.eu/" TargetMode="External"/><Relationship Id="rId12" Type="http://schemas.openxmlformats.org/officeDocument/2006/relationships/hyperlink" Target="http://www.nomorfilm.eu/" TargetMode="External"/><Relationship Id="rId17" Type="http://schemas.openxmlformats.org/officeDocument/2006/relationships/hyperlink" Target="http://searica.eu/en/" TargetMode="External"/><Relationship Id="rId25" Type="http://schemas.openxmlformats.org/officeDocument/2006/relationships/hyperlink" Target="https://cordis.europa.eu/project/rcn/97837/factsheet/en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embric.eu/" TargetMode="External"/><Relationship Id="rId20" Type="http://schemas.openxmlformats.org/officeDocument/2006/relationships/hyperlink" Target="http://www.idreem.eu/cms/home/" TargetMode="External"/><Relationship Id="rId29" Type="http://schemas.openxmlformats.org/officeDocument/2006/relationships/hyperlink" Target="http://www.netalgae.eu/index-en.php" TargetMode="External"/><Relationship Id="rId1" Type="http://schemas.openxmlformats.org/officeDocument/2006/relationships/styles" Target="styles.xml"/><Relationship Id="rId6" Type="http://schemas.openxmlformats.org/officeDocument/2006/relationships/hyperlink" Target="http://maristem.eu/" TargetMode="External"/><Relationship Id="rId11" Type="http://schemas.openxmlformats.org/officeDocument/2006/relationships/hyperlink" Target="https://www.marinaproject.eu/" TargetMode="External"/><Relationship Id="rId24" Type="http://schemas.openxmlformats.org/officeDocument/2006/relationships/hyperlink" Target="https://www.mirri.org/home.html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bluegeneration.org/index.php/en/" TargetMode="External"/><Relationship Id="rId15" Type="http://schemas.openxmlformats.org/officeDocument/2006/relationships/hyperlink" Target="http://www.inmare-h2020.eu/" TargetMode="External"/><Relationship Id="rId23" Type="http://schemas.openxmlformats.org/officeDocument/2006/relationships/hyperlink" Target="https://www.microb3.eu/" TargetMode="External"/><Relationship Id="rId28" Type="http://schemas.openxmlformats.org/officeDocument/2006/relationships/hyperlink" Target="https://www.marex.fi/" TargetMode="External"/><Relationship Id="rId10" Type="http://schemas.openxmlformats.org/officeDocument/2006/relationships/hyperlink" Target="https://www.submariner-network.eu/balticbluebioalliance" TargetMode="External"/><Relationship Id="rId19" Type="http://schemas.openxmlformats.org/officeDocument/2006/relationships/hyperlink" Target="http://www.pharma-sea.eu/" TargetMode="External"/><Relationship Id="rId31" Type="http://schemas.openxmlformats.org/officeDocument/2006/relationships/hyperlink" Target="http://www.marineboard.eu/" TargetMode="External"/><Relationship Id="rId4" Type="http://schemas.openxmlformats.org/officeDocument/2006/relationships/hyperlink" Target="https://bluebioeconomy.eu/" TargetMode="External"/><Relationship Id="rId9" Type="http://schemas.openxmlformats.org/officeDocument/2006/relationships/hyperlink" Target="http://dnaqua.net/" TargetMode="External"/><Relationship Id="rId14" Type="http://schemas.openxmlformats.org/officeDocument/2006/relationships/hyperlink" Target="https://www.cost.eu/actions/ES1408/" TargetMode="External"/><Relationship Id="rId22" Type="http://schemas.openxmlformats.org/officeDocument/2006/relationships/hyperlink" Target="https://www.macumbaproject.eu/" TargetMode="External"/><Relationship Id="rId27" Type="http://schemas.openxmlformats.org/officeDocument/2006/relationships/hyperlink" Target="http://www.embrc.eu/" TargetMode="External"/><Relationship Id="rId30" Type="http://schemas.openxmlformats.org/officeDocument/2006/relationships/hyperlink" Target="https://cordis.europa.eu/project/id/505403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911</Words>
  <Characters>5416</Characters>
  <Application>Microsoft Office Word</Application>
  <DocSecurity>0</DocSecurity>
  <Lines>82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Rotter</dc:creator>
  <cp:keywords/>
  <dc:description/>
  <cp:lastModifiedBy>Ana Rotter</cp:lastModifiedBy>
  <cp:revision>11</cp:revision>
  <dcterms:created xsi:type="dcterms:W3CDTF">2019-11-17T08:33:00Z</dcterms:created>
  <dcterms:modified xsi:type="dcterms:W3CDTF">2020-04-22T13:21:00Z</dcterms:modified>
</cp:coreProperties>
</file>