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83D39" w14:textId="664D51A4" w:rsidR="00FA1481" w:rsidRDefault="00FA1481" w:rsidP="00E40896">
      <w:pPr>
        <w:jc w:val="center"/>
        <w:rPr>
          <w:sz w:val="36"/>
          <w:szCs w:val="36"/>
        </w:rPr>
      </w:pP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3D30D059" w14:textId="5B43D96F" w:rsidR="0010277C" w:rsidRDefault="0010277C" w:rsidP="0010277C">
      <w:pPr>
        <w:pStyle w:val="Titl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shallow seabed dynamic gas hydrate system off SW Taiwan: Results from 3D seismic, thermal, and fluid migration analyses </w:t>
      </w:r>
    </w:p>
    <w:p w14:paraId="54F96F5C" w14:textId="77777777" w:rsidR="0010277C" w:rsidRPr="0010277C" w:rsidRDefault="0010277C" w:rsidP="0010277C"/>
    <w:p w14:paraId="29650800" w14:textId="2C757C1E" w:rsidR="0010277C" w:rsidRDefault="0010277C" w:rsidP="0010277C">
      <w:pPr>
        <w:jc w:val="center"/>
        <w:rPr>
          <w:vertAlign w:val="superscript"/>
        </w:rPr>
      </w:pPr>
      <w:r w:rsidRPr="001A11EC">
        <w:t>Pascal Kunath</w:t>
      </w:r>
      <w:r w:rsidRPr="001A11EC">
        <w:rPr>
          <w:vertAlign w:val="superscript"/>
        </w:rPr>
        <w:t>1, 2</w:t>
      </w:r>
      <w:r w:rsidRPr="001A11EC">
        <w:t>, Wu-Cheng Chi</w:t>
      </w:r>
      <w:r w:rsidRPr="001A11EC">
        <w:rPr>
          <w:vertAlign w:val="superscript"/>
        </w:rPr>
        <w:t>2</w:t>
      </w:r>
      <w:r w:rsidRPr="001A11EC">
        <w:t>, Christian Berndt</w:t>
      </w:r>
      <w:r w:rsidRPr="001A11EC">
        <w:rPr>
          <w:vertAlign w:val="superscript"/>
        </w:rPr>
        <w:t>3</w:t>
      </w:r>
      <w:r w:rsidRPr="001A11EC">
        <w:t xml:space="preserve">, </w:t>
      </w:r>
      <w:proofErr w:type="spellStart"/>
      <w:r w:rsidRPr="001A11EC">
        <w:t>Liwen</w:t>
      </w:r>
      <w:proofErr w:type="spellEnd"/>
      <w:r w:rsidRPr="001A11EC">
        <w:t xml:space="preserve"> Chen</w:t>
      </w:r>
      <w:r>
        <w:rPr>
          <w:vertAlign w:val="superscript"/>
        </w:rPr>
        <w:t>4</w:t>
      </w:r>
      <w:r w:rsidRPr="001A11EC">
        <w:t>, Char-Shine Liu</w:t>
      </w:r>
      <w:r w:rsidR="008D2248">
        <w:rPr>
          <w:vertAlign w:val="superscript"/>
        </w:rPr>
        <w:t>5</w:t>
      </w:r>
      <w:r w:rsidRPr="0010277C">
        <w:t>,</w:t>
      </w:r>
      <w:r>
        <w:rPr>
          <w:vertAlign w:val="superscript"/>
        </w:rPr>
        <w:t xml:space="preserve"> </w:t>
      </w:r>
      <w:r w:rsidRPr="0010277C">
        <w:t>Dirk Kläschen</w:t>
      </w:r>
      <w:r>
        <w:rPr>
          <w:vertAlign w:val="superscript"/>
        </w:rPr>
        <w:t>3</w:t>
      </w:r>
      <w:r w:rsidRPr="0010277C">
        <w:t>,</w:t>
      </w:r>
      <w:r>
        <w:rPr>
          <w:vertAlign w:val="superscript"/>
        </w:rPr>
        <w:t xml:space="preserve"> </w:t>
      </w:r>
      <w:r w:rsidRPr="0010277C">
        <w:t xml:space="preserve">and </w:t>
      </w:r>
      <w:proofErr w:type="spellStart"/>
      <w:r w:rsidRPr="0010277C">
        <w:t>Sina</w:t>
      </w:r>
      <w:proofErr w:type="spellEnd"/>
      <w:r w:rsidRPr="0010277C">
        <w:t xml:space="preserve"> Muff</w:t>
      </w:r>
      <w:r>
        <w:rPr>
          <w:vertAlign w:val="superscript"/>
        </w:rPr>
        <w:t>3</w:t>
      </w:r>
    </w:p>
    <w:p w14:paraId="0579F68B" w14:textId="02D9E04B" w:rsidR="0010277C" w:rsidRDefault="0010277C" w:rsidP="0010277C">
      <w:pPr>
        <w:jc w:val="center"/>
        <w:rPr>
          <w:vertAlign w:val="superscript"/>
        </w:rPr>
      </w:pPr>
    </w:p>
    <w:p w14:paraId="7B7E5510" w14:textId="77777777" w:rsidR="0010277C" w:rsidRPr="001A11EC" w:rsidRDefault="0010277C" w:rsidP="0010277C">
      <w:pPr>
        <w:jc w:val="center"/>
        <w:rPr>
          <w:vertAlign w:val="superscript"/>
        </w:rPr>
      </w:pPr>
    </w:p>
    <w:p w14:paraId="0EA33D39" w14:textId="77777777" w:rsidR="0010277C" w:rsidRPr="001A11EC" w:rsidRDefault="0010277C" w:rsidP="0010277C">
      <w:pPr>
        <w:pStyle w:val="NoSpacing"/>
        <w:jc w:val="center"/>
        <w:rPr>
          <w:szCs w:val="24"/>
        </w:rPr>
      </w:pPr>
      <w:r w:rsidRPr="001A11EC">
        <w:rPr>
          <w:szCs w:val="24"/>
          <w:vertAlign w:val="superscript"/>
        </w:rPr>
        <w:t xml:space="preserve">1 </w:t>
      </w:r>
      <w:r w:rsidRPr="001A11EC">
        <w:rPr>
          <w:szCs w:val="24"/>
        </w:rPr>
        <w:t>Institute of Oceanography, National Taiwan University, Taiwan</w:t>
      </w:r>
    </w:p>
    <w:p w14:paraId="27707CFD" w14:textId="77777777" w:rsidR="0010277C" w:rsidRPr="001A11EC" w:rsidRDefault="0010277C" w:rsidP="0010277C">
      <w:pPr>
        <w:pStyle w:val="NoSpacing"/>
        <w:jc w:val="center"/>
        <w:rPr>
          <w:szCs w:val="24"/>
        </w:rPr>
      </w:pPr>
      <w:r w:rsidRPr="001A11EC">
        <w:rPr>
          <w:szCs w:val="24"/>
          <w:vertAlign w:val="superscript"/>
        </w:rPr>
        <w:t>2</w:t>
      </w:r>
      <w:r w:rsidRPr="001A11EC">
        <w:rPr>
          <w:szCs w:val="24"/>
        </w:rPr>
        <w:t>Institute of Earth Sciences, Academia Sinica, Taiwan</w:t>
      </w:r>
    </w:p>
    <w:p w14:paraId="511861EB" w14:textId="77777777" w:rsidR="008D2248" w:rsidRDefault="0010277C" w:rsidP="00C11B48">
      <w:pPr>
        <w:pStyle w:val="NoSpacing"/>
        <w:jc w:val="center"/>
        <w:rPr>
          <w:szCs w:val="24"/>
        </w:rPr>
      </w:pPr>
      <w:r w:rsidRPr="001A11EC">
        <w:rPr>
          <w:szCs w:val="24"/>
          <w:vertAlign w:val="superscript"/>
        </w:rPr>
        <w:t>3</w:t>
      </w:r>
      <w:r w:rsidRPr="001A11EC">
        <w:rPr>
          <w:szCs w:val="24"/>
        </w:rPr>
        <w:t>Helmholtz Centre for Ocean Research Kiel, GEOMAR, Germany</w:t>
      </w:r>
    </w:p>
    <w:p w14:paraId="2A6657FC" w14:textId="77777777" w:rsidR="008D2248" w:rsidRDefault="008D2248" w:rsidP="00C11B48">
      <w:pPr>
        <w:pStyle w:val="NoSpacing"/>
        <w:jc w:val="center"/>
        <w:rPr>
          <w:vertAlign w:val="superscript"/>
        </w:rPr>
      </w:pPr>
      <w:r>
        <w:rPr>
          <w:szCs w:val="24"/>
          <w:vertAlign w:val="superscript"/>
        </w:rPr>
        <w:t>4</w:t>
      </w:r>
      <w:r w:rsidRPr="002F3575">
        <w:rPr>
          <w:color w:val="000000"/>
          <w:szCs w:val="24"/>
          <w:shd w:val="clear" w:color="auto" w:fill="FFFFFF"/>
        </w:rPr>
        <w:t>Marine Science and Information Research Center, National Academy of Marine Research</w:t>
      </w:r>
      <w:r w:rsidRPr="00FB4B06">
        <w:rPr>
          <w:vertAlign w:val="superscript"/>
        </w:rPr>
        <w:t xml:space="preserve"> </w:t>
      </w:r>
    </w:p>
    <w:p w14:paraId="71891EDF" w14:textId="16C538D1" w:rsidR="00094365" w:rsidRPr="00CE6EAA" w:rsidRDefault="008D2248" w:rsidP="00C11B48">
      <w:pPr>
        <w:pStyle w:val="NoSpacing"/>
        <w:jc w:val="center"/>
        <w:rPr>
          <w:rFonts w:ascii="Myriad Pro" w:hAnsi="Myriad Pro"/>
          <w:sz w:val="22"/>
          <w:szCs w:val="22"/>
        </w:rPr>
      </w:pPr>
      <w:r>
        <w:rPr>
          <w:vertAlign w:val="superscript"/>
        </w:rPr>
        <w:t>5</w:t>
      </w:r>
      <w:r w:rsidR="0010277C" w:rsidRPr="00FB4B06">
        <w:t>Ocean Center, National Taiwan University</w:t>
      </w:r>
      <w:r w:rsidR="0010277C">
        <w:t>, Taiwan</w:t>
      </w:r>
      <w:r w:rsidR="00A50033"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A3126DA" w14:textId="77777777" w:rsidR="00DB492A" w:rsidRDefault="00DB492A" w:rsidP="00111843">
      <w:pPr>
        <w:rPr>
          <w:rFonts w:ascii="Myriad Pro" w:hAnsi="Myriad Pro"/>
          <w:b/>
        </w:rPr>
      </w:pPr>
    </w:p>
    <w:p w14:paraId="1F13291B" w14:textId="6993DBA8" w:rsidR="00E43D2D" w:rsidRPr="00E40896" w:rsidRDefault="00DB492A" w:rsidP="00111843">
      <w:pPr>
        <w:rPr>
          <w:rFonts w:ascii="Myriad Pro" w:hAnsi="Myriad Pro"/>
        </w:rPr>
      </w:pPr>
      <w:r>
        <w:rPr>
          <w:rFonts w:ascii="Myriad Pro" w:hAnsi="Myriad Pro"/>
        </w:rPr>
        <w:tab/>
        <w:t>Text S5</w:t>
      </w:r>
    </w:p>
    <w:p w14:paraId="0363B503" w14:textId="7C485FCE" w:rsidR="00DB492A" w:rsidRDefault="0010277C" w:rsidP="00111843">
      <w:pPr>
        <w:ind w:left="720"/>
        <w:rPr>
          <w:rFonts w:ascii="Myriad Pro" w:hAnsi="Myriad Pro"/>
          <w:sz w:val="22"/>
          <w:szCs w:val="22"/>
        </w:rPr>
      </w:pPr>
      <w:r w:rsidRPr="0010277C">
        <w:rPr>
          <w:rFonts w:ascii="Myriad Pro" w:hAnsi="Myriad Pro"/>
          <w:sz w:val="22"/>
          <w:szCs w:val="22"/>
        </w:rPr>
        <w:t>Figures S1 to S</w:t>
      </w:r>
      <w:r w:rsidR="00DB492A">
        <w:rPr>
          <w:rFonts w:ascii="Myriad Pro" w:hAnsi="Myriad Pro"/>
          <w:sz w:val="22"/>
          <w:szCs w:val="22"/>
        </w:rPr>
        <w:t>5</w:t>
      </w:r>
    </w:p>
    <w:p w14:paraId="7F9060FC" w14:textId="77777777" w:rsidR="00DB492A" w:rsidRDefault="00DB492A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2426B707" w14:textId="063CE559" w:rsidR="0010277C" w:rsidRPr="00DB492A" w:rsidRDefault="00281DCB" w:rsidP="00DB492A">
      <w:pPr>
        <w:rPr>
          <w:b/>
          <w:sz w:val="32"/>
          <w:szCs w:val="22"/>
        </w:rPr>
      </w:pPr>
      <w:r>
        <w:rPr>
          <w:b/>
          <w:sz w:val="32"/>
          <w:szCs w:val="22"/>
        </w:rPr>
        <w:lastRenderedPageBreak/>
        <w:t>Text for</w:t>
      </w:r>
      <w:r w:rsidR="00DB492A" w:rsidRPr="00DB492A">
        <w:rPr>
          <w:b/>
          <w:sz w:val="32"/>
          <w:szCs w:val="22"/>
        </w:rPr>
        <w:t xml:space="preserve"> S5 </w:t>
      </w:r>
    </w:p>
    <w:p w14:paraId="1AD45B24" w14:textId="77777777" w:rsidR="00DB492A" w:rsidRPr="00DB492A" w:rsidRDefault="00DB492A" w:rsidP="00111843">
      <w:pPr>
        <w:ind w:left="720"/>
        <w:rPr>
          <w:b/>
          <w:sz w:val="32"/>
          <w:szCs w:val="22"/>
        </w:rPr>
      </w:pPr>
    </w:p>
    <w:p w14:paraId="7586362A" w14:textId="1D1B5E79" w:rsidR="00DB492A" w:rsidRPr="00DB492A" w:rsidRDefault="00DB492A" w:rsidP="00DB492A">
      <w:pPr>
        <w:rPr>
          <w:b/>
          <w:sz w:val="32"/>
          <w:szCs w:val="22"/>
        </w:rPr>
      </w:pPr>
      <w:r w:rsidRPr="00DB492A">
        <w:rPr>
          <w:b/>
          <w:sz w:val="28"/>
          <w:szCs w:val="24"/>
        </w:rPr>
        <w:t xml:space="preserve">Analysis of the Double BSRs: </w:t>
      </w:r>
      <w:r w:rsidR="00281DCB">
        <w:rPr>
          <w:b/>
          <w:sz w:val="28"/>
          <w:szCs w:val="24"/>
        </w:rPr>
        <w:t>Sensitivity Tests</w:t>
      </w:r>
      <w:r w:rsidR="00C03483">
        <w:rPr>
          <w:b/>
          <w:sz w:val="28"/>
          <w:szCs w:val="24"/>
        </w:rPr>
        <w:t xml:space="preserve"> of </w:t>
      </w:r>
      <w:r w:rsidRPr="00DB492A">
        <w:rPr>
          <w:b/>
          <w:sz w:val="28"/>
          <w:szCs w:val="24"/>
        </w:rPr>
        <w:t>Higher-order Hydrocarbon Gas</w:t>
      </w:r>
    </w:p>
    <w:p w14:paraId="27AD51CB" w14:textId="77777777" w:rsidR="00DB492A" w:rsidRPr="00DB492A" w:rsidRDefault="00DB492A" w:rsidP="00111843">
      <w:pPr>
        <w:ind w:left="720"/>
        <w:rPr>
          <w:b/>
          <w:sz w:val="28"/>
          <w:szCs w:val="22"/>
        </w:rPr>
      </w:pPr>
    </w:p>
    <w:p w14:paraId="028AF7A8" w14:textId="67E598FD" w:rsidR="00E40E3E" w:rsidRDefault="00DB492A" w:rsidP="00E40E3E">
      <w:r w:rsidRPr="00DB492A">
        <w:rPr>
          <w:szCs w:val="24"/>
        </w:rPr>
        <w:t xml:space="preserve">To test admixing of methane with higher-order hydrocarbon gases as </w:t>
      </w:r>
      <w:r w:rsidR="00342172">
        <w:rPr>
          <w:szCs w:val="24"/>
        </w:rPr>
        <w:t xml:space="preserve">a </w:t>
      </w:r>
      <w:r w:rsidRPr="00DB492A">
        <w:rPr>
          <w:szCs w:val="24"/>
        </w:rPr>
        <w:t xml:space="preserve">possible cause for the formation of a second BSR below BSR2, </w:t>
      </w:r>
      <w:r w:rsidR="00E40E3E">
        <w:rPr>
          <w:szCs w:val="24"/>
        </w:rPr>
        <w:t xml:space="preserve">the observed BSR depth was compared to the predicted BGHSZ for different methane-ethane gas compositions (Fig. S5). The theoretical predictions were made using P-T phase boundary curves for hydrates for fractions of ethane gas up to 0.15. The pressure was assumed to be hydrostatic and </w:t>
      </w:r>
      <w:r w:rsidR="00342172">
        <w:rPr>
          <w:szCs w:val="24"/>
        </w:rPr>
        <w:t>the</w:t>
      </w:r>
      <w:r w:rsidR="00E40E3E">
        <w:rPr>
          <w:szCs w:val="24"/>
        </w:rPr>
        <w:t xml:space="preserve"> water</w:t>
      </w:r>
      <w:r w:rsidR="00E40E3E" w:rsidRPr="00DB492A">
        <w:rPr>
          <w:szCs w:val="24"/>
        </w:rPr>
        <w:t xml:space="preserve"> temperatures and geothermal gradients from our calculations of the BSR temperature gradients</w:t>
      </w:r>
      <w:r w:rsidR="00342172">
        <w:rPr>
          <w:szCs w:val="24"/>
        </w:rPr>
        <w:t xml:space="preserve"> were used</w:t>
      </w:r>
      <w:r w:rsidR="00E40E3E">
        <w:rPr>
          <w:szCs w:val="24"/>
        </w:rPr>
        <w:t>.</w:t>
      </w:r>
      <w:r w:rsidR="00E40E3E" w:rsidRPr="00E40E3E">
        <w:t xml:space="preserve"> </w:t>
      </w:r>
      <w:r w:rsidR="00342172">
        <w:t>E</w:t>
      </w:r>
      <w:r w:rsidR="00E40E3E" w:rsidRPr="00DB492A">
        <w:t xml:space="preserve">thane </w:t>
      </w:r>
      <w:r w:rsidR="00342172">
        <w:t>was assumed to be the only</w:t>
      </w:r>
      <w:r w:rsidR="00E40E3E" w:rsidRPr="00DB492A">
        <w:t xml:space="preserve"> hydrate forming gas</w:t>
      </w:r>
      <w:r w:rsidR="00342172">
        <w:t>,</w:t>
      </w:r>
      <w:r w:rsidR="00E40E3E" w:rsidRPr="00DB492A">
        <w:t xml:space="preserve"> </w:t>
      </w:r>
      <w:r w:rsidR="00342172">
        <w:t>as a</w:t>
      </w:r>
      <w:r w:rsidR="001025F2">
        <w:t xml:space="preserve"> significant contribution </w:t>
      </w:r>
      <w:r w:rsidR="00342172">
        <w:t>from</w:t>
      </w:r>
      <w:r w:rsidR="001025F2">
        <w:t xml:space="preserve"> </w:t>
      </w:r>
      <w:proofErr w:type="spellStart"/>
      <w:r w:rsidR="001025F2">
        <w:t>thermogenic</w:t>
      </w:r>
      <w:proofErr w:type="spellEnd"/>
      <w:r w:rsidR="001025F2">
        <w:t xml:space="preserve"> gas has been not reported in </w:t>
      </w:r>
      <w:r w:rsidR="00342172">
        <w:t>the</w:t>
      </w:r>
      <w:r w:rsidR="001025F2">
        <w:t xml:space="preserve"> study area (Chuang et al., 2010</w:t>
      </w:r>
      <w:r w:rsidR="00245A01">
        <w:t>; Chen et al., 2017</w:t>
      </w:r>
      <w:r w:rsidR="001025F2">
        <w:t>). Nonetheless, the calculation</w:t>
      </w:r>
      <w:r w:rsidR="00342172">
        <w:t>s</w:t>
      </w:r>
      <w:r w:rsidR="001025F2">
        <w:t xml:space="preserve"> are qualitative due to </w:t>
      </w:r>
      <w:r w:rsidR="001025F2" w:rsidRPr="00DB492A">
        <w:t>a</w:t>
      </w:r>
      <w:r w:rsidR="00E40E3E" w:rsidRPr="00DB492A">
        <w:t xml:space="preserve"> lack of information on gas composition in </w:t>
      </w:r>
      <w:r w:rsidR="00342172">
        <w:t>the</w:t>
      </w:r>
      <w:r w:rsidR="00E40E3E" w:rsidRPr="00DB492A">
        <w:t xml:space="preserve"> study area</w:t>
      </w:r>
      <w:r w:rsidR="001025F2">
        <w:t>. Further details are described in</w:t>
      </w:r>
      <w:r w:rsidR="00342172">
        <w:t xml:space="preserve"> the figure caption for Fig. S5</w:t>
      </w:r>
      <w:r w:rsidR="001025F2">
        <w:t>.</w:t>
      </w:r>
    </w:p>
    <w:p w14:paraId="207B86E1" w14:textId="77777777" w:rsidR="00A936EA" w:rsidRDefault="00A936EA" w:rsidP="00E40E3E"/>
    <w:p w14:paraId="3DF21E76" w14:textId="0C875B9A" w:rsidR="00A936EA" w:rsidRDefault="00A936EA" w:rsidP="00E40E3E">
      <w:pPr>
        <w:rPr>
          <w:b/>
          <w:sz w:val="28"/>
        </w:rPr>
      </w:pPr>
      <w:r w:rsidRPr="00A936EA">
        <w:rPr>
          <w:b/>
          <w:sz w:val="28"/>
        </w:rPr>
        <w:t>References</w:t>
      </w:r>
    </w:p>
    <w:p w14:paraId="127944BB" w14:textId="68EE6542" w:rsidR="00A936EA" w:rsidRDefault="00A936EA" w:rsidP="00E40E3E">
      <w:pPr>
        <w:rPr>
          <w:b/>
          <w:sz w:val="28"/>
        </w:rPr>
      </w:pPr>
    </w:p>
    <w:p w14:paraId="0DC30342" w14:textId="77777777" w:rsidR="00736541" w:rsidRPr="00DB51E9" w:rsidRDefault="00736541" w:rsidP="00736541">
      <w:pPr>
        <w:pStyle w:val="CitaviBibliography"/>
        <w:spacing w:after="160"/>
        <w:rPr>
          <w:rFonts w:ascii="Times New Roman" w:hAnsi="Times New Roman" w:cs="Times New Roman"/>
          <w:sz w:val="24"/>
          <w:szCs w:val="24"/>
        </w:rPr>
      </w:pPr>
      <w:r w:rsidRPr="00DB51E9">
        <w:rPr>
          <w:rFonts w:ascii="Times New Roman" w:hAnsi="Times New Roman" w:cs="Times New Roman"/>
          <w:sz w:val="24"/>
          <w:szCs w:val="24"/>
          <w:shd w:val="clear" w:color="auto" w:fill="FFFFFF"/>
        </w:rPr>
        <w:t>Chen, N. C., Yang, T. F., Hong, W. L., Chen, H. W., Chen, H. C., Hu, C. Y., et al., (2017). Production, consumption, and migration of methane in accretionary prism of southwestern Taiwan. </w:t>
      </w:r>
      <w:r w:rsidRPr="00DB51E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Geochemistry, Geophysics, Geosystems</w:t>
      </w:r>
      <w:r w:rsidRPr="00DB51E9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DB51E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18</w:t>
      </w:r>
      <w:r w:rsidRPr="00DB51E9">
        <w:rPr>
          <w:rFonts w:ascii="Times New Roman" w:hAnsi="Times New Roman" w:cs="Times New Roman"/>
          <w:sz w:val="24"/>
          <w:szCs w:val="24"/>
          <w:shd w:val="clear" w:color="auto" w:fill="FFFFFF"/>
        </w:rPr>
        <w:t>(8), 2970-2989.</w:t>
      </w:r>
    </w:p>
    <w:p w14:paraId="4B1B2C0C" w14:textId="77777777" w:rsidR="00A936EA" w:rsidRPr="00DB51E9" w:rsidRDefault="00A936EA" w:rsidP="00A936EA">
      <w:pPr>
        <w:pStyle w:val="CitaviBibliography"/>
        <w:spacing w:after="160"/>
        <w:rPr>
          <w:rFonts w:ascii="Times New Roman" w:hAnsi="Times New Roman" w:cs="Times New Roman"/>
          <w:sz w:val="24"/>
          <w:szCs w:val="24"/>
        </w:rPr>
      </w:pPr>
      <w:r w:rsidRPr="00DB51E9">
        <w:rPr>
          <w:rFonts w:ascii="Times New Roman" w:hAnsi="Times New Roman" w:cs="Times New Roman"/>
          <w:sz w:val="24"/>
          <w:szCs w:val="24"/>
          <w:shd w:val="clear" w:color="auto" w:fill="FFFFFF"/>
        </w:rPr>
        <w:t>Chuang, P. C., Yang, T. F., Hong, W. L., Lin, S., Sun, C. H., Lin, A. T., Chen, J., Wang, Y. and Chung, S. H. (2010). Estimation of methane flux offshore SW Taiwan and the influence of tectonics on gas hydrate accumulation. </w:t>
      </w:r>
      <w:proofErr w:type="spellStart"/>
      <w:r w:rsidRPr="00DB51E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Geofluids</w:t>
      </w:r>
      <w:proofErr w:type="spellEnd"/>
      <w:r w:rsidRPr="00DB51E9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DB51E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10</w:t>
      </w:r>
      <w:r w:rsidRPr="00DB51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(4), 497-510. </w:t>
      </w:r>
      <w:r w:rsidRPr="00DB51E9">
        <w:rPr>
          <w:rFonts w:ascii="Times New Roman" w:hAnsi="Times New Roman" w:cs="Times New Roman"/>
          <w:sz w:val="24"/>
          <w:szCs w:val="24"/>
        </w:rPr>
        <w:t>DOI: 10.1111/j.1468-8123.2010.00313.x.</w:t>
      </w:r>
    </w:p>
    <w:p w14:paraId="514E7CEB" w14:textId="77777777" w:rsidR="00A936EA" w:rsidRPr="00A936EA" w:rsidRDefault="00A936EA" w:rsidP="00E40E3E">
      <w:pPr>
        <w:rPr>
          <w:b/>
          <w:sz w:val="28"/>
        </w:rPr>
      </w:pPr>
    </w:p>
    <w:p w14:paraId="4620AD54" w14:textId="2248D1EF" w:rsidR="0010277C" w:rsidRDefault="0010277C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50AAABE6" w14:textId="77777777" w:rsidR="0010277C" w:rsidRDefault="0010277C" w:rsidP="0010277C">
      <w:pPr>
        <w:keepNext/>
        <w:ind w:left="720"/>
        <w:jc w:val="center"/>
      </w:pPr>
      <w:r>
        <w:rPr>
          <w:rFonts w:ascii="Myriad Pro" w:hAnsi="Myriad Pro"/>
          <w:noProof/>
          <w:lang w:eastAsia="zh-TW"/>
        </w:rPr>
        <w:lastRenderedPageBreak/>
        <w:drawing>
          <wp:inline distT="0" distB="0" distL="0" distR="0" wp14:anchorId="3B6D9A38" wp14:editId="5212DBAF">
            <wp:extent cx="5486400" cy="28327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_4WCR_10m_hf_dz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171A" w14:textId="77777777" w:rsidR="0010277C" w:rsidRDefault="0010277C" w:rsidP="0010277C"/>
    <w:p w14:paraId="4299EC51" w14:textId="250E0F7B" w:rsidR="0010277C" w:rsidRDefault="0010277C" w:rsidP="0010277C">
      <w:r w:rsidRPr="0010277C">
        <w:rPr>
          <w:b/>
        </w:rPr>
        <w:t>S1:</w:t>
      </w:r>
      <w:r w:rsidRPr="0010277C">
        <w:t xml:space="preserve"> Bathymetry map of </w:t>
      </w:r>
      <w:r w:rsidR="007737D9">
        <w:t>4WCR</w:t>
      </w:r>
      <w:r w:rsidRPr="0010277C">
        <w:t xml:space="preserve"> with locations of successful deployments of seafloor heat probe measurements</w:t>
      </w:r>
      <w:r w:rsidR="002E6169">
        <w:t>.</w:t>
      </w:r>
      <w:r w:rsidRPr="0010277C">
        <w:t xml:space="preserve"> Geothermal gradients </w:t>
      </w:r>
      <w:r w:rsidR="002E6169">
        <w:t xml:space="preserve">are </w:t>
      </w:r>
      <w:r w:rsidRPr="0010277C">
        <w:t xml:space="preserve">in </w:t>
      </w:r>
      <w:proofErr w:type="spellStart"/>
      <w:r w:rsidRPr="0010277C">
        <w:rPr>
          <w:vertAlign w:val="superscript"/>
        </w:rPr>
        <w:t>o</w:t>
      </w:r>
      <w:r w:rsidRPr="0010277C">
        <w:t>C</w:t>
      </w:r>
      <w:proofErr w:type="spellEnd"/>
      <w:r w:rsidRPr="0010277C">
        <w:t>/km and heat flow</w:t>
      </w:r>
      <w:r w:rsidR="002E6169">
        <w:t xml:space="preserve"> values are</w:t>
      </w:r>
      <w:r w:rsidRPr="0010277C">
        <w:t xml:space="preserve"> in </w:t>
      </w:r>
      <w:proofErr w:type="spellStart"/>
      <w:r w:rsidRPr="0010277C">
        <w:t>mW</w:t>
      </w:r>
      <w:proofErr w:type="spellEnd"/>
      <w:r w:rsidRPr="0010277C">
        <w:t>/m</w:t>
      </w:r>
      <w:r w:rsidRPr="0010277C">
        <w:rPr>
          <w:vertAlign w:val="superscript"/>
        </w:rPr>
        <w:t>2</w:t>
      </w:r>
      <w:r w:rsidRPr="0010277C">
        <w:t>.</w:t>
      </w:r>
    </w:p>
    <w:p w14:paraId="534AC44E" w14:textId="43B0AA74" w:rsidR="0010277C" w:rsidRDefault="0010277C" w:rsidP="0010277C"/>
    <w:p w14:paraId="6B88010D" w14:textId="1C3B0DFC" w:rsidR="0010277C" w:rsidRDefault="0010277C" w:rsidP="0010277C"/>
    <w:p w14:paraId="20942B87" w14:textId="2C2A9829" w:rsidR="0010277C" w:rsidRDefault="0010277C" w:rsidP="0010277C"/>
    <w:p w14:paraId="791C2679" w14:textId="781DBF63" w:rsidR="0010277C" w:rsidRPr="0010277C" w:rsidRDefault="0010277C" w:rsidP="0010277C">
      <w:r>
        <w:rPr>
          <w:noProof/>
          <w:lang w:eastAsia="zh-TW"/>
        </w:rPr>
        <w:drawing>
          <wp:inline distT="0" distB="0" distL="0" distR="0" wp14:anchorId="284427C9" wp14:editId="6EAEAAE3">
            <wp:extent cx="5486400" cy="1132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2_4WCR_BSRdtdz - discre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6F0B" w14:textId="77777777" w:rsidR="002C030F" w:rsidRPr="00E40896" w:rsidRDefault="002C030F">
      <w:pPr>
        <w:rPr>
          <w:rFonts w:ascii="Myriad Pro" w:hAnsi="Myriad Pro"/>
        </w:rPr>
      </w:pPr>
    </w:p>
    <w:p w14:paraId="2DC19AAD" w14:textId="4256C2DB" w:rsidR="0010277C" w:rsidRDefault="0010277C" w:rsidP="00B9440A">
      <w:pPr>
        <w:pStyle w:val="SMcaption"/>
        <w:rPr>
          <w:lang w:eastAsia="zh-TW"/>
        </w:rPr>
      </w:pPr>
      <w:r w:rsidRPr="0010277C">
        <w:rPr>
          <w:b/>
        </w:rPr>
        <w:t>S2:</w:t>
      </w:r>
      <w:r w:rsidRPr="0010277C">
        <w:t xml:space="preserve"> BSR-derived geothermal gradient with geothermal gradients from seafloor heat probe measurements. Discrepancies between thermal gradient</w:t>
      </w:r>
      <w:r w:rsidR="002E6169">
        <w:t>s</w:t>
      </w:r>
      <w:r w:rsidRPr="0010277C">
        <w:t xml:space="preserve"> from </w:t>
      </w:r>
      <w:r w:rsidR="002E6169">
        <w:t xml:space="preserve">the </w:t>
      </w:r>
      <w:r w:rsidRPr="0010277C">
        <w:t>heat probe and BSR are annotated for all heat probes</w:t>
      </w:r>
      <w:r>
        <w:rPr>
          <w:rFonts w:hint="eastAsia"/>
          <w:lang w:eastAsia="zh-TW"/>
        </w:rPr>
        <w:t>.</w:t>
      </w:r>
    </w:p>
    <w:p w14:paraId="3A953B91" w14:textId="74CD58AD" w:rsidR="0010277C" w:rsidRDefault="0010277C" w:rsidP="00B9440A">
      <w:pPr>
        <w:pStyle w:val="SMcaption"/>
        <w:rPr>
          <w:lang w:eastAsia="zh-TW"/>
        </w:rPr>
      </w:pPr>
    </w:p>
    <w:p w14:paraId="04CFE401" w14:textId="4873F785" w:rsidR="0010277C" w:rsidRDefault="0088225B" w:rsidP="00B9440A">
      <w:pPr>
        <w:pStyle w:val="SMcaption"/>
        <w:rPr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23EB95AA" wp14:editId="34F653CA">
            <wp:extent cx="5486400" cy="66452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3_GG_Discrepanc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1F31" w14:textId="71892C82" w:rsidR="0010277C" w:rsidRDefault="0010277C" w:rsidP="00B9440A">
      <w:pPr>
        <w:pStyle w:val="SMcaption"/>
        <w:rPr>
          <w:lang w:eastAsia="zh-TW"/>
        </w:rPr>
      </w:pPr>
    </w:p>
    <w:p w14:paraId="367D75EE" w14:textId="25FA0E5F" w:rsidR="00D40947" w:rsidRDefault="0010277C" w:rsidP="00B9440A">
      <w:pPr>
        <w:pStyle w:val="SMcaption"/>
        <w:rPr>
          <w:lang w:eastAsia="zh-TW"/>
        </w:rPr>
      </w:pPr>
      <w:r w:rsidRPr="0010277C">
        <w:rPr>
          <w:b/>
          <w:lang w:eastAsia="zh-TW"/>
        </w:rPr>
        <w:t>S3:</w:t>
      </w:r>
      <w:r w:rsidRPr="0010277C">
        <w:rPr>
          <w:lang w:eastAsia="zh-TW"/>
        </w:rPr>
        <w:t xml:space="preserve"> </w:t>
      </w:r>
      <w:r w:rsidR="00773971" w:rsidRPr="00773971">
        <w:rPr>
          <w:b/>
          <w:lang w:eastAsia="zh-TW"/>
        </w:rPr>
        <w:t>a.</w:t>
      </w:r>
      <w:r w:rsidR="00773971">
        <w:rPr>
          <w:lang w:eastAsia="zh-TW"/>
        </w:rPr>
        <w:t xml:space="preserve"> BSR depth map. </w:t>
      </w:r>
      <w:r w:rsidR="00773971" w:rsidRPr="00773971">
        <w:rPr>
          <w:b/>
          <w:lang w:eastAsia="zh-TW"/>
        </w:rPr>
        <w:t>b.</w:t>
      </w:r>
      <w:r w:rsidR="00773971">
        <w:rPr>
          <w:lang w:eastAsia="zh-TW"/>
        </w:rPr>
        <w:t xml:space="preserve"> BSR sub-bottom depth. </w:t>
      </w:r>
      <w:r w:rsidR="00773971" w:rsidRPr="00773971">
        <w:rPr>
          <w:b/>
          <w:lang w:eastAsia="zh-TW"/>
        </w:rPr>
        <w:t>c</w:t>
      </w:r>
      <w:r w:rsidRPr="00773971">
        <w:rPr>
          <w:b/>
          <w:lang w:eastAsia="zh-TW"/>
        </w:rPr>
        <w:t>.</w:t>
      </w:r>
      <w:r w:rsidRPr="0010277C">
        <w:rPr>
          <w:lang w:eastAsia="zh-TW"/>
        </w:rPr>
        <w:t xml:space="preserve"> BS</w:t>
      </w:r>
      <w:r w:rsidR="00773971">
        <w:rPr>
          <w:lang w:eastAsia="zh-TW"/>
        </w:rPr>
        <w:t xml:space="preserve">R-derived geothermal gradient. </w:t>
      </w:r>
      <w:r w:rsidR="00773971" w:rsidRPr="00773971">
        <w:rPr>
          <w:b/>
          <w:lang w:eastAsia="zh-TW"/>
        </w:rPr>
        <w:t>d</w:t>
      </w:r>
      <w:r w:rsidRPr="00773971">
        <w:rPr>
          <w:b/>
          <w:lang w:eastAsia="zh-TW"/>
        </w:rPr>
        <w:t>.</w:t>
      </w:r>
      <w:r w:rsidRPr="0010277C">
        <w:rPr>
          <w:lang w:eastAsia="zh-TW"/>
        </w:rPr>
        <w:t xml:space="preserve"> </w:t>
      </w:r>
      <w:r w:rsidR="003D06B3">
        <w:rPr>
          <w:rFonts w:cstheme="minorHAnsi"/>
          <w:szCs w:val="24"/>
        </w:rPr>
        <w:t>3</w:t>
      </w:r>
      <w:r w:rsidR="003D06B3" w:rsidRPr="00A477D1">
        <w:rPr>
          <w:rFonts w:cstheme="minorHAnsi"/>
          <w:szCs w:val="24"/>
        </w:rPr>
        <w:t>D steady-state conductive-only numerical modeling of the topographic effects</w:t>
      </w:r>
      <w:r w:rsidR="00773971">
        <w:rPr>
          <w:lang w:eastAsia="zh-TW"/>
        </w:rPr>
        <w:t xml:space="preserve">. </w:t>
      </w:r>
      <w:proofErr w:type="gramStart"/>
      <w:r w:rsidR="00773971" w:rsidRPr="00773971">
        <w:rPr>
          <w:b/>
          <w:lang w:eastAsia="zh-TW"/>
        </w:rPr>
        <w:t>e-f</w:t>
      </w:r>
      <w:proofErr w:type="gramEnd"/>
      <w:r w:rsidRPr="00773971">
        <w:rPr>
          <w:b/>
          <w:lang w:eastAsia="zh-TW"/>
        </w:rPr>
        <w:t>.</w:t>
      </w:r>
      <w:r w:rsidRPr="0010277C">
        <w:rPr>
          <w:lang w:eastAsia="zh-TW"/>
        </w:rPr>
        <w:t xml:space="preserve"> </w:t>
      </w:r>
      <w:r w:rsidR="007737D9">
        <w:rPr>
          <w:lang w:eastAsia="zh-TW"/>
        </w:rPr>
        <w:t>Geothermal gradient d</w:t>
      </w:r>
      <w:r w:rsidRPr="0010277C">
        <w:rPr>
          <w:lang w:eastAsia="zh-TW"/>
        </w:rPr>
        <w:t xml:space="preserve">iscrepancies between </w:t>
      </w:r>
      <w:r w:rsidR="002E6169">
        <w:rPr>
          <w:lang w:eastAsia="zh-TW"/>
        </w:rPr>
        <w:t xml:space="preserve">the </w:t>
      </w:r>
      <w:r w:rsidRPr="0010277C">
        <w:rPr>
          <w:lang w:eastAsia="zh-TW"/>
        </w:rPr>
        <w:t xml:space="preserve">numerical model and </w:t>
      </w:r>
      <w:r w:rsidR="002E6169">
        <w:rPr>
          <w:lang w:eastAsia="zh-TW"/>
        </w:rPr>
        <w:t xml:space="preserve">the </w:t>
      </w:r>
      <w:r w:rsidRPr="0010277C">
        <w:rPr>
          <w:lang w:eastAsia="zh-TW"/>
        </w:rPr>
        <w:t>BSR.</w:t>
      </w:r>
    </w:p>
    <w:p w14:paraId="2CA67BA9" w14:textId="77777777" w:rsidR="00D40947" w:rsidRDefault="00D40947">
      <w:pPr>
        <w:rPr>
          <w:lang w:eastAsia="zh-TW"/>
        </w:rPr>
      </w:pPr>
      <w:r>
        <w:rPr>
          <w:lang w:eastAsia="zh-TW"/>
        </w:rPr>
        <w:br w:type="page"/>
      </w:r>
    </w:p>
    <w:p w14:paraId="514F7DCB" w14:textId="2A70E54F" w:rsidR="00D40947" w:rsidRDefault="003B37A7" w:rsidP="00D40947">
      <w:pPr>
        <w:pStyle w:val="SMcaption"/>
        <w:keepNext/>
      </w:pPr>
      <w:r>
        <w:rPr>
          <w:noProof/>
          <w:lang w:eastAsia="zh-TW"/>
        </w:rPr>
        <w:lastRenderedPageBreak/>
        <w:drawing>
          <wp:inline distT="0" distB="0" distL="0" distR="0" wp14:anchorId="4819D58D" wp14:editId="1EF28B50">
            <wp:extent cx="5486400" cy="6847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Mat_F4_DBSR_n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870A" w14:textId="50BC874A" w:rsidR="0010277C" w:rsidRPr="003B37A7" w:rsidRDefault="00D40947" w:rsidP="00D40947">
      <w:pPr>
        <w:pStyle w:val="Caption"/>
        <w:rPr>
          <w:b w:val="0"/>
          <w:color w:val="0D0D0D" w:themeColor="text1" w:themeTint="F2"/>
          <w:sz w:val="24"/>
          <w:szCs w:val="24"/>
        </w:rPr>
      </w:pPr>
      <w:r w:rsidRPr="00D40947">
        <w:rPr>
          <w:color w:val="0D0D0D" w:themeColor="text1" w:themeTint="F2"/>
          <w:sz w:val="24"/>
          <w:szCs w:val="24"/>
        </w:rPr>
        <w:t>S4</w:t>
      </w:r>
      <w:r w:rsidRPr="00D40947">
        <w:rPr>
          <w:rFonts w:hint="eastAsia"/>
          <w:color w:val="0D0D0D" w:themeColor="text1" w:themeTint="F2"/>
          <w:sz w:val="24"/>
          <w:szCs w:val="24"/>
          <w:lang w:eastAsia="zh-TW"/>
        </w:rPr>
        <w:t xml:space="preserve">: </w:t>
      </w:r>
      <w:r w:rsidRPr="00D40947">
        <w:rPr>
          <w:color w:val="0D0D0D" w:themeColor="text1" w:themeTint="F2"/>
          <w:sz w:val="24"/>
          <w:szCs w:val="24"/>
        </w:rPr>
        <w:t>a</w:t>
      </w:r>
      <w:r w:rsidR="003D06B3">
        <w:rPr>
          <w:color w:val="0D0D0D" w:themeColor="text1" w:themeTint="F2"/>
          <w:sz w:val="24"/>
          <w:szCs w:val="24"/>
        </w:rPr>
        <w:t>, c</w:t>
      </w:r>
      <w:r w:rsidRPr="00D40947">
        <w:rPr>
          <w:color w:val="0D0D0D" w:themeColor="text1" w:themeTint="F2"/>
          <w:sz w:val="24"/>
          <w:szCs w:val="24"/>
        </w:rPr>
        <w:t>.</w:t>
      </w:r>
      <w:r w:rsidRPr="00D40947">
        <w:rPr>
          <w:b w:val="0"/>
          <w:color w:val="0D0D0D" w:themeColor="text1" w:themeTint="F2"/>
          <w:sz w:val="24"/>
          <w:szCs w:val="24"/>
        </w:rPr>
        <w:t xml:space="preserve"> </w:t>
      </w:r>
      <w:r w:rsidR="007737D9">
        <w:rPr>
          <w:b w:val="0"/>
          <w:color w:val="0D0D0D" w:themeColor="text1" w:themeTint="F2"/>
          <w:sz w:val="24"/>
          <w:szCs w:val="24"/>
        </w:rPr>
        <w:t>C</w:t>
      </w:r>
      <w:r w:rsidRPr="00D40947">
        <w:rPr>
          <w:b w:val="0"/>
          <w:color w:val="0D0D0D" w:themeColor="text1" w:themeTint="F2"/>
          <w:sz w:val="24"/>
          <w:szCs w:val="24"/>
        </w:rPr>
        <w:t>rossline sectio</w:t>
      </w:r>
      <w:r w:rsidR="002E6169">
        <w:rPr>
          <w:b w:val="0"/>
          <w:color w:val="0D0D0D" w:themeColor="text1" w:themeTint="F2"/>
          <w:sz w:val="24"/>
          <w:szCs w:val="24"/>
        </w:rPr>
        <w:t>n across the slope basin west</w:t>
      </w:r>
      <w:r w:rsidRPr="00D40947">
        <w:rPr>
          <w:b w:val="0"/>
          <w:color w:val="0D0D0D" w:themeColor="text1" w:themeTint="F2"/>
          <w:sz w:val="24"/>
          <w:szCs w:val="24"/>
        </w:rPr>
        <w:t xml:space="preserve"> of Ridge A. </w:t>
      </w:r>
      <w:r w:rsidRPr="00D40947">
        <w:rPr>
          <w:color w:val="0D0D0D" w:themeColor="text1" w:themeTint="F2"/>
          <w:sz w:val="24"/>
          <w:szCs w:val="24"/>
        </w:rPr>
        <w:t>b</w:t>
      </w:r>
      <w:r w:rsidR="003D06B3">
        <w:rPr>
          <w:color w:val="0D0D0D" w:themeColor="text1" w:themeTint="F2"/>
          <w:sz w:val="24"/>
          <w:szCs w:val="24"/>
        </w:rPr>
        <w:t>, d</w:t>
      </w:r>
      <w:r w:rsidRPr="00D40947">
        <w:rPr>
          <w:color w:val="0D0D0D" w:themeColor="text1" w:themeTint="F2"/>
          <w:sz w:val="24"/>
          <w:szCs w:val="24"/>
        </w:rPr>
        <w:t>.</w:t>
      </w:r>
      <w:r w:rsidRPr="00D40947">
        <w:rPr>
          <w:b w:val="0"/>
          <w:color w:val="0D0D0D" w:themeColor="text1" w:themeTint="F2"/>
          <w:sz w:val="24"/>
          <w:szCs w:val="24"/>
        </w:rPr>
        <w:t xml:space="preserve"> Interpreted crossline section showing BSR (blue) and BSR</w:t>
      </w:r>
      <w:r w:rsidR="007737D9">
        <w:rPr>
          <w:b w:val="0"/>
          <w:color w:val="0D0D0D" w:themeColor="text1" w:themeTint="F2"/>
          <w:sz w:val="24"/>
          <w:szCs w:val="24"/>
        </w:rPr>
        <w:t>2</w:t>
      </w:r>
      <w:r w:rsidRPr="00D40947">
        <w:rPr>
          <w:b w:val="0"/>
          <w:color w:val="0D0D0D" w:themeColor="text1" w:themeTint="F2"/>
          <w:sz w:val="24"/>
          <w:szCs w:val="24"/>
        </w:rPr>
        <w:t xml:space="preserve"> (red). </w:t>
      </w:r>
      <w:proofErr w:type="gramStart"/>
      <w:r w:rsidR="003D06B3">
        <w:rPr>
          <w:color w:val="0D0D0D" w:themeColor="text1" w:themeTint="F2"/>
          <w:sz w:val="24"/>
          <w:szCs w:val="24"/>
        </w:rPr>
        <w:t>e</w:t>
      </w:r>
      <w:proofErr w:type="gramEnd"/>
      <w:r w:rsidRPr="00D40947">
        <w:rPr>
          <w:color w:val="0D0D0D" w:themeColor="text1" w:themeTint="F2"/>
          <w:sz w:val="24"/>
          <w:szCs w:val="24"/>
        </w:rPr>
        <w:t>.</w:t>
      </w:r>
      <w:r w:rsidR="00AF10ED">
        <w:rPr>
          <w:b w:val="0"/>
          <w:color w:val="0D0D0D" w:themeColor="text1" w:themeTint="F2"/>
          <w:sz w:val="24"/>
          <w:szCs w:val="24"/>
        </w:rPr>
        <w:t xml:space="preserve"> 20-</w:t>
      </w:r>
      <w:r w:rsidRPr="00D40947">
        <w:rPr>
          <w:b w:val="0"/>
          <w:color w:val="0D0D0D" w:themeColor="text1" w:themeTint="F2"/>
          <w:sz w:val="24"/>
          <w:szCs w:val="24"/>
        </w:rPr>
        <w:t xml:space="preserve">m resolution bathymetry map of </w:t>
      </w:r>
      <w:r w:rsidR="00AF10ED">
        <w:rPr>
          <w:b w:val="0"/>
          <w:color w:val="0D0D0D" w:themeColor="text1" w:themeTint="F2"/>
          <w:sz w:val="24"/>
          <w:szCs w:val="24"/>
        </w:rPr>
        <w:t xml:space="preserve">the </w:t>
      </w:r>
      <w:r w:rsidRPr="00D40947">
        <w:rPr>
          <w:b w:val="0"/>
          <w:color w:val="0D0D0D" w:themeColor="text1" w:themeTint="F2"/>
          <w:sz w:val="24"/>
          <w:szCs w:val="24"/>
        </w:rPr>
        <w:t xml:space="preserve">study area. </w:t>
      </w:r>
      <w:r w:rsidR="002E6169">
        <w:rPr>
          <w:b w:val="0"/>
          <w:color w:val="0D0D0D" w:themeColor="text1" w:themeTint="F2"/>
          <w:sz w:val="24"/>
          <w:szCs w:val="24"/>
        </w:rPr>
        <w:t>B</w:t>
      </w:r>
      <w:r w:rsidRPr="00D40947">
        <w:rPr>
          <w:b w:val="0"/>
          <w:color w:val="0D0D0D" w:themeColor="text1" w:themeTint="F2"/>
          <w:sz w:val="24"/>
          <w:szCs w:val="24"/>
        </w:rPr>
        <w:t>lack lines</w:t>
      </w:r>
      <w:r w:rsidR="002E6169">
        <w:rPr>
          <w:b w:val="0"/>
          <w:color w:val="0D0D0D" w:themeColor="text1" w:themeTint="F2"/>
          <w:sz w:val="24"/>
          <w:szCs w:val="24"/>
        </w:rPr>
        <w:t xml:space="preserve"> overlain on the bathymetry</w:t>
      </w:r>
      <w:r w:rsidRPr="00D40947">
        <w:rPr>
          <w:b w:val="0"/>
          <w:color w:val="0D0D0D" w:themeColor="text1" w:themeTint="F2"/>
          <w:sz w:val="24"/>
          <w:szCs w:val="24"/>
        </w:rPr>
        <w:t xml:space="preserve"> show locations of seismic sections from the 3D seismic volume shown in the study. </w:t>
      </w:r>
      <w:r w:rsidR="00333661" w:rsidRPr="003B37A7">
        <w:rPr>
          <w:b w:val="0"/>
          <w:color w:val="0D0D0D" w:themeColor="text1" w:themeTint="F2"/>
          <w:sz w:val="24"/>
          <w:szCs w:val="24"/>
        </w:rPr>
        <w:t>Red circles locate the SO-266 heat probe measurements. Red and blue polygons highlight the area where BSRs and double BSRs, respectively</w:t>
      </w:r>
      <w:r w:rsidR="00333661">
        <w:rPr>
          <w:b w:val="0"/>
          <w:color w:val="0D0D0D" w:themeColor="text1" w:themeTint="F2"/>
          <w:sz w:val="24"/>
          <w:szCs w:val="24"/>
        </w:rPr>
        <w:t>, were mapped</w:t>
      </w:r>
      <w:r w:rsidR="00333661" w:rsidRPr="003B37A7">
        <w:rPr>
          <w:b w:val="0"/>
          <w:color w:val="0D0D0D" w:themeColor="text1" w:themeTint="F2"/>
          <w:sz w:val="24"/>
          <w:szCs w:val="24"/>
        </w:rPr>
        <w:t>.</w:t>
      </w:r>
      <w:r w:rsidR="00333661">
        <w:rPr>
          <w:b w:val="0"/>
          <w:color w:val="0D0D0D" w:themeColor="text1" w:themeTint="F2"/>
          <w:sz w:val="24"/>
          <w:szCs w:val="24"/>
        </w:rPr>
        <w:t xml:space="preserve"> </w:t>
      </w:r>
      <w:r w:rsidR="001025F2" w:rsidRPr="00275473">
        <w:rPr>
          <w:color w:val="0D0D0D" w:themeColor="text1" w:themeTint="F2"/>
          <w:sz w:val="24"/>
          <w:szCs w:val="24"/>
        </w:rPr>
        <w:t>f.</w:t>
      </w:r>
      <w:r w:rsidR="001025F2">
        <w:rPr>
          <w:b w:val="0"/>
          <w:color w:val="0D0D0D" w:themeColor="text1" w:themeTint="F2"/>
          <w:sz w:val="24"/>
          <w:szCs w:val="24"/>
        </w:rPr>
        <w:t xml:space="preserve"> </w:t>
      </w:r>
      <w:r w:rsidR="00275473" w:rsidRPr="003B37A7">
        <w:rPr>
          <w:b w:val="0"/>
          <w:sz w:val="24"/>
          <w:szCs w:val="24"/>
        </w:rPr>
        <w:t>Bathymetric relief along the eastern limb of 4WCR.</w:t>
      </w:r>
      <w:r w:rsidR="001025F2" w:rsidRPr="003B37A7">
        <w:rPr>
          <w:b w:val="0"/>
          <w:sz w:val="24"/>
          <w:szCs w:val="24"/>
        </w:rPr>
        <w:t xml:space="preserve"> </w:t>
      </w:r>
      <w:r w:rsidR="00275473" w:rsidRPr="003B37A7">
        <w:rPr>
          <w:b w:val="0"/>
          <w:sz w:val="24"/>
          <w:szCs w:val="24"/>
        </w:rPr>
        <w:t>P</w:t>
      </w:r>
      <w:r w:rsidR="001025F2" w:rsidRPr="003B37A7">
        <w:rPr>
          <w:b w:val="0"/>
          <w:sz w:val="24"/>
          <w:szCs w:val="24"/>
        </w:rPr>
        <w:t>re-slump surface</w:t>
      </w:r>
      <w:r w:rsidR="00275473" w:rsidRPr="003B37A7">
        <w:rPr>
          <w:b w:val="0"/>
          <w:sz w:val="24"/>
          <w:szCs w:val="24"/>
        </w:rPr>
        <w:t xml:space="preserve"> (grey shaded area)</w:t>
      </w:r>
      <w:r w:rsidR="001025F2" w:rsidRPr="003B37A7">
        <w:rPr>
          <w:b w:val="0"/>
          <w:sz w:val="24"/>
          <w:szCs w:val="24"/>
        </w:rPr>
        <w:t xml:space="preserve"> </w:t>
      </w:r>
      <w:r w:rsidR="00333661">
        <w:rPr>
          <w:b w:val="0"/>
          <w:sz w:val="24"/>
          <w:szCs w:val="24"/>
        </w:rPr>
        <w:t>was</w:t>
      </w:r>
      <w:r w:rsidR="001025F2" w:rsidRPr="003B37A7">
        <w:rPr>
          <w:b w:val="0"/>
          <w:sz w:val="24"/>
          <w:szCs w:val="24"/>
        </w:rPr>
        <w:t xml:space="preserve"> estimated by interpolating across</w:t>
      </w:r>
      <w:r w:rsidR="00333661">
        <w:rPr>
          <w:b w:val="0"/>
          <w:sz w:val="24"/>
          <w:szCs w:val="24"/>
        </w:rPr>
        <w:t xml:space="preserve"> the</w:t>
      </w:r>
      <w:r w:rsidR="001025F2" w:rsidRPr="003B37A7">
        <w:rPr>
          <w:b w:val="0"/>
          <w:sz w:val="24"/>
          <w:szCs w:val="24"/>
        </w:rPr>
        <w:t xml:space="preserve"> slump.</w:t>
      </w:r>
      <w:r w:rsidR="001025F2" w:rsidRPr="003B37A7">
        <w:rPr>
          <w:sz w:val="24"/>
          <w:szCs w:val="24"/>
        </w:rPr>
        <w:t xml:space="preserve"> </w:t>
      </w:r>
      <w:r w:rsidR="003B37A7">
        <w:rPr>
          <w:color w:val="0D0D0D" w:themeColor="text1" w:themeTint="F2"/>
          <w:sz w:val="24"/>
          <w:szCs w:val="24"/>
        </w:rPr>
        <w:t>g</w:t>
      </w:r>
      <w:r w:rsidR="003B37A7" w:rsidRPr="00275473">
        <w:rPr>
          <w:color w:val="0D0D0D" w:themeColor="text1" w:themeTint="F2"/>
          <w:sz w:val="24"/>
          <w:szCs w:val="24"/>
        </w:rPr>
        <w:t>.</w:t>
      </w:r>
      <w:r w:rsidR="003B37A7">
        <w:rPr>
          <w:b w:val="0"/>
          <w:color w:val="0D0D0D" w:themeColor="text1" w:themeTint="F2"/>
          <w:sz w:val="24"/>
          <w:szCs w:val="24"/>
        </w:rPr>
        <w:t xml:space="preserve"> </w:t>
      </w:r>
      <w:r w:rsidR="003B37A7" w:rsidRPr="003B37A7">
        <w:rPr>
          <w:b w:val="0"/>
          <w:sz w:val="24"/>
          <w:szCs w:val="24"/>
        </w:rPr>
        <w:t xml:space="preserve">Bathymetric relief </w:t>
      </w:r>
      <w:r w:rsidR="003B37A7">
        <w:rPr>
          <w:b w:val="0"/>
          <w:sz w:val="24"/>
          <w:szCs w:val="24"/>
        </w:rPr>
        <w:t xml:space="preserve">down the sliding surface </w:t>
      </w:r>
      <w:r w:rsidR="00333661">
        <w:rPr>
          <w:b w:val="0"/>
          <w:sz w:val="24"/>
          <w:szCs w:val="24"/>
        </w:rPr>
        <w:t>on</w:t>
      </w:r>
      <w:r w:rsidR="003B37A7">
        <w:rPr>
          <w:b w:val="0"/>
          <w:sz w:val="24"/>
          <w:szCs w:val="24"/>
        </w:rPr>
        <w:t xml:space="preserve"> </w:t>
      </w:r>
      <w:r w:rsidR="003B37A7" w:rsidRPr="003B37A7">
        <w:rPr>
          <w:b w:val="0"/>
          <w:sz w:val="24"/>
          <w:szCs w:val="24"/>
        </w:rPr>
        <w:t>the eastern limb of 4WCR</w:t>
      </w:r>
      <w:r w:rsidR="003B37A7">
        <w:rPr>
          <w:b w:val="0"/>
          <w:sz w:val="24"/>
          <w:szCs w:val="24"/>
        </w:rPr>
        <w:t>.</w:t>
      </w:r>
      <w:r w:rsidR="003B37A7" w:rsidRPr="003B37A7">
        <w:rPr>
          <w:b w:val="0"/>
          <w:color w:val="0D0D0D" w:themeColor="text1" w:themeTint="F2"/>
          <w:sz w:val="24"/>
          <w:szCs w:val="24"/>
        </w:rPr>
        <w:t xml:space="preserve"> </w:t>
      </w:r>
    </w:p>
    <w:p w14:paraId="365F6336" w14:textId="77777777" w:rsidR="004623F5" w:rsidRDefault="004623F5" w:rsidP="004623F5"/>
    <w:p w14:paraId="046DEC22" w14:textId="270D8F14" w:rsidR="004623F5" w:rsidRDefault="00286B15" w:rsidP="004623F5">
      <w:r>
        <w:rPr>
          <w:noProof/>
          <w:lang w:eastAsia="zh-TW"/>
        </w:rPr>
        <w:drawing>
          <wp:inline distT="0" distB="0" distL="0" distR="0" wp14:anchorId="4E36ACDC" wp14:editId="65C897B5">
            <wp:extent cx="5486400" cy="36175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1400_DBSR_Gatherv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D965" w14:textId="50B52618" w:rsidR="004623F5" w:rsidRDefault="004623F5" w:rsidP="004623F5">
      <w:pPr>
        <w:pStyle w:val="Caption"/>
        <w:rPr>
          <w:b w:val="0"/>
          <w:color w:val="0D0D0D" w:themeColor="text1" w:themeTint="F2"/>
          <w:sz w:val="24"/>
          <w:szCs w:val="24"/>
        </w:rPr>
      </w:pPr>
      <w:r w:rsidRPr="00D40947">
        <w:rPr>
          <w:color w:val="0D0D0D" w:themeColor="text1" w:themeTint="F2"/>
          <w:sz w:val="24"/>
          <w:szCs w:val="24"/>
        </w:rPr>
        <w:t>S</w:t>
      </w:r>
      <w:r>
        <w:rPr>
          <w:color w:val="0D0D0D" w:themeColor="text1" w:themeTint="F2"/>
          <w:sz w:val="24"/>
          <w:szCs w:val="24"/>
        </w:rPr>
        <w:t>5</w:t>
      </w:r>
      <w:r w:rsidRPr="00D40947">
        <w:rPr>
          <w:rFonts w:hint="eastAsia"/>
          <w:color w:val="0D0D0D" w:themeColor="text1" w:themeTint="F2"/>
          <w:sz w:val="24"/>
          <w:szCs w:val="24"/>
          <w:lang w:eastAsia="zh-TW"/>
        </w:rPr>
        <w:t xml:space="preserve">: </w:t>
      </w:r>
      <w:r>
        <w:rPr>
          <w:b w:val="0"/>
          <w:color w:val="0D0D0D" w:themeColor="text1" w:themeTint="F2"/>
          <w:sz w:val="24"/>
          <w:szCs w:val="24"/>
        </w:rPr>
        <w:t>I</w:t>
      </w:r>
      <w:r w:rsidR="00356537">
        <w:rPr>
          <w:b w:val="0"/>
          <w:color w:val="0D0D0D" w:themeColor="text1" w:themeTint="F2"/>
          <w:sz w:val="24"/>
          <w:szCs w:val="24"/>
        </w:rPr>
        <w:t xml:space="preserve">nline </w:t>
      </w:r>
      <w:r>
        <w:rPr>
          <w:b w:val="0"/>
          <w:color w:val="0D0D0D" w:themeColor="text1" w:themeTint="F2"/>
          <w:sz w:val="24"/>
          <w:szCs w:val="24"/>
        </w:rPr>
        <w:t>114</w:t>
      </w:r>
      <w:r w:rsidR="00356537">
        <w:rPr>
          <w:b w:val="0"/>
          <w:color w:val="0D0D0D" w:themeColor="text1" w:themeTint="F2"/>
          <w:sz w:val="24"/>
          <w:szCs w:val="24"/>
        </w:rPr>
        <w:t>0</w:t>
      </w:r>
      <w:r w:rsidRPr="00D40947">
        <w:rPr>
          <w:b w:val="0"/>
          <w:color w:val="0D0D0D" w:themeColor="text1" w:themeTint="F2"/>
          <w:sz w:val="24"/>
          <w:szCs w:val="24"/>
        </w:rPr>
        <w:t xml:space="preserve"> sectio</w:t>
      </w:r>
      <w:r w:rsidR="00333661">
        <w:rPr>
          <w:b w:val="0"/>
          <w:color w:val="0D0D0D" w:themeColor="text1" w:themeTint="F2"/>
          <w:sz w:val="24"/>
          <w:szCs w:val="24"/>
        </w:rPr>
        <w:t>n across the slope basin west</w:t>
      </w:r>
      <w:r w:rsidRPr="00D40947">
        <w:rPr>
          <w:b w:val="0"/>
          <w:color w:val="0D0D0D" w:themeColor="text1" w:themeTint="F2"/>
          <w:sz w:val="24"/>
          <w:szCs w:val="24"/>
        </w:rPr>
        <w:t xml:space="preserve"> of Ridge A</w:t>
      </w:r>
      <w:r w:rsidR="00333661">
        <w:rPr>
          <w:b w:val="0"/>
          <w:color w:val="0D0D0D" w:themeColor="text1" w:themeTint="F2"/>
          <w:sz w:val="24"/>
          <w:szCs w:val="24"/>
        </w:rPr>
        <w:t>, with a</w:t>
      </w:r>
      <w:r>
        <w:rPr>
          <w:b w:val="0"/>
          <w:color w:val="0D0D0D" w:themeColor="text1" w:themeTint="F2"/>
          <w:sz w:val="24"/>
          <w:szCs w:val="24"/>
        </w:rPr>
        <w:t xml:space="preserve"> </w:t>
      </w:r>
      <w:r w:rsidR="00333661">
        <w:rPr>
          <w:b w:val="0"/>
          <w:color w:val="1C1D1E"/>
          <w:sz w:val="24"/>
          <w:szCs w:val="18"/>
          <w:shd w:val="clear" w:color="auto" w:fill="FFFFFF"/>
        </w:rPr>
        <w:t>c</w:t>
      </w:r>
      <w:r w:rsidRPr="00356537">
        <w:rPr>
          <w:b w:val="0"/>
          <w:color w:val="1C1D1E"/>
          <w:sz w:val="24"/>
          <w:szCs w:val="18"/>
          <w:shd w:val="clear" w:color="auto" w:fill="FFFFFF"/>
        </w:rPr>
        <w:t>omparison between observed (</w:t>
      </w:r>
      <w:r w:rsidR="00356537" w:rsidRPr="00356537">
        <w:rPr>
          <w:b w:val="0"/>
          <w:color w:val="1C1D1E"/>
          <w:sz w:val="24"/>
          <w:szCs w:val="18"/>
          <w:shd w:val="clear" w:color="auto" w:fill="FFFFFF"/>
        </w:rPr>
        <w:t>red dashed</w:t>
      </w:r>
      <w:r w:rsidRPr="00356537">
        <w:rPr>
          <w:b w:val="0"/>
          <w:color w:val="1C1D1E"/>
          <w:sz w:val="24"/>
          <w:szCs w:val="18"/>
          <w:shd w:val="clear" w:color="auto" w:fill="FFFFFF"/>
        </w:rPr>
        <w:t xml:space="preserve"> line) and modeled (</w:t>
      </w:r>
      <w:r w:rsidR="00356537" w:rsidRPr="00356537">
        <w:rPr>
          <w:b w:val="0"/>
          <w:color w:val="1C1D1E"/>
          <w:sz w:val="24"/>
          <w:szCs w:val="18"/>
          <w:shd w:val="clear" w:color="auto" w:fill="FFFFFF"/>
        </w:rPr>
        <w:t>colored</w:t>
      </w:r>
      <w:r w:rsidRPr="00356537">
        <w:rPr>
          <w:b w:val="0"/>
          <w:color w:val="1C1D1E"/>
          <w:sz w:val="24"/>
          <w:szCs w:val="18"/>
          <w:shd w:val="clear" w:color="auto" w:fill="FFFFFF"/>
        </w:rPr>
        <w:t xml:space="preserve"> </w:t>
      </w:r>
      <w:r w:rsidR="00356537" w:rsidRPr="00356537">
        <w:rPr>
          <w:b w:val="0"/>
          <w:color w:val="1C1D1E"/>
          <w:sz w:val="24"/>
          <w:szCs w:val="18"/>
          <w:shd w:val="clear" w:color="auto" w:fill="FFFFFF"/>
        </w:rPr>
        <w:t>dashed</w:t>
      </w:r>
      <w:r w:rsidRPr="00356537">
        <w:rPr>
          <w:b w:val="0"/>
          <w:color w:val="1C1D1E"/>
          <w:sz w:val="24"/>
          <w:szCs w:val="18"/>
          <w:shd w:val="clear" w:color="auto" w:fill="FFFFFF"/>
        </w:rPr>
        <w:t xml:space="preserve"> line) BSR depths</w:t>
      </w:r>
      <w:r w:rsidR="00356537">
        <w:rPr>
          <w:b w:val="0"/>
          <w:color w:val="1C1D1E"/>
          <w:sz w:val="24"/>
          <w:szCs w:val="18"/>
          <w:shd w:val="clear" w:color="auto" w:fill="FFFFFF"/>
        </w:rPr>
        <w:t xml:space="preserve"> for different fractions of ethane. The distinct mismatch between the BSR depth and predicted BGHSZ indicate</w:t>
      </w:r>
      <w:r w:rsidR="00333661">
        <w:rPr>
          <w:b w:val="0"/>
          <w:color w:val="1C1D1E"/>
          <w:sz w:val="24"/>
          <w:szCs w:val="18"/>
          <w:shd w:val="clear" w:color="auto" w:fill="FFFFFF"/>
        </w:rPr>
        <w:t>s</w:t>
      </w:r>
      <w:r w:rsidR="00356537">
        <w:rPr>
          <w:b w:val="0"/>
          <w:color w:val="1C1D1E"/>
          <w:sz w:val="24"/>
          <w:szCs w:val="18"/>
          <w:shd w:val="clear" w:color="auto" w:fill="FFFFFF"/>
        </w:rPr>
        <w:t xml:space="preserve"> that </w:t>
      </w:r>
      <w:r w:rsidR="00333661">
        <w:rPr>
          <w:b w:val="0"/>
          <w:color w:val="1C1D1E"/>
          <w:sz w:val="24"/>
          <w:szCs w:val="18"/>
          <w:shd w:val="clear" w:color="auto" w:fill="FFFFFF"/>
        </w:rPr>
        <w:t xml:space="preserve">the </w:t>
      </w:r>
      <w:r w:rsidR="00356537" w:rsidRPr="00356537">
        <w:rPr>
          <w:b w:val="0"/>
          <w:sz w:val="24"/>
          <w:szCs w:val="24"/>
        </w:rPr>
        <w:t xml:space="preserve">admixing of methane with higher-order hydrocarbon gases </w:t>
      </w:r>
      <w:r w:rsidR="00356537">
        <w:rPr>
          <w:b w:val="0"/>
          <w:sz w:val="24"/>
          <w:szCs w:val="24"/>
        </w:rPr>
        <w:t xml:space="preserve">is </w:t>
      </w:r>
      <w:r w:rsidR="00333661">
        <w:rPr>
          <w:b w:val="0"/>
          <w:sz w:val="24"/>
          <w:szCs w:val="24"/>
        </w:rPr>
        <w:t xml:space="preserve">not </w:t>
      </w:r>
      <w:r w:rsidR="00356537">
        <w:rPr>
          <w:b w:val="0"/>
          <w:sz w:val="24"/>
          <w:szCs w:val="24"/>
        </w:rPr>
        <w:t xml:space="preserve">likely </w:t>
      </w:r>
      <w:r w:rsidR="00333661">
        <w:rPr>
          <w:b w:val="0"/>
          <w:sz w:val="24"/>
          <w:szCs w:val="24"/>
        </w:rPr>
        <w:t xml:space="preserve">to be </w:t>
      </w:r>
      <w:r w:rsidR="00356537">
        <w:rPr>
          <w:b w:val="0"/>
          <w:sz w:val="24"/>
          <w:szCs w:val="24"/>
        </w:rPr>
        <w:t xml:space="preserve">the cause </w:t>
      </w:r>
      <w:r w:rsidR="00333661">
        <w:rPr>
          <w:b w:val="0"/>
          <w:sz w:val="24"/>
          <w:szCs w:val="24"/>
        </w:rPr>
        <w:t>of</w:t>
      </w:r>
      <w:r w:rsidR="00356537" w:rsidRPr="00356537">
        <w:rPr>
          <w:b w:val="0"/>
          <w:sz w:val="24"/>
          <w:szCs w:val="24"/>
        </w:rPr>
        <w:t xml:space="preserve"> the formation of a second BSR below BSR2</w:t>
      </w:r>
      <w:r w:rsidR="00356537">
        <w:rPr>
          <w:b w:val="0"/>
          <w:sz w:val="24"/>
          <w:szCs w:val="24"/>
        </w:rPr>
        <w:t xml:space="preserve">. </w:t>
      </w:r>
      <w:r w:rsidR="00333661">
        <w:rPr>
          <w:b w:val="0"/>
          <w:sz w:val="24"/>
          <w:szCs w:val="24"/>
        </w:rPr>
        <w:t>The blue dashed line</w:t>
      </w:r>
      <w:r w:rsidR="00356537">
        <w:rPr>
          <w:b w:val="0"/>
          <w:sz w:val="24"/>
          <w:szCs w:val="24"/>
        </w:rPr>
        <w:t xml:space="preserve"> is the pre-slump</w:t>
      </w:r>
      <w:r w:rsidR="00B90543">
        <w:rPr>
          <w:b w:val="0"/>
          <w:sz w:val="24"/>
          <w:szCs w:val="24"/>
        </w:rPr>
        <w:t xml:space="preserve"> surface.</w:t>
      </w:r>
      <w:r w:rsidR="00286B15">
        <w:rPr>
          <w:b w:val="0"/>
          <w:sz w:val="24"/>
          <w:szCs w:val="24"/>
        </w:rPr>
        <w:t xml:space="preserve"> Black arrows highlight that the vertical</w:t>
      </w:r>
      <w:r w:rsidR="00333661">
        <w:rPr>
          <w:b w:val="0"/>
          <w:sz w:val="24"/>
          <w:szCs w:val="24"/>
        </w:rPr>
        <w:t xml:space="preserve"> depth</w:t>
      </w:r>
      <w:r w:rsidR="00286B15">
        <w:rPr>
          <w:b w:val="0"/>
          <w:sz w:val="24"/>
          <w:szCs w:val="24"/>
        </w:rPr>
        <w:t xml:space="preserve"> range between BSR and BSR2 is almost identical to the vertical depth range </w:t>
      </w:r>
      <w:r w:rsidR="00333661">
        <w:rPr>
          <w:b w:val="0"/>
          <w:sz w:val="24"/>
          <w:szCs w:val="24"/>
        </w:rPr>
        <w:t xml:space="preserve">between the </w:t>
      </w:r>
      <w:r w:rsidR="00286B15">
        <w:rPr>
          <w:b w:val="0"/>
          <w:sz w:val="24"/>
          <w:szCs w:val="24"/>
        </w:rPr>
        <w:t xml:space="preserve">paleo-seafloor and seafloor before deposition </w:t>
      </w:r>
      <w:r w:rsidR="00333661">
        <w:rPr>
          <w:b w:val="0"/>
          <w:sz w:val="24"/>
          <w:szCs w:val="24"/>
        </w:rPr>
        <w:t>occurred</w:t>
      </w:r>
      <w:bookmarkStart w:id="0" w:name="_GoBack"/>
      <w:bookmarkEnd w:id="0"/>
      <w:r w:rsidR="00286B15">
        <w:rPr>
          <w:b w:val="0"/>
          <w:sz w:val="24"/>
          <w:szCs w:val="24"/>
        </w:rPr>
        <w:t xml:space="preserve">. </w:t>
      </w:r>
    </w:p>
    <w:p w14:paraId="0A716890" w14:textId="77777777" w:rsidR="004623F5" w:rsidRDefault="004623F5" w:rsidP="004623F5">
      <w:pPr>
        <w:pStyle w:val="Caption"/>
        <w:rPr>
          <w:b w:val="0"/>
          <w:color w:val="0D0D0D" w:themeColor="text1" w:themeTint="F2"/>
          <w:sz w:val="24"/>
          <w:szCs w:val="24"/>
        </w:rPr>
      </w:pPr>
    </w:p>
    <w:p w14:paraId="3BC500E1" w14:textId="77777777" w:rsidR="004623F5" w:rsidRDefault="004623F5" w:rsidP="004623F5">
      <w:pPr>
        <w:pStyle w:val="Caption"/>
        <w:rPr>
          <w:b w:val="0"/>
          <w:color w:val="0D0D0D" w:themeColor="text1" w:themeTint="F2"/>
          <w:sz w:val="24"/>
          <w:szCs w:val="24"/>
        </w:rPr>
      </w:pPr>
    </w:p>
    <w:p w14:paraId="0FBF83CB" w14:textId="77777777" w:rsidR="004623F5" w:rsidRDefault="004623F5" w:rsidP="004623F5">
      <w:pPr>
        <w:pStyle w:val="Caption"/>
        <w:rPr>
          <w:b w:val="0"/>
          <w:color w:val="0D0D0D" w:themeColor="text1" w:themeTint="F2"/>
          <w:sz w:val="24"/>
          <w:szCs w:val="24"/>
        </w:rPr>
      </w:pPr>
    </w:p>
    <w:p w14:paraId="0DDB4626" w14:textId="77777777" w:rsidR="004623F5" w:rsidRPr="004623F5" w:rsidRDefault="004623F5" w:rsidP="004623F5"/>
    <w:sectPr w:rsidR="004623F5" w:rsidRPr="004623F5" w:rsidSect="008D224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488723" w14:textId="77777777" w:rsidR="00606E6C" w:rsidRDefault="00606E6C">
      <w:r>
        <w:separator/>
      </w:r>
    </w:p>
  </w:endnote>
  <w:endnote w:type="continuationSeparator" w:id="0">
    <w:p w14:paraId="5B6F2C73" w14:textId="77777777" w:rsidR="00606E6C" w:rsidRDefault="00606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6102A" w14:textId="77777777" w:rsidR="001966FD" w:rsidRDefault="001966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8E7ED" w14:textId="30E5D9AF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3661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BBCA3" w14:textId="77777777" w:rsidR="001966FD" w:rsidRDefault="001966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AF141C" w14:textId="77777777" w:rsidR="00606E6C" w:rsidRDefault="00606E6C">
      <w:r>
        <w:separator/>
      </w:r>
    </w:p>
  </w:footnote>
  <w:footnote w:type="continuationSeparator" w:id="0">
    <w:p w14:paraId="2271B01C" w14:textId="77777777" w:rsidR="00606E6C" w:rsidRDefault="00606E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29EF6B" w14:textId="77777777" w:rsidR="001966FD" w:rsidRDefault="001966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C5ADD" w14:textId="77777777" w:rsidR="001966FD" w:rsidRDefault="001966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43571"/>
    <w:rsid w:val="00065EBD"/>
    <w:rsid w:val="00083B44"/>
    <w:rsid w:val="000850DC"/>
    <w:rsid w:val="00094365"/>
    <w:rsid w:val="000B2E64"/>
    <w:rsid w:val="000C2771"/>
    <w:rsid w:val="000D68BD"/>
    <w:rsid w:val="000F0DCE"/>
    <w:rsid w:val="001025F2"/>
    <w:rsid w:val="0010277C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966FD"/>
    <w:rsid w:val="00197826"/>
    <w:rsid w:val="001A1BDE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41AD9"/>
    <w:rsid w:val="00243B68"/>
    <w:rsid w:val="00245A01"/>
    <w:rsid w:val="00262D72"/>
    <w:rsid w:val="00275473"/>
    <w:rsid w:val="002800B6"/>
    <w:rsid w:val="00281DCB"/>
    <w:rsid w:val="00286B15"/>
    <w:rsid w:val="002B35D4"/>
    <w:rsid w:val="002C030F"/>
    <w:rsid w:val="002E6169"/>
    <w:rsid w:val="002F3966"/>
    <w:rsid w:val="00320E2C"/>
    <w:rsid w:val="00331D75"/>
    <w:rsid w:val="00333661"/>
    <w:rsid w:val="00342172"/>
    <w:rsid w:val="00355362"/>
    <w:rsid w:val="00356537"/>
    <w:rsid w:val="00363E44"/>
    <w:rsid w:val="00395E86"/>
    <w:rsid w:val="003A2FD8"/>
    <w:rsid w:val="003B37A7"/>
    <w:rsid w:val="003B40E6"/>
    <w:rsid w:val="003C007A"/>
    <w:rsid w:val="003D06B3"/>
    <w:rsid w:val="003E1980"/>
    <w:rsid w:val="003F6482"/>
    <w:rsid w:val="003F6816"/>
    <w:rsid w:val="003F6E14"/>
    <w:rsid w:val="00405336"/>
    <w:rsid w:val="004568BC"/>
    <w:rsid w:val="004571D5"/>
    <w:rsid w:val="004623F5"/>
    <w:rsid w:val="00462F1B"/>
    <w:rsid w:val="0046356B"/>
    <w:rsid w:val="00477182"/>
    <w:rsid w:val="004779CB"/>
    <w:rsid w:val="00481118"/>
    <w:rsid w:val="004B2481"/>
    <w:rsid w:val="004D2A8C"/>
    <w:rsid w:val="004E3F2B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74F44"/>
    <w:rsid w:val="005A4173"/>
    <w:rsid w:val="005A558C"/>
    <w:rsid w:val="005B186E"/>
    <w:rsid w:val="005C6651"/>
    <w:rsid w:val="005C7A90"/>
    <w:rsid w:val="005D6D71"/>
    <w:rsid w:val="005E28F8"/>
    <w:rsid w:val="005E6513"/>
    <w:rsid w:val="00606E6C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F602A"/>
    <w:rsid w:val="007108F5"/>
    <w:rsid w:val="00713AF2"/>
    <w:rsid w:val="00713E5B"/>
    <w:rsid w:val="00726BBF"/>
    <w:rsid w:val="00736541"/>
    <w:rsid w:val="007402FC"/>
    <w:rsid w:val="007411A1"/>
    <w:rsid w:val="007563F2"/>
    <w:rsid w:val="00764008"/>
    <w:rsid w:val="007737D9"/>
    <w:rsid w:val="00773971"/>
    <w:rsid w:val="00805D55"/>
    <w:rsid w:val="00807D35"/>
    <w:rsid w:val="008115D9"/>
    <w:rsid w:val="00825950"/>
    <w:rsid w:val="0085019B"/>
    <w:rsid w:val="0088225B"/>
    <w:rsid w:val="00885C9B"/>
    <w:rsid w:val="008927D0"/>
    <w:rsid w:val="008D2248"/>
    <w:rsid w:val="008D5D2A"/>
    <w:rsid w:val="008E2CF1"/>
    <w:rsid w:val="008F08DC"/>
    <w:rsid w:val="008F2E90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59A7"/>
    <w:rsid w:val="009A5287"/>
    <w:rsid w:val="009B2AC5"/>
    <w:rsid w:val="009B7984"/>
    <w:rsid w:val="009F4BED"/>
    <w:rsid w:val="009F7D93"/>
    <w:rsid w:val="00A13522"/>
    <w:rsid w:val="00A276DF"/>
    <w:rsid w:val="00A3084A"/>
    <w:rsid w:val="00A3403B"/>
    <w:rsid w:val="00A50033"/>
    <w:rsid w:val="00A51A12"/>
    <w:rsid w:val="00A627D4"/>
    <w:rsid w:val="00A74DA2"/>
    <w:rsid w:val="00A92733"/>
    <w:rsid w:val="00A936EA"/>
    <w:rsid w:val="00AA76F3"/>
    <w:rsid w:val="00AC7DA6"/>
    <w:rsid w:val="00AD499C"/>
    <w:rsid w:val="00AF10ED"/>
    <w:rsid w:val="00B30334"/>
    <w:rsid w:val="00B3147F"/>
    <w:rsid w:val="00B36869"/>
    <w:rsid w:val="00B43B31"/>
    <w:rsid w:val="00B47CFA"/>
    <w:rsid w:val="00B57F00"/>
    <w:rsid w:val="00B626CB"/>
    <w:rsid w:val="00B7560C"/>
    <w:rsid w:val="00B77E40"/>
    <w:rsid w:val="00B82C22"/>
    <w:rsid w:val="00B90543"/>
    <w:rsid w:val="00B93DBA"/>
    <w:rsid w:val="00B9440A"/>
    <w:rsid w:val="00B952C1"/>
    <w:rsid w:val="00B968D7"/>
    <w:rsid w:val="00BA3953"/>
    <w:rsid w:val="00BB2D2A"/>
    <w:rsid w:val="00BB7A71"/>
    <w:rsid w:val="00BD58CF"/>
    <w:rsid w:val="00BF1BEB"/>
    <w:rsid w:val="00BF1BF9"/>
    <w:rsid w:val="00C03483"/>
    <w:rsid w:val="00C04CC1"/>
    <w:rsid w:val="00C071FC"/>
    <w:rsid w:val="00C11B48"/>
    <w:rsid w:val="00C22C02"/>
    <w:rsid w:val="00C27F6F"/>
    <w:rsid w:val="00C30E83"/>
    <w:rsid w:val="00C50C6D"/>
    <w:rsid w:val="00C600D9"/>
    <w:rsid w:val="00C634D7"/>
    <w:rsid w:val="00C73E09"/>
    <w:rsid w:val="00CC1384"/>
    <w:rsid w:val="00CD3720"/>
    <w:rsid w:val="00CE6EAA"/>
    <w:rsid w:val="00CF1848"/>
    <w:rsid w:val="00CF5C2F"/>
    <w:rsid w:val="00D04BCF"/>
    <w:rsid w:val="00D10134"/>
    <w:rsid w:val="00D143D9"/>
    <w:rsid w:val="00D40947"/>
    <w:rsid w:val="00D4372A"/>
    <w:rsid w:val="00D60BB0"/>
    <w:rsid w:val="00D65708"/>
    <w:rsid w:val="00D72182"/>
    <w:rsid w:val="00D8159F"/>
    <w:rsid w:val="00DB492A"/>
    <w:rsid w:val="00DD1D04"/>
    <w:rsid w:val="00DD79D7"/>
    <w:rsid w:val="00DE5C31"/>
    <w:rsid w:val="00E20431"/>
    <w:rsid w:val="00E257C8"/>
    <w:rsid w:val="00E40896"/>
    <w:rsid w:val="00E40E3E"/>
    <w:rsid w:val="00E43D2D"/>
    <w:rsid w:val="00E449CB"/>
    <w:rsid w:val="00E63760"/>
    <w:rsid w:val="00E64049"/>
    <w:rsid w:val="00E9773B"/>
    <w:rsid w:val="00EB7092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E61E1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uiPriority="10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uiPriority w:val="10"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CitaviBibliography">
    <w:name w:val="Citavi Bibliography"/>
    <w:basedOn w:val="Normal"/>
    <w:rsid w:val="00A936EA"/>
    <w:pPr>
      <w:spacing w:after="120" w:line="259" w:lineRule="auto"/>
    </w:pPr>
    <w:rPr>
      <w:rFonts w:ascii="Calibri" w:hAnsi="Calibri" w:cs="Calibri"/>
      <w:sz w:val="22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5D506-51B9-444A-BE8D-C7A8121BF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Pascal Kunath</cp:lastModifiedBy>
  <cp:revision>6</cp:revision>
  <cp:lastPrinted>2014-09-30T16:49:00Z</cp:lastPrinted>
  <dcterms:created xsi:type="dcterms:W3CDTF">2020-09-12T03:19:00Z</dcterms:created>
  <dcterms:modified xsi:type="dcterms:W3CDTF">2020-09-25T13:01:00Z</dcterms:modified>
</cp:coreProperties>
</file>