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114E3" w14:textId="77777777" w:rsidR="0052340B" w:rsidRPr="0052340B" w:rsidRDefault="0052340B" w:rsidP="0052340B">
      <w:pPr>
        <w:rPr>
          <w:rFonts w:ascii="Times New Roman" w:hAnsi="Times New Roman" w:cs="Times New Roman"/>
          <w:b/>
          <w:lang w:val="en-US"/>
        </w:rPr>
      </w:pPr>
      <w:r w:rsidRPr="0052340B">
        <w:rPr>
          <w:rFonts w:ascii="Times New Roman" w:hAnsi="Times New Roman" w:cs="Times New Roman"/>
          <w:b/>
          <w:lang w:val="en-US"/>
        </w:rPr>
        <w:t>Supplementary Material</w:t>
      </w:r>
    </w:p>
    <w:p w14:paraId="638B15DD" w14:textId="2849A84B" w:rsidR="00A55DE7" w:rsidRDefault="005A5AC2" w:rsidP="0052340B">
      <w:pPr>
        <w:rPr>
          <w:rFonts w:ascii="Times New Roman" w:hAnsi="Times New Roman" w:cs="Times New Roman"/>
          <w:lang w:val="en-US"/>
        </w:rPr>
      </w:pPr>
      <w:r>
        <w:rPr>
          <w:rFonts w:ascii="Times New Roman" w:hAnsi="Times New Roman" w:cs="Times New Roman"/>
          <w:lang w:val="en-US"/>
        </w:rPr>
        <w:t>Four</w:t>
      </w:r>
      <w:r w:rsidR="0052340B" w:rsidRPr="0052340B">
        <w:rPr>
          <w:rFonts w:ascii="Times New Roman" w:hAnsi="Times New Roman" w:cs="Times New Roman"/>
          <w:lang w:val="en-US"/>
        </w:rPr>
        <w:t xml:space="preserve"> supplementary figures (Figs. S1-S</w:t>
      </w:r>
      <w:r>
        <w:rPr>
          <w:rFonts w:ascii="Times New Roman" w:hAnsi="Times New Roman" w:cs="Times New Roman"/>
          <w:lang w:val="en-US"/>
        </w:rPr>
        <w:t>4</w:t>
      </w:r>
      <w:r w:rsidR="0052340B" w:rsidRPr="0052340B">
        <w:rPr>
          <w:rFonts w:ascii="Times New Roman" w:hAnsi="Times New Roman" w:cs="Times New Roman"/>
          <w:lang w:val="en-US"/>
        </w:rPr>
        <w:t>) are provided for this article</w:t>
      </w:r>
      <w:r w:rsidR="009C72EF">
        <w:rPr>
          <w:rFonts w:ascii="Times New Roman" w:hAnsi="Times New Roman" w:cs="Times New Roman"/>
          <w:lang w:val="en-US"/>
        </w:rPr>
        <w:t>.</w:t>
      </w:r>
      <w:bookmarkStart w:id="0" w:name="_GoBack"/>
      <w:bookmarkEnd w:id="0"/>
    </w:p>
    <w:p w14:paraId="5170DF07" w14:textId="2354A576" w:rsidR="00CA3337" w:rsidRDefault="00C40B1D" w:rsidP="0052340B">
      <w:pPr>
        <w:rPr>
          <w:rFonts w:ascii="Times New Roman" w:hAnsi="Times New Roman" w:cs="Times New Roman"/>
          <w:lang w:val="en-US"/>
        </w:rPr>
      </w:pPr>
      <w:r>
        <w:rPr>
          <w:noProof/>
        </w:rPr>
        <w:drawing>
          <wp:inline distT="0" distB="0" distL="0" distR="0" wp14:anchorId="0DA43E36" wp14:editId="6010ADFA">
            <wp:extent cx="8717669" cy="41833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52392" cy="4200042"/>
                    </a:xfrm>
                    <a:prstGeom prst="rect">
                      <a:avLst/>
                    </a:prstGeom>
                    <a:noFill/>
                    <a:ln>
                      <a:noFill/>
                    </a:ln>
                  </pic:spPr>
                </pic:pic>
              </a:graphicData>
            </a:graphic>
          </wp:inline>
        </w:drawing>
      </w:r>
    </w:p>
    <w:p w14:paraId="0B422B65" w14:textId="77777777" w:rsidR="00CA3337" w:rsidRPr="00CA3337" w:rsidRDefault="00CA3337" w:rsidP="00CA3337">
      <w:pPr>
        <w:spacing w:line="276" w:lineRule="auto"/>
        <w:rPr>
          <w:rFonts w:ascii="Times New Roman" w:hAnsi="Times New Roman" w:cs="Times New Roman"/>
          <w:lang w:val="en-US"/>
        </w:rPr>
      </w:pPr>
      <w:r w:rsidRPr="00CA3337">
        <w:rPr>
          <w:rFonts w:ascii="Times New Roman" w:hAnsi="Times New Roman" w:cs="Times New Roman"/>
          <w:b/>
          <w:lang w:val="en-US"/>
        </w:rPr>
        <w:t xml:space="preserve">Supplementary Fig. S1. </w:t>
      </w:r>
      <w:r w:rsidRPr="00CA3337">
        <w:rPr>
          <w:rFonts w:ascii="Times New Roman" w:hAnsi="Times New Roman" w:cs="Times New Roman"/>
          <w:lang w:val="en-US"/>
        </w:rPr>
        <w:t xml:space="preserve">Glacial erosional features at base of the Ling Bank Fm. </w:t>
      </w:r>
      <w:r w:rsidRPr="00CA3337">
        <w:rPr>
          <w:rFonts w:ascii="Times New Roman" w:hAnsi="Times New Roman" w:cs="Times New Roman"/>
          <w:b/>
          <w:lang w:val="en-US"/>
        </w:rPr>
        <w:t>(a)</w:t>
      </w:r>
      <w:r w:rsidRPr="00CA3337">
        <w:rPr>
          <w:rFonts w:ascii="Times New Roman" w:hAnsi="Times New Roman" w:cs="Times New Roman"/>
          <w:lang w:val="en-US"/>
        </w:rPr>
        <w:t xml:space="preserve"> Base of reflector S2 depth, </w:t>
      </w:r>
      <w:r w:rsidRPr="00CA3337">
        <w:rPr>
          <w:rFonts w:ascii="Times New Roman" w:hAnsi="Times New Roman" w:cs="Times New Roman"/>
          <w:b/>
          <w:lang w:val="en-US"/>
        </w:rPr>
        <w:t>(b)</w:t>
      </w:r>
      <w:r w:rsidRPr="00CA3337">
        <w:rPr>
          <w:rFonts w:ascii="Times New Roman" w:hAnsi="Times New Roman" w:cs="Times New Roman"/>
          <w:lang w:val="en-US"/>
        </w:rPr>
        <w:t xml:space="preserve"> S2.2 maximum amplitude map from the 3D seismic reflection data. </w:t>
      </w:r>
      <w:r w:rsidRPr="00CA3337">
        <w:rPr>
          <w:rFonts w:ascii="Times New Roman" w:hAnsi="Times New Roman" w:cs="Times New Roman"/>
          <w:b/>
          <w:lang w:val="en-US"/>
        </w:rPr>
        <w:t>(c-d)</w:t>
      </w:r>
      <w:r w:rsidRPr="00CA3337">
        <w:rPr>
          <w:rFonts w:ascii="Times New Roman" w:hAnsi="Times New Roman" w:cs="Times New Roman"/>
          <w:lang w:val="en-US"/>
        </w:rPr>
        <w:t xml:space="preserve"> The white zone highlights the area used for the gas volume calculations in the shallow reservoir. TV – Tunnel valley.</w:t>
      </w:r>
    </w:p>
    <w:p w14:paraId="048789ED" w14:textId="6ECC6E21" w:rsidR="00CA3337" w:rsidRPr="00CA3337" w:rsidRDefault="008A4E76" w:rsidP="00CA3337">
      <w:pPr>
        <w:spacing w:line="276" w:lineRule="auto"/>
        <w:rPr>
          <w:rFonts w:ascii="Times New Roman" w:hAnsi="Times New Roman" w:cs="Times New Roman"/>
          <w:b/>
          <w:lang w:val="en-US"/>
        </w:rPr>
      </w:pPr>
      <w:r>
        <w:rPr>
          <w:rFonts w:ascii="Times New Roman" w:hAnsi="Times New Roman" w:cs="Times New Roman"/>
          <w:b/>
          <w:noProof/>
          <w:lang w:val="en-US"/>
        </w:rPr>
        <w:lastRenderedPageBreak/>
        <w:drawing>
          <wp:inline distT="0" distB="0" distL="0" distR="0" wp14:anchorId="33A9DA7B" wp14:editId="7AB7593D">
            <wp:extent cx="3282001" cy="52737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_Figure_S2_high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4806" cy="5294325"/>
                    </a:xfrm>
                    <a:prstGeom prst="rect">
                      <a:avLst/>
                    </a:prstGeom>
                  </pic:spPr>
                </pic:pic>
              </a:graphicData>
            </a:graphic>
          </wp:inline>
        </w:drawing>
      </w:r>
    </w:p>
    <w:p w14:paraId="5EC30078" w14:textId="77777777" w:rsidR="00CA3337" w:rsidRPr="00CA3337" w:rsidRDefault="00CA3337" w:rsidP="00CA3337">
      <w:pPr>
        <w:spacing w:line="276" w:lineRule="auto"/>
        <w:rPr>
          <w:rFonts w:ascii="Times New Roman" w:hAnsi="Times New Roman" w:cs="Times New Roman"/>
          <w:lang w:val="en-US"/>
        </w:rPr>
      </w:pPr>
      <w:r w:rsidRPr="00CA3337">
        <w:rPr>
          <w:rFonts w:ascii="Times New Roman" w:hAnsi="Times New Roman" w:cs="Times New Roman"/>
          <w:b/>
          <w:lang w:val="en-US"/>
        </w:rPr>
        <w:t>Supplementary Fig. S2.</w:t>
      </w:r>
      <w:r w:rsidRPr="00CA3337">
        <w:rPr>
          <w:rFonts w:ascii="Times New Roman" w:hAnsi="Times New Roman" w:cs="Times New Roman"/>
          <w:lang w:val="en-US"/>
        </w:rPr>
        <w:t xml:space="preserve"> Photographs of gravity cores GC-15 and GC-17, extracted from below West (GC-15) and East (GC-17) Scanner pockmark (Figure 2b).</w:t>
      </w:r>
    </w:p>
    <w:p w14:paraId="79F5DE59" w14:textId="31EC1724" w:rsidR="00CA3337" w:rsidRPr="00CA3337" w:rsidRDefault="00C40B1D" w:rsidP="00CA3337">
      <w:pPr>
        <w:spacing w:line="276" w:lineRule="auto"/>
        <w:rPr>
          <w:rFonts w:ascii="Times New Roman" w:hAnsi="Times New Roman" w:cs="Times New Roman"/>
          <w:lang w:val="en-US"/>
        </w:rPr>
      </w:pPr>
      <w:r>
        <w:rPr>
          <w:noProof/>
        </w:rPr>
        <w:lastRenderedPageBreak/>
        <w:drawing>
          <wp:inline distT="0" distB="0" distL="0" distR="0" wp14:anchorId="25958942" wp14:editId="6AC07006">
            <wp:extent cx="8084820" cy="46953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02911" cy="4705814"/>
                    </a:xfrm>
                    <a:prstGeom prst="rect">
                      <a:avLst/>
                    </a:prstGeom>
                    <a:noFill/>
                    <a:ln>
                      <a:noFill/>
                    </a:ln>
                  </pic:spPr>
                </pic:pic>
              </a:graphicData>
            </a:graphic>
          </wp:inline>
        </w:drawing>
      </w:r>
    </w:p>
    <w:p w14:paraId="685FE59B" w14:textId="77777777" w:rsidR="00CA3337" w:rsidRPr="00CA3337" w:rsidRDefault="00CA3337" w:rsidP="00CA3337">
      <w:pPr>
        <w:spacing w:line="276" w:lineRule="auto"/>
        <w:rPr>
          <w:rFonts w:ascii="Times New Roman" w:hAnsi="Times New Roman" w:cs="Times New Roman"/>
          <w:lang w:val="en-US"/>
        </w:rPr>
      </w:pPr>
      <w:r w:rsidRPr="00CA3337">
        <w:rPr>
          <w:rFonts w:ascii="Times New Roman" w:hAnsi="Times New Roman" w:cs="Times New Roman"/>
          <w:b/>
          <w:lang w:val="en-US"/>
        </w:rPr>
        <w:t xml:space="preserve">Supplementary Fig. S3. </w:t>
      </w:r>
      <w:r w:rsidRPr="00CA3337">
        <w:rPr>
          <w:rFonts w:ascii="Times New Roman" w:hAnsi="Times New Roman" w:cs="Times New Roman"/>
          <w:lang w:val="en-US"/>
        </w:rPr>
        <w:t xml:space="preserve">Distribution of gas-charged sediment across the Scanner pockmark complex from attribute analysis of 3D seismic reflection data. </w:t>
      </w:r>
      <w:r w:rsidRPr="00CA3337">
        <w:rPr>
          <w:rFonts w:ascii="Times New Roman" w:hAnsi="Times New Roman" w:cs="Times New Roman"/>
          <w:b/>
          <w:lang w:val="en-US"/>
        </w:rPr>
        <w:t>(a)</w:t>
      </w:r>
      <w:r w:rsidRPr="00CA3337">
        <w:rPr>
          <w:rFonts w:ascii="Times New Roman" w:hAnsi="Times New Roman" w:cs="Times New Roman"/>
          <w:lang w:val="en-US"/>
        </w:rPr>
        <w:t xml:space="preserve"> The map shows the depth to the maximum amplitude in the depth range 55-135 metres below seafloor. Maximum amplitude is interpreted to correlate with the depth of gas charged sediment, as well as high impedance contrasts between clay-rich to sand-rich sediment. Black arrows indicate primary flow pathways towards the base of the large pockmarks. Locations of the large pockmarks are displayed using a black fill and dotted outlines. </w:t>
      </w:r>
      <w:r w:rsidRPr="00CA3337">
        <w:rPr>
          <w:rFonts w:ascii="Times New Roman" w:hAnsi="Times New Roman" w:cs="Times New Roman"/>
          <w:b/>
          <w:lang w:val="en-US"/>
        </w:rPr>
        <w:t>(b)</w:t>
      </w:r>
      <w:r w:rsidRPr="00CA3337">
        <w:rPr>
          <w:rFonts w:ascii="Times New Roman" w:hAnsi="Times New Roman" w:cs="Times New Roman"/>
          <w:lang w:val="en-US"/>
        </w:rPr>
        <w:t xml:space="preserve"> brighter areas represent amplitude maxima corresponding to gas-saturated sediment (seismic amplitudes &gt; 4000). Maps </w:t>
      </w:r>
      <w:r w:rsidRPr="00CA3337">
        <w:rPr>
          <w:rFonts w:ascii="Times New Roman" w:hAnsi="Times New Roman" w:cs="Times New Roman"/>
          <w:b/>
          <w:lang w:val="en-US"/>
        </w:rPr>
        <w:t>a)</w:t>
      </w:r>
      <w:r w:rsidRPr="00CA3337">
        <w:rPr>
          <w:rFonts w:ascii="Times New Roman" w:hAnsi="Times New Roman" w:cs="Times New Roman"/>
          <w:lang w:val="en-US"/>
        </w:rPr>
        <w:t xml:space="preserve"> and </w:t>
      </w:r>
      <w:r w:rsidRPr="00CA3337">
        <w:rPr>
          <w:rFonts w:ascii="Times New Roman" w:hAnsi="Times New Roman" w:cs="Times New Roman"/>
          <w:b/>
          <w:lang w:val="en-US"/>
        </w:rPr>
        <w:t>b)</w:t>
      </w:r>
      <w:r w:rsidRPr="00CA3337">
        <w:rPr>
          <w:rFonts w:ascii="Times New Roman" w:hAnsi="Times New Roman" w:cs="Times New Roman"/>
          <w:lang w:val="en-US"/>
        </w:rPr>
        <w:t xml:space="preserve"> are combined to make figure 14.</w:t>
      </w:r>
    </w:p>
    <w:p w14:paraId="41F84D17" w14:textId="7175D5B8" w:rsidR="00CA3337" w:rsidRPr="00CA3337" w:rsidRDefault="00C40B1D" w:rsidP="00CA3337">
      <w:pPr>
        <w:spacing w:line="276" w:lineRule="auto"/>
        <w:rPr>
          <w:rFonts w:ascii="Times New Roman" w:hAnsi="Times New Roman" w:cs="Times New Roman"/>
          <w:lang w:val="en-US"/>
        </w:rPr>
      </w:pPr>
      <w:r>
        <w:rPr>
          <w:noProof/>
        </w:rPr>
        <w:lastRenderedPageBreak/>
        <w:drawing>
          <wp:inline distT="0" distB="0" distL="0" distR="0" wp14:anchorId="54349DC0" wp14:editId="6F85FA08">
            <wp:extent cx="7627620" cy="470036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94118" cy="4741346"/>
                    </a:xfrm>
                    <a:prstGeom prst="rect">
                      <a:avLst/>
                    </a:prstGeom>
                    <a:noFill/>
                    <a:ln>
                      <a:noFill/>
                    </a:ln>
                  </pic:spPr>
                </pic:pic>
              </a:graphicData>
            </a:graphic>
          </wp:inline>
        </w:drawing>
      </w:r>
    </w:p>
    <w:p w14:paraId="52EF6844" w14:textId="05CCF766" w:rsidR="0052340B" w:rsidRPr="0052340B" w:rsidRDefault="00CA3337" w:rsidP="00D80F13">
      <w:pPr>
        <w:spacing w:line="276" w:lineRule="auto"/>
        <w:rPr>
          <w:rFonts w:ascii="Times New Roman" w:hAnsi="Times New Roman" w:cs="Times New Roman"/>
          <w:lang w:val="en-US"/>
        </w:rPr>
      </w:pPr>
      <w:r w:rsidRPr="00CA3337">
        <w:rPr>
          <w:rFonts w:ascii="Times New Roman" w:hAnsi="Times New Roman" w:cs="Times New Roman"/>
          <w:b/>
          <w:lang w:val="en-US"/>
        </w:rPr>
        <w:t>Supplementary Fig. S4.</w:t>
      </w:r>
      <w:r w:rsidRPr="00CA3337">
        <w:rPr>
          <w:rFonts w:ascii="Times New Roman" w:hAnsi="Times New Roman" w:cs="Times New Roman"/>
          <w:lang w:val="en-US"/>
        </w:rPr>
        <w:t xml:space="preserve"> </w:t>
      </w:r>
      <w:r w:rsidRPr="00CA3337">
        <w:rPr>
          <w:rFonts w:ascii="Times New Roman" w:hAnsi="Times New Roman" w:cs="Times New Roman"/>
          <w:b/>
          <w:lang w:val="en-US"/>
        </w:rPr>
        <w:t>(a)</w:t>
      </w:r>
      <w:r w:rsidRPr="00CA3337">
        <w:rPr>
          <w:rFonts w:ascii="Times New Roman" w:hAnsi="Times New Roman" w:cs="Times New Roman"/>
          <w:lang w:val="en-US"/>
        </w:rPr>
        <w:t xml:space="preserve"> Depth map of reflector base S5 (Witch Ground </w:t>
      </w:r>
      <w:proofErr w:type="spellStart"/>
      <w:r w:rsidRPr="00CA3337">
        <w:rPr>
          <w:rFonts w:ascii="Times New Roman" w:hAnsi="Times New Roman" w:cs="Times New Roman"/>
          <w:lang w:val="en-US"/>
        </w:rPr>
        <w:t>Fm</w:t>
      </w:r>
      <w:proofErr w:type="spellEnd"/>
      <w:r w:rsidRPr="00CA3337">
        <w:rPr>
          <w:rFonts w:ascii="Times New Roman" w:hAnsi="Times New Roman" w:cs="Times New Roman"/>
          <w:lang w:val="en-US"/>
        </w:rPr>
        <w:t xml:space="preserve">) and </w:t>
      </w:r>
      <w:r w:rsidRPr="00CA3337">
        <w:rPr>
          <w:rFonts w:ascii="Times New Roman" w:hAnsi="Times New Roman" w:cs="Times New Roman"/>
          <w:b/>
          <w:lang w:val="en-US"/>
        </w:rPr>
        <w:t>(b)</w:t>
      </w:r>
      <w:r w:rsidRPr="00CA3337">
        <w:rPr>
          <w:rFonts w:ascii="Times New Roman" w:hAnsi="Times New Roman" w:cs="Times New Roman"/>
          <w:lang w:val="en-US"/>
        </w:rPr>
        <w:t xml:space="preserve"> isochore thickness map from reflector base S5 to top S2.1 (basal unit of Ling Bank </w:t>
      </w:r>
      <w:proofErr w:type="spellStart"/>
      <w:r w:rsidRPr="00CA3337">
        <w:rPr>
          <w:rFonts w:ascii="Times New Roman" w:hAnsi="Times New Roman" w:cs="Times New Roman"/>
          <w:lang w:val="en-US"/>
        </w:rPr>
        <w:t>Fm</w:t>
      </w:r>
      <w:proofErr w:type="spellEnd"/>
      <w:r w:rsidRPr="00CA3337">
        <w:rPr>
          <w:rFonts w:ascii="Times New Roman" w:hAnsi="Times New Roman" w:cs="Times New Roman"/>
          <w:lang w:val="en-US"/>
        </w:rPr>
        <w:t xml:space="preserve">). </w:t>
      </w:r>
      <w:r w:rsidRPr="00CA3337">
        <w:rPr>
          <w:rFonts w:ascii="Times New Roman" w:hAnsi="Times New Roman" w:cs="Times New Roman"/>
          <w:b/>
          <w:lang w:val="en-US"/>
        </w:rPr>
        <w:t>a)</w:t>
      </w:r>
      <w:r w:rsidRPr="00CA3337">
        <w:rPr>
          <w:rFonts w:ascii="Times New Roman" w:hAnsi="Times New Roman" w:cs="Times New Roman"/>
          <w:lang w:val="en-US"/>
        </w:rPr>
        <w:t xml:space="preserve"> Near the large pockmarks, a 5 m depth increase is observed for reflector base S5. The comparatively sharp depth change (black dashed line) may cause localised focusing of fluid flow and subsequent overpressure generation in this stratigraphic interval. </w:t>
      </w:r>
      <w:r w:rsidRPr="00CA3337">
        <w:rPr>
          <w:rFonts w:ascii="Times New Roman" w:hAnsi="Times New Roman" w:cs="Times New Roman"/>
          <w:b/>
          <w:lang w:val="en-US"/>
        </w:rPr>
        <w:t>b)</w:t>
      </w:r>
      <w:r w:rsidRPr="00CA3337">
        <w:rPr>
          <w:rFonts w:ascii="Times New Roman" w:hAnsi="Times New Roman" w:cs="Times New Roman"/>
          <w:lang w:val="en-US"/>
        </w:rPr>
        <w:t xml:space="preserve"> Areas of reduced isochore thickness correspond to the location of the large pockmarks. Therefore, it may be inferred that the pockmarks have formed in areas of reduced confining pressure/ overburden thickness</w:t>
      </w:r>
      <w:r w:rsidR="004D64E7">
        <w:rPr>
          <w:rFonts w:ascii="Times New Roman" w:hAnsi="Times New Roman" w:cs="Times New Roman"/>
          <w:lang w:val="en-US"/>
        </w:rPr>
        <w:t>.</w:t>
      </w:r>
    </w:p>
    <w:sectPr w:rsidR="0052340B" w:rsidRPr="0052340B" w:rsidSect="00C40B1D">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0B"/>
    <w:rsid w:val="00095AF2"/>
    <w:rsid w:val="001F18A7"/>
    <w:rsid w:val="003975FD"/>
    <w:rsid w:val="003A73BA"/>
    <w:rsid w:val="004D64E7"/>
    <w:rsid w:val="0052340B"/>
    <w:rsid w:val="005A5AC2"/>
    <w:rsid w:val="008A4E76"/>
    <w:rsid w:val="009C72EF"/>
    <w:rsid w:val="00BB0F95"/>
    <w:rsid w:val="00C40B1D"/>
    <w:rsid w:val="00CA3337"/>
    <w:rsid w:val="00D80F1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3F03C"/>
  <w15:chartTrackingRefBased/>
  <w15:docId w15:val="{DA5948D0-00E1-47AC-88D4-7A0F5182F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50E4660B72A64589FD0552B6E75329" ma:contentTypeVersion="12" ma:contentTypeDescription="Een nieuw document maken." ma:contentTypeScope="" ma:versionID="5f13dfd760a9b1d1f1cf39c8db225e4f">
  <xsd:schema xmlns:xsd="http://www.w3.org/2001/XMLSchema" xmlns:xs="http://www.w3.org/2001/XMLSchema" xmlns:p="http://schemas.microsoft.com/office/2006/metadata/properties" xmlns:ns3="8dc0431a-a82e-41d2-ac32-a12e606a590d" xmlns:ns4="411fbf60-5051-43e4-af9b-91bac4ee150f" targetNamespace="http://schemas.microsoft.com/office/2006/metadata/properties" ma:root="true" ma:fieldsID="1cba66ec860bb24a289dd9273f40a975" ns3:_="" ns4:_="">
    <xsd:import namespace="8dc0431a-a82e-41d2-ac32-a12e606a590d"/>
    <xsd:import namespace="411fbf60-5051-43e4-af9b-91bac4ee150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0431a-a82e-41d2-ac32-a12e606a5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1fbf60-5051-43e4-af9b-91bac4ee150f"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SharingHintHash" ma:index="19"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AAF7F-A737-4569-BE1E-58794AC53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0431a-a82e-41d2-ac32-a12e606a590d"/>
    <ds:schemaRef ds:uri="411fbf60-5051-43e4-af9b-91bac4ee1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00F6F6-11B6-4C9B-AF6F-A6FED77FB580}">
  <ds:schemaRefs>
    <ds:schemaRef ds:uri="http://schemas.microsoft.com/sharepoint/v3/contenttype/forms"/>
  </ds:schemaRefs>
</ds:datastoreItem>
</file>

<file path=customXml/itemProps3.xml><?xml version="1.0" encoding="utf-8"?>
<ds:datastoreItem xmlns:ds="http://schemas.openxmlformats.org/officeDocument/2006/customXml" ds:itemID="{0E8A1D0C-B221-4652-AC7C-F7CDCBC33C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1F8B122-F478-A64C-AC7A-EB7E95A5A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290</Words>
  <Characters>1657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Callow</dc:creator>
  <cp:keywords/>
  <dc:description/>
  <cp:lastModifiedBy>Callow B.J.</cp:lastModifiedBy>
  <cp:revision>11</cp:revision>
  <dcterms:created xsi:type="dcterms:W3CDTF">2021-05-08T18:51:00Z</dcterms:created>
  <dcterms:modified xsi:type="dcterms:W3CDTF">2021-08-20T08:30:00Z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0x0101005D50E4660B72A64589FD0552B6E75329</vt:lpwstr>
  </property>
</Properties>
</file>