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04FA3" w:rsidRPr="00C22807" w:rsidRDefault="00F04FA3" w:rsidP="000B77AA">
      <w:pPr>
        <w:spacing w:after="0" w:line="480" w:lineRule="auto"/>
        <w:rPr>
          <w:rFonts w:ascii="Times New Roman" w:hAnsi="Times New Roman" w:cs="Times New Roman"/>
          <w:sz w:val="24"/>
          <w:szCs w:val="24"/>
          <w:lang w:val="es-ES"/>
        </w:rPr>
      </w:pPr>
      <w:r w:rsidRPr="00C22807">
        <w:rPr>
          <w:rFonts w:ascii="Times New Roman" w:hAnsi="Times New Roman" w:cs="Times New Roman"/>
          <w:sz w:val="24"/>
          <w:szCs w:val="24"/>
          <w:lang w:val="es-ES"/>
        </w:rPr>
        <w:t>Zircon U-Pb methodology</w:t>
      </w:r>
      <w:r>
        <w:rPr>
          <w:rFonts w:ascii="Times New Roman" w:hAnsi="Times New Roman" w:cs="Times New Roman"/>
          <w:sz w:val="24"/>
          <w:szCs w:val="24"/>
          <w:lang w:val="es-ES"/>
        </w:rPr>
        <w:t xml:space="preserve"> and results</w:t>
      </w:r>
    </w:p>
    <w:p w:rsidR="00F04FA3" w:rsidRDefault="00F04FA3" w:rsidP="000B77AA">
      <w:pPr>
        <w:spacing w:after="0" w:line="240" w:lineRule="auto"/>
        <w:jc w:val="both"/>
        <w:rPr>
          <w:rFonts w:ascii="Times New Roman" w:hAnsi="Times New Roman" w:cs="Times New Roman"/>
          <w:sz w:val="24"/>
          <w:szCs w:val="24"/>
          <w:lang w:val="en-GB"/>
        </w:rPr>
      </w:pPr>
      <w:r w:rsidRPr="003C1BAE">
        <w:rPr>
          <w:rFonts w:ascii="Times New Roman" w:hAnsi="Times New Roman" w:cs="Times New Roman"/>
          <w:sz w:val="24"/>
          <w:szCs w:val="24"/>
          <w:lang w:val="en-GB"/>
        </w:rPr>
        <w:t>Zircons were separated at the Laboratoire Magmas et Volcans (LMV), Clermont-Ferrand (France) using standard techniques of crushing and sieving, followed by Wilfley table, magnetic separation and heavy liquids before handpicking under binocular microscope. Zircons were then mounted in epoxy disks, ground, and polished with 0.25µm diamond grit to expose crystal interiors. U-Th-Pb isotopic data on zircons were obtained by laser ablation inductively coupled plasma mass spectrometry (LA-ICP-MS) at LMV (Laboratoire Magmas &amp; Volcans, Clermont-Ferrand, France). The analyses involved ablation of minerals with a Resonetics M-50 laser system operating at a wavelength of 193 nm. Spot diameters of 33 µm, repetition rates of 3 Hz and fluence of 2.0 J/cm</w:t>
      </w:r>
      <w:r w:rsidRPr="00C22807">
        <w:rPr>
          <w:rFonts w:ascii="Times New Roman" w:hAnsi="Times New Roman" w:cs="Times New Roman"/>
          <w:sz w:val="24"/>
          <w:szCs w:val="24"/>
          <w:vertAlign w:val="superscript"/>
          <w:lang w:val="en-GB"/>
        </w:rPr>
        <w:t>2</w:t>
      </w:r>
      <w:r w:rsidRPr="003C1BAE">
        <w:rPr>
          <w:rFonts w:ascii="Times New Roman" w:hAnsi="Times New Roman" w:cs="Times New Roman"/>
          <w:sz w:val="24"/>
          <w:szCs w:val="24"/>
          <w:lang w:val="en-GB"/>
        </w:rPr>
        <w:t xml:space="preserve"> resulted in a spot depth of 10 µm. The ablated material was carried into helium and then mixed with nitrogen (Paquette et al. 2014) and argon before injection into the plasma source of a Thermo Element XR Sector Field high-resolution ICP-MS equipped with the jet interface pumping device. The alignment of the instrument and mass calibration were performed before every analytical session using the NIST SRM 612 reference glass, by inspecting the signals of </w:t>
      </w:r>
      <w:r w:rsidRPr="00C22807">
        <w:rPr>
          <w:rFonts w:ascii="Times New Roman" w:hAnsi="Times New Roman" w:cs="Times New Roman"/>
          <w:sz w:val="24"/>
          <w:szCs w:val="24"/>
          <w:vertAlign w:val="superscript"/>
          <w:lang w:val="en-GB"/>
        </w:rPr>
        <w:t>238</w:t>
      </w:r>
      <w:r w:rsidRPr="003C1BAE">
        <w:rPr>
          <w:rFonts w:ascii="Times New Roman" w:hAnsi="Times New Roman" w:cs="Times New Roman"/>
          <w:sz w:val="24"/>
          <w:szCs w:val="24"/>
          <w:lang w:val="en-GB"/>
        </w:rPr>
        <w:t xml:space="preserve">U, </w:t>
      </w:r>
      <w:r w:rsidRPr="00C22807">
        <w:rPr>
          <w:rFonts w:ascii="Times New Roman" w:hAnsi="Times New Roman" w:cs="Times New Roman"/>
          <w:sz w:val="24"/>
          <w:szCs w:val="24"/>
          <w:vertAlign w:val="superscript"/>
          <w:lang w:val="en-GB"/>
        </w:rPr>
        <w:t>232</w:t>
      </w:r>
      <w:r w:rsidRPr="003C1BAE">
        <w:rPr>
          <w:rFonts w:ascii="Times New Roman" w:hAnsi="Times New Roman" w:cs="Times New Roman"/>
          <w:sz w:val="24"/>
          <w:szCs w:val="24"/>
          <w:lang w:val="en-GB"/>
        </w:rPr>
        <w:t xml:space="preserve">Th and </w:t>
      </w:r>
      <w:r w:rsidRPr="00C22807">
        <w:rPr>
          <w:rFonts w:ascii="Times New Roman" w:hAnsi="Times New Roman" w:cs="Times New Roman"/>
          <w:sz w:val="24"/>
          <w:szCs w:val="24"/>
          <w:vertAlign w:val="superscript"/>
          <w:lang w:val="en-GB"/>
        </w:rPr>
        <w:t>208</w:t>
      </w:r>
      <w:r w:rsidRPr="003C1BAE">
        <w:rPr>
          <w:rFonts w:ascii="Times New Roman" w:hAnsi="Times New Roman" w:cs="Times New Roman"/>
          <w:sz w:val="24"/>
          <w:szCs w:val="24"/>
          <w:lang w:val="en-GB"/>
        </w:rPr>
        <w:t>Pb and by minimising the ThO</w:t>
      </w:r>
      <w:r w:rsidRPr="00C22807">
        <w:rPr>
          <w:rFonts w:ascii="Times New Roman" w:hAnsi="Times New Roman" w:cs="Times New Roman"/>
          <w:sz w:val="24"/>
          <w:szCs w:val="24"/>
          <w:vertAlign w:val="superscript"/>
          <w:lang w:val="en-GB"/>
        </w:rPr>
        <w:t>+</w:t>
      </w:r>
      <w:r w:rsidRPr="003C1BAE">
        <w:rPr>
          <w:rFonts w:ascii="Times New Roman" w:hAnsi="Times New Roman" w:cs="Times New Roman"/>
          <w:sz w:val="24"/>
          <w:szCs w:val="24"/>
          <w:lang w:val="en-GB"/>
        </w:rPr>
        <w:t>/Th</w:t>
      </w:r>
      <w:r w:rsidRPr="00C22807">
        <w:rPr>
          <w:rFonts w:ascii="Times New Roman" w:hAnsi="Times New Roman" w:cs="Times New Roman"/>
          <w:sz w:val="24"/>
          <w:szCs w:val="24"/>
          <w:vertAlign w:val="superscript"/>
          <w:lang w:val="en-GB"/>
        </w:rPr>
        <w:t>+</w:t>
      </w:r>
      <w:r w:rsidRPr="003C1BAE">
        <w:rPr>
          <w:rFonts w:ascii="Times New Roman" w:hAnsi="Times New Roman" w:cs="Times New Roman"/>
          <w:sz w:val="24"/>
          <w:szCs w:val="24"/>
          <w:lang w:val="en-GB"/>
        </w:rPr>
        <w:t xml:space="preserve"> ratio. The analytical method for isotope dating with laser ablation ICP-MS is basically similar to that reported in Hurai et al. (2010) and Paquette et al. (2019). The </w:t>
      </w:r>
      <w:r w:rsidRPr="00C22807">
        <w:rPr>
          <w:rFonts w:ascii="Times New Roman" w:hAnsi="Times New Roman" w:cs="Times New Roman"/>
          <w:sz w:val="24"/>
          <w:szCs w:val="24"/>
          <w:vertAlign w:val="superscript"/>
          <w:lang w:val="en-GB"/>
        </w:rPr>
        <w:t>235</w:t>
      </w:r>
      <w:r w:rsidRPr="003C1BAE">
        <w:rPr>
          <w:rFonts w:ascii="Times New Roman" w:hAnsi="Times New Roman" w:cs="Times New Roman"/>
          <w:sz w:val="24"/>
          <w:szCs w:val="24"/>
          <w:lang w:val="en-GB"/>
        </w:rPr>
        <w:t xml:space="preserve">U signal is calculated from </w:t>
      </w:r>
      <w:r w:rsidRPr="00C22807">
        <w:rPr>
          <w:rFonts w:ascii="Times New Roman" w:hAnsi="Times New Roman" w:cs="Times New Roman"/>
          <w:sz w:val="24"/>
          <w:szCs w:val="24"/>
          <w:vertAlign w:val="superscript"/>
          <w:lang w:val="en-GB"/>
        </w:rPr>
        <w:t>238</w:t>
      </w:r>
      <w:r w:rsidRPr="003C1BAE">
        <w:rPr>
          <w:rFonts w:ascii="Times New Roman" w:hAnsi="Times New Roman" w:cs="Times New Roman"/>
          <w:sz w:val="24"/>
          <w:szCs w:val="24"/>
          <w:lang w:val="en-GB"/>
        </w:rPr>
        <w:t xml:space="preserve">U based on the ratio </w:t>
      </w:r>
      <w:r w:rsidRPr="00C22807">
        <w:rPr>
          <w:rFonts w:ascii="Times New Roman" w:hAnsi="Times New Roman" w:cs="Times New Roman"/>
          <w:sz w:val="24"/>
          <w:szCs w:val="24"/>
          <w:vertAlign w:val="superscript"/>
          <w:lang w:val="en-GB"/>
        </w:rPr>
        <w:t>238</w:t>
      </w:r>
      <w:r w:rsidRPr="003C1BAE">
        <w:rPr>
          <w:rFonts w:ascii="Times New Roman" w:hAnsi="Times New Roman" w:cs="Times New Roman"/>
          <w:sz w:val="24"/>
          <w:szCs w:val="24"/>
          <w:lang w:val="en-GB"/>
        </w:rPr>
        <w:t>U/</w:t>
      </w:r>
      <w:r w:rsidRPr="00C22807">
        <w:rPr>
          <w:rFonts w:ascii="Times New Roman" w:hAnsi="Times New Roman" w:cs="Times New Roman"/>
          <w:sz w:val="24"/>
          <w:szCs w:val="24"/>
          <w:vertAlign w:val="superscript"/>
          <w:lang w:val="en-GB"/>
        </w:rPr>
        <w:t>235</w:t>
      </w:r>
      <w:r w:rsidRPr="003C1BAE">
        <w:rPr>
          <w:rFonts w:ascii="Times New Roman" w:hAnsi="Times New Roman" w:cs="Times New Roman"/>
          <w:sz w:val="24"/>
          <w:szCs w:val="24"/>
          <w:lang w:val="en-GB"/>
        </w:rPr>
        <w:t>U = 137.818 (Hiess et al. 2012). Single analyses consisted of 30 seconds of background integration with laser off followed by 60 seconds integration with the laser firing and a 30 seconds delay to wash out the previous sample and prepare the next analysis.</w:t>
      </w:r>
    </w:p>
    <w:p w:rsidR="00F04FA3" w:rsidRDefault="00F04FA3" w:rsidP="000B77AA">
      <w:pPr>
        <w:spacing w:after="0" w:line="240" w:lineRule="auto"/>
        <w:jc w:val="both"/>
        <w:rPr>
          <w:rFonts w:ascii="Times New Roman" w:hAnsi="Times New Roman" w:cs="Times New Roman"/>
          <w:sz w:val="24"/>
          <w:szCs w:val="24"/>
          <w:lang w:val="en-GB"/>
        </w:rPr>
      </w:pPr>
      <w:r w:rsidRPr="003C1BAE">
        <w:rPr>
          <w:rFonts w:ascii="Times New Roman" w:hAnsi="Times New Roman" w:cs="Times New Roman"/>
          <w:sz w:val="24"/>
          <w:szCs w:val="24"/>
          <w:lang w:val="en-GB"/>
        </w:rPr>
        <w:tab/>
        <w:t>Data were corrected for U-Pb fractionation occurring during laser sampling and for instrumental mass bias by standard bracketing with repeated measurements of GJ-1 zircon primary standard (Jackson et al. 2004). Repeated analyses of 91500 zircon reference material (Wiedenbeck et al. 1995) during each analytical session and treated as unknown, independently control the reproducibility and accuracy of the corrections. Data reduction was carried out with the software package GLITTER® from Macquarie Research Ltd (van Achterbergh et al. 2001; Jackson et al. 2004).</w:t>
      </w:r>
    </w:p>
    <w:p w:rsidR="00F04FA3" w:rsidRPr="003C1BAE" w:rsidRDefault="00F04FA3" w:rsidP="000B77AA">
      <w:pPr>
        <w:spacing w:after="0" w:line="240" w:lineRule="auto"/>
        <w:jc w:val="both"/>
        <w:rPr>
          <w:rFonts w:ascii="Times New Roman" w:hAnsi="Times New Roman" w:cs="Times New Roman"/>
          <w:sz w:val="24"/>
          <w:szCs w:val="24"/>
          <w:lang w:val="en-GB"/>
        </w:rPr>
      </w:pPr>
      <w:r w:rsidRPr="003C1BAE">
        <w:rPr>
          <w:rFonts w:ascii="Times New Roman" w:hAnsi="Times New Roman" w:cs="Times New Roman"/>
          <w:sz w:val="24"/>
          <w:szCs w:val="24"/>
          <w:lang w:val="en-GB"/>
        </w:rPr>
        <w:t>Schärer (1984) demonstrated that most zircons are affected during their growth by deficits and excesses of both</w:t>
      </w:r>
      <w:r>
        <w:rPr>
          <w:rFonts w:ascii="Times New Roman" w:hAnsi="Times New Roman" w:cs="Times New Roman"/>
          <w:sz w:val="24"/>
          <w:szCs w:val="24"/>
          <w:lang w:val="en-GB"/>
        </w:rPr>
        <w:t xml:space="preserve"> </w:t>
      </w:r>
      <w:r w:rsidRPr="00C22807">
        <w:rPr>
          <w:rFonts w:ascii="Times New Roman" w:hAnsi="Times New Roman" w:cs="Times New Roman"/>
          <w:sz w:val="24"/>
          <w:szCs w:val="24"/>
          <w:vertAlign w:val="superscript"/>
          <w:lang w:val="en-GB"/>
        </w:rPr>
        <w:t>230</w:t>
      </w:r>
      <w:r w:rsidRPr="003C1BAE">
        <w:rPr>
          <w:rFonts w:ascii="Times New Roman" w:hAnsi="Times New Roman" w:cs="Times New Roman"/>
          <w:sz w:val="24"/>
          <w:szCs w:val="24"/>
          <w:lang w:val="en-GB"/>
        </w:rPr>
        <w:t xml:space="preserve">Th and </w:t>
      </w:r>
      <w:r w:rsidRPr="00C22807">
        <w:rPr>
          <w:rFonts w:ascii="Times New Roman" w:hAnsi="Times New Roman" w:cs="Times New Roman"/>
          <w:sz w:val="24"/>
          <w:szCs w:val="24"/>
          <w:vertAlign w:val="superscript"/>
          <w:lang w:val="en-GB"/>
        </w:rPr>
        <w:t>231</w:t>
      </w:r>
      <w:r w:rsidRPr="003C1BAE">
        <w:rPr>
          <w:rFonts w:ascii="Times New Roman" w:hAnsi="Times New Roman" w:cs="Times New Roman"/>
          <w:sz w:val="24"/>
          <w:szCs w:val="24"/>
          <w:lang w:val="en-GB"/>
        </w:rPr>
        <w:t xml:space="preserve">Pa relative to the initial Th/U secular equilibrium. In order to obtain accurate crystallization ages, it is necessary to correct for the effect of initial disequilibria caused by intermediate nuclides in the </w:t>
      </w:r>
      <w:r w:rsidRPr="00C22807">
        <w:rPr>
          <w:rFonts w:ascii="Times New Roman" w:hAnsi="Times New Roman" w:cs="Times New Roman"/>
          <w:sz w:val="24"/>
          <w:szCs w:val="24"/>
          <w:vertAlign w:val="superscript"/>
          <w:lang w:val="en-GB"/>
        </w:rPr>
        <w:t>238</w:t>
      </w:r>
      <w:r w:rsidRPr="003C1BAE">
        <w:rPr>
          <w:rFonts w:ascii="Times New Roman" w:hAnsi="Times New Roman" w:cs="Times New Roman"/>
          <w:sz w:val="24"/>
          <w:szCs w:val="24"/>
          <w:lang w:val="en-GB"/>
        </w:rPr>
        <w:t xml:space="preserve">U and </w:t>
      </w:r>
      <w:r w:rsidRPr="00C22807">
        <w:rPr>
          <w:rFonts w:ascii="Times New Roman" w:hAnsi="Times New Roman" w:cs="Times New Roman"/>
          <w:sz w:val="24"/>
          <w:szCs w:val="24"/>
          <w:vertAlign w:val="superscript"/>
          <w:lang w:val="en-GB"/>
        </w:rPr>
        <w:t>235</w:t>
      </w:r>
      <w:r w:rsidRPr="003C1BAE">
        <w:rPr>
          <w:rFonts w:ascii="Times New Roman" w:hAnsi="Times New Roman" w:cs="Times New Roman"/>
          <w:sz w:val="24"/>
          <w:szCs w:val="24"/>
          <w:lang w:val="en-GB"/>
        </w:rPr>
        <w:t>U decay series. Sakata et al. (2017) and Sakata (2018) propose a simplified correction model and a related Microsoft Excel spreadsheet based on the mathematical framework of Wendt and Carl (1985) using the following equations:</w:t>
      </w:r>
    </w:p>
    <w:p w:rsidR="00F04FA3" w:rsidRPr="00C22807" w:rsidRDefault="00F04FA3" w:rsidP="000B77AA">
      <w:pPr>
        <w:widowControl w:val="0"/>
        <w:autoSpaceDE w:val="0"/>
        <w:autoSpaceDN w:val="0"/>
        <w:adjustRightInd w:val="0"/>
        <w:spacing w:line="240" w:lineRule="auto"/>
        <w:ind w:left="284" w:right="260" w:firstLine="424"/>
        <w:jc w:val="both"/>
        <w:rPr>
          <w:rFonts w:ascii="Times New Roman" w:hAnsi="Times New Roman" w:cs="Times New Roman"/>
          <w:color w:val="000000"/>
          <w:sz w:val="24"/>
          <w:szCs w:val="24"/>
          <w:lang w:val="de-DE"/>
        </w:rPr>
      </w:pPr>
      <w:r w:rsidRPr="00C22807">
        <w:rPr>
          <w:rFonts w:ascii="Times New Roman" w:hAnsi="Times New Roman" w:cs="Times New Roman"/>
          <w:color w:val="000000"/>
          <w:sz w:val="24"/>
          <w:szCs w:val="24"/>
          <w:vertAlign w:val="superscript"/>
          <w:lang w:val="de-DE"/>
        </w:rPr>
        <w:t>206</w:t>
      </w:r>
      <w:r w:rsidRPr="00C22807">
        <w:rPr>
          <w:rFonts w:ascii="Times New Roman" w:hAnsi="Times New Roman" w:cs="Times New Roman"/>
          <w:color w:val="000000"/>
          <w:sz w:val="24"/>
          <w:szCs w:val="24"/>
          <w:lang w:val="de-DE"/>
        </w:rPr>
        <w:t>Pb</w:t>
      </w:r>
      <w:r w:rsidRPr="00C22807">
        <w:rPr>
          <w:rFonts w:ascii="Times New Roman" w:hAnsi="Times New Roman" w:cs="Times New Roman"/>
          <w:color w:val="000000"/>
          <w:sz w:val="24"/>
          <w:szCs w:val="24"/>
          <w:vertAlign w:val="superscript"/>
          <w:lang w:val="de-DE"/>
        </w:rPr>
        <w:t>*</w:t>
      </w:r>
      <w:r w:rsidRPr="00C22807">
        <w:rPr>
          <w:rFonts w:ascii="Times New Roman" w:hAnsi="Times New Roman" w:cs="Times New Roman"/>
          <w:color w:val="000000"/>
          <w:sz w:val="24"/>
          <w:szCs w:val="24"/>
          <w:lang w:val="de-DE"/>
        </w:rPr>
        <w:t>/</w:t>
      </w:r>
      <w:r w:rsidRPr="00C22807">
        <w:rPr>
          <w:rFonts w:ascii="Times New Roman" w:hAnsi="Times New Roman" w:cs="Times New Roman"/>
          <w:color w:val="000000"/>
          <w:sz w:val="24"/>
          <w:szCs w:val="24"/>
          <w:vertAlign w:val="superscript"/>
          <w:lang w:val="de-DE"/>
        </w:rPr>
        <w:t>238</w:t>
      </w:r>
      <w:r w:rsidRPr="00C22807">
        <w:rPr>
          <w:rFonts w:ascii="Times New Roman" w:hAnsi="Times New Roman" w:cs="Times New Roman"/>
          <w:color w:val="000000"/>
          <w:sz w:val="24"/>
          <w:szCs w:val="24"/>
          <w:lang w:val="de-DE"/>
        </w:rPr>
        <w:t>U = (</w:t>
      </w:r>
      <w:r w:rsidRPr="00C22807">
        <w:rPr>
          <w:rFonts w:ascii="Times New Roman" w:hAnsi="Times New Roman" w:cs="Times New Roman"/>
          <w:i/>
          <w:iCs/>
          <w:color w:val="000000"/>
          <w:sz w:val="24"/>
          <w:szCs w:val="24"/>
          <w:lang w:val="de-DE"/>
        </w:rPr>
        <w:t>e</w:t>
      </w:r>
      <w:r w:rsidRPr="003C1BAE">
        <w:rPr>
          <w:rFonts w:ascii="Symbol" w:hAnsi="Symbol" w:cs="Symbol"/>
          <w:color w:val="000000"/>
          <w:sz w:val="24"/>
          <w:szCs w:val="24"/>
          <w:vertAlign w:val="superscript"/>
          <w:lang w:val="en-GB"/>
        </w:rPr>
        <w:t>l</w:t>
      </w:r>
      <w:r w:rsidRPr="00C22807">
        <w:rPr>
          <w:rFonts w:ascii="Times New Roman" w:hAnsi="Times New Roman" w:cs="Times New Roman"/>
          <w:color w:val="000000"/>
          <w:position w:val="-4"/>
          <w:sz w:val="24"/>
          <w:szCs w:val="24"/>
          <w:vertAlign w:val="superscript"/>
          <w:lang w:val="de-DE"/>
        </w:rPr>
        <w:t>238</w:t>
      </w:r>
      <w:r w:rsidRPr="00C22807">
        <w:rPr>
          <w:rFonts w:ascii="Times New Roman" w:hAnsi="Times New Roman" w:cs="Times New Roman"/>
          <w:i/>
          <w:iCs/>
          <w:color w:val="000000"/>
          <w:sz w:val="24"/>
          <w:szCs w:val="24"/>
          <w:vertAlign w:val="superscript"/>
          <w:lang w:val="de-DE"/>
        </w:rPr>
        <w:t>t</w:t>
      </w:r>
      <w:r w:rsidRPr="00C22807">
        <w:rPr>
          <w:rFonts w:ascii="Times New Roman" w:hAnsi="Times New Roman" w:cs="Times New Roman"/>
          <w:color w:val="000000"/>
          <w:sz w:val="24"/>
          <w:szCs w:val="24"/>
          <w:lang w:val="de-DE"/>
        </w:rPr>
        <w:t xml:space="preserve"> -1) + </w:t>
      </w:r>
      <w:r w:rsidRPr="003C1BAE">
        <w:rPr>
          <w:rFonts w:ascii="Symbol" w:hAnsi="Symbol" w:cs="Symbol"/>
          <w:color w:val="000000"/>
          <w:sz w:val="24"/>
          <w:szCs w:val="24"/>
          <w:lang w:val="en-GB"/>
        </w:rPr>
        <w:t>l</w:t>
      </w:r>
      <w:r w:rsidRPr="00C22807">
        <w:rPr>
          <w:rFonts w:ascii="Times New Roman" w:hAnsi="Times New Roman" w:cs="Times New Roman"/>
          <w:color w:val="000000"/>
          <w:sz w:val="24"/>
          <w:szCs w:val="24"/>
          <w:vertAlign w:val="subscript"/>
          <w:lang w:val="de-DE"/>
        </w:rPr>
        <w:t>238</w:t>
      </w:r>
      <w:r w:rsidRPr="00C22807">
        <w:rPr>
          <w:rFonts w:ascii="Times New Roman" w:hAnsi="Times New Roman" w:cs="Times New Roman"/>
          <w:color w:val="000000"/>
          <w:sz w:val="24"/>
          <w:szCs w:val="24"/>
          <w:lang w:val="de-DE"/>
        </w:rPr>
        <w:t>/</w:t>
      </w:r>
      <w:r w:rsidRPr="003C1BAE">
        <w:rPr>
          <w:rFonts w:ascii="Symbol" w:hAnsi="Symbol" w:cs="Symbol"/>
          <w:color w:val="000000"/>
          <w:sz w:val="24"/>
          <w:szCs w:val="24"/>
          <w:lang w:val="en-GB"/>
        </w:rPr>
        <w:t>l</w:t>
      </w:r>
      <w:r w:rsidRPr="00C22807">
        <w:rPr>
          <w:rFonts w:ascii="Times New Roman" w:hAnsi="Times New Roman" w:cs="Times New Roman"/>
          <w:color w:val="000000"/>
          <w:sz w:val="24"/>
          <w:szCs w:val="24"/>
          <w:vertAlign w:val="subscript"/>
          <w:lang w:val="de-DE"/>
        </w:rPr>
        <w:t>230</w:t>
      </w:r>
      <w:r w:rsidRPr="00C22807">
        <w:rPr>
          <w:rFonts w:ascii="Times New Roman" w:hAnsi="Times New Roman" w:cs="Times New Roman"/>
          <w:color w:val="000000"/>
          <w:sz w:val="24"/>
          <w:szCs w:val="24"/>
          <w:lang w:val="de-DE"/>
        </w:rPr>
        <w:t xml:space="preserve"> (</w:t>
      </w:r>
      <w:r w:rsidRPr="00C22807">
        <w:rPr>
          <w:rFonts w:ascii="Times New Roman" w:hAnsi="Times New Roman" w:cs="Times New Roman"/>
          <w:i/>
          <w:iCs/>
          <w:color w:val="000000"/>
          <w:sz w:val="24"/>
          <w:szCs w:val="24"/>
          <w:lang w:val="de-DE"/>
        </w:rPr>
        <w:t>f</w:t>
      </w:r>
      <w:r w:rsidRPr="00C22807">
        <w:rPr>
          <w:rFonts w:ascii="Times New Roman" w:hAnsi="Times New Roman" w:cs="Times New Roman"/>
          <w:color w:val="000000"/>
          <w:sz w:val="24"/>
          <w:szCs w:val="24"/>
          <w:vertAlign w:val="subscript"/>
          <w:lang w:val="de-DE"/>
        </w:rPr>
        <w:t>Th/U</w:t>
      </w:r>
      <w:r w:rsidRPr="00C22807">
        <w:rPr>
          <w:rFonts w:ascii="Times New Roman" w:hAnsi="Times New Roman" w:cs="Times New Roman"/>
          <w:color w:val="000000"/>
          <w:sz w:val="24"/>
          <w:szCs w:val="24"/>
          <w:lang w:val="de-DE"/>
        </w:rPr>
        <w:t xml:space="preserve"> – 1) (1 – </w:t>
      </w:r>
      <w:r w:rsidRPr="00C22807">
        <w:rPr>
          <w:rFonts w:ascii="Times New Roman" w:hAnsi="Times New Roman" w:cs="Times New Roman"/>
          <w:i/>
          <w:iCs/>
          <w:color w:val="000000"/>
          <w:sz w:val="24"/>
          <w:szCs w:val="24"/>
          <w:lang w:val="de-DE"/>
        </w:rPr>
        <w:t>e</w:t>
      </w:r>
      <w:r w:rsidRPr="00C22807">
        <w:rPr>
          <w:rFonts w:ascii="Times New Roman" w:hAnsi="Times New Roman" w:cs="Times New Roman"/>
          <w:color w:val="000000"/>
          <w:sz w:val="24"/>
          <w:szCs w:val="24"/>
          <w:vertAlign w:val="superscript"/>
          <w:lang w:val="de-DE"/>
        </w:rPr>
        <w:t>-</w:t>
      </w:r>
      <w:r w:rsidRPr="003C1BAE">
        <w:rPr>
          <w:rFonts w:ascii="Symbol" w:hAnsi="Symbol" w:cs="Symbol"/>
          <w:color w:val="000000"/>
          <w:sz w:val="24"/>
          <w:szCs w:val="24"/>
          <w:vertAlign w:val="superscript"/>
          <w:lang w:val="en-GB"/>
        </w:rPr>
        <w:t>l</w:t>
      </w:r>
      <w:r w:rsidRPr="00C22807">
        <w:rPr>
          <w:rFonts w:ascii="Times New Roman" w:hAnsi="Times New Roman" w:cs="Times New Roman"/>
          <w:color w:val="000000"/>
          <w:position w:val="-4"/>
          <w:sz w:val="24"/>
          <w:szCs w:val="24"/>
          <w:vertAlign w:val="superscript"/>
          <w:lang w:val="de-DE"/>
        </w:rPr>
        <w:t>230</w:t>
      </w:r>
      <w:r w:rsidRPr="00C22807">
        <w:rPr>
          <w:rFonts w:ascii="Times New Roman" w:hAnsi="Times New Roman" w:cs="Times New Roman"/>
          <w:i/>
          <w:iCs/>
          <w:color w:val="000000"/>
          <w:sz w:val="24"/>
          <w:szCs w:val="24"/>
          <w:vertAlign w:val="superscript"/>
          <w:lang w:val="de-DE"/>
        </w:rPr>
        <w:t>t</w:t>
      </w:r>
      <w:r w:rsidRPr="00C22807">
        <w:rPr>
          <w:rFonts w:ascii="Times New Roman" w:hAnsi="Times New Roman" w:cs="Times New Roman"/>
          <w:color w:val="000000"/>
          <w:sz w:val="24"/>
          <w:szCs w:val="24"/>
          <w:lang w:val="de-DE"/>
        </w:rPr>
        <w:t xml:space="preserve">) </w:t>
      </w:r>
      <w:r w:rsidRPr="00C22807">
        <w:rPr>
          <w:rFonts w:ascii="Times New Roman" w:hAnsi="Times New Roman" w:cs="Times New Roman"/>
          <w:i/>
          <w:iCs/>
          <w:color w:val="000000"/>
          <w:sz w:val="24"/>
          <w:szCs w:val="24"/>
          <w:lang w:val="de-DE"/>
        </w:rPr>
        <w:t>e</w:t>
      </w:r>
      <w:r w:rsidRPr="003C1BAE">
        <w:rPr>
          <w:rFonts w:ascii="Symbol" w:hAnsi="Symbol" w:cs="Symbol"/>
          <w:color w:val="000000"/>
          <w:sz w:val="24"/>
          <w:szCs w:val="24"/>
          <w:vertAlign w:val="superscript"/>
          <w:lang w:val="en-GB"/>
        </w:rPr>
        <w:t>l</w:t>
      </w:r>
      <w:r w:rsidRPr="00C22807">
        <w:rPr>
          <w:rFonts w:ascii="Times New Roman" w:hAnsi="Times New Roman" w:cs="Times New Roman"/>
          <w:color w:val="000000"/>
          <w:position w:val="-4"/>
          <w:sz w:val="24"/>
          <w:szCs w:val="24"/>
          <w:vertAlign w:val="superscript"/>
          <w:lang w:val="de-DE"/>
        </w:rPr>
        <w:t>238</w:t>
      </w:r>
      <w:r w:rsidRPr="00C22807">
        <w:rPr>
          <w:rFonts w:ascii="Times New Roman" w:hAnsi="Times New Roman" w:cs="Times New Roman"/>
          <w:i/>
          <w:iCs/>
          <w:color w:val="000000"/>
          <w:sz w:val="24"/>
          <w:szCs w:val="24"/>
          <w:vertAlign w:val="superscript"/>
          <w:lang w:val="de-DE"/>
        </w:rPr>
        <w:t>t</w:t>
      </w:r>
    </w:p>
    <w:p w:rsidR="00F04FA3" w:rsidRPr="00C22807" w:rsidRDefault="00F04FA3" w:rsidP="000B77AA">
      <w:pPr>
        <w:widowControl w:val="0"/>
        <w:autoSpaceDE w:val="0"/>
        <w:autoSpaceDN w:val="0"/>
        <w:adjustRightInd w:val="0"/>
        <w:spacing w:line="240" w:lineRule="auto"/>
        <w:ind w:left="284" w:right="260" w:firstLine="424"/>
        <w:jc w:val="both"/>
        <w:rPr>
          <w:rFonts w:ascii="Times New Roman" w:hAnsi="Times New Roman" w:cs="Times New Roman"/>
          <w:color w:val="000000"/>
          <w:sz w:val="24"/>
          <w:szCs w:val="24"/>
          <w:lang w:val="de-DE"/>
        </w:rPr>
      </w:pPr>
      <w:r w:rsidRPr="00C22807">
        <w:rPr>
          <w:rFonts w:ascii="Times New Roman" w:hAnsi="Times New Roman" w:cs="Times New Roman"/>
          <w:color w:val="000000"/>
          <w:sz w:val="24"/>
          <w:szCs w:val="24"/>
          <w:vertAlign w:val="superscript"/>
          <w:lang w:val="de-DE"/>
        </w:rPr>
        <w:t>207</w:t>
      </w:r>
      <w:r w:rsidRPr="00C22807">
        <w:rPr>
          <w:rFonts w:ascii="Times New Roman" w:hAnsi="Times New Roman" w:cs="Times New Roman"/>
          <w:color w:val="000000"/>
          <w:sz w:val="24"/>
          <w:szCs w:val="24"/>
          <w:lang w:val="de-DE"/>
        </w:rPr>
        <w:t>Pb</w:t>
      </w:r>
      <w:r w:rsidRPr="00C22807">
        <w:rPr>
          <w:rFonts w:ascii="Times New Roman" w:hAnsi="Times New Roman" w:cs="Times New Roman"/>
          <w:color w:val="000000"/>
          <w:sz w:val="24"/>
          <w:szCs w:val="24"/>
          <w:vertAlign w:val="superscript"/>
          <w:lang w:val="de-DE"/>
        </w:rPr>
        <w:t>*</w:t>
      </w:r>
      <w:r w:rsidRPr="00C22807">
        <w:rPr>
          <w:rFonts w:ascii="Times New Roman" w:hAnsi="Times New Roman" w:cs="Times New Roman"/>
          <w:color w:val="000000"/>
          <w:sz w:val="24"/>
          <w:szCs w:val="24"/>
          <w:lang w:val="de-DE"/>
        </w:rPr>
        <w:t>/</w:t>
      </w:r>
      <w:r w:rsidRPr="00C22807">
        <w:rPr>
          <w:rFonts w:ascii="Times New Roman" w:hAnsi="Times New Roman" w:cs="Times New Roman"/>
          <w:color w:val="000000"/>
          <w:sz w:val="24"/>
          <w:szCs w:val="24"/>
          <w:vertAlign w:val="superscript"/>
          <w:lang w:val="de-DE"/>
        </w:rPr>
        <w:t>235</w:t>
      </w:r>
      <w:r w:rsidRPr="00C22807">
        <w:rPr>
          <w:rFonts w:ascii="Times New Roman" w:hAnsi="Times New Roman" w:cs="Times New Roman"/>
          <w:color w:val="000000"/>
          <w:sz w:val="24"/>
          <w:szCs w:val="24"/>
          <w:lang w:val="de-DE"/>
        </w:rPr>
        <w:t>U = (</w:t>
      </w:r>
      <w:r w:rsidRPr="00C22807">
        <w:rPr>
          <w:rFonts w:ascii="Times New Roman" w:hAnsi="Times New Roman" w:cs="Times New Roman"/>
          <w:i/>
          <w:iCs/>
          <w:color w:val="000000"/>
          <w:sz w:val="24"/>
          <w:szCs w:val="24"/>
          <w:lang w:val="de-DE"/>
        </w:rPr>
        <w:t>e</w:t>
      </w:r>
      <w:r w:rsidRPr="003C1BAE">
        <w:rPr>
          <w:rFonts w:ascii="Symbol" w:hAnsi="Symbol" w:cs="Symbol"/>
          <w:color w:val="000000"/>
          <w:sz w:val="24"/>
          <w:szCs w:val="24"/>
          <w:vertAlign w:val="superscript"/>
          <w:lang w:val="en-GB"/>
        </w:rPr>
        <w:t>l</w:t>
      </w:r>
      <w:r w:rsidRPr="00C22807">
        <w:rPr>
          <w:rFonts w:ascii="Times New Roman" w:hAnsi="Times New Roman" w:cs="Times New Roman"/>
          <w:color w:val="000000"/>
          <w:position w:val="-4"/>
          <w:sz w:val="24"/>
          <w:szCs w:val="24"/>
          <w:vertAlign w:val="superscript"/>
          <w:lang w:val="de-DE"/>
        </w:rPr>
        <w:t>235</w:t>
      </w:r>
      <w:r w:rsidRPr="00C22807">
        <w:rPr>
          <w:rFonts w:ascii="Times New Roman" w:hAnsi="Times New Roman" w:cs="Times New Roman"/>
          <w:i/>
          <w:iCs/>
          <w:color w:val="000000"/>
          <w:sz w:val="24"/>
          <w:szCs w:val="24"/>
          <w:vertAlign w:val="superscript"/>
          <w:lang w:val="de-DE"/>
        </w:rPr>
        <w:t>t</w:t>
      </w:r>
      <w:r w:rsidRPr="00C22807">
        <w:rPr>
          <w:rFonts w:ascii="Times New Roman" w:hAnsi="Times New Roman" w:cs="Times New Roman"/>
          <w:color w:val="000000"/>
          <w:sz w:val="24"/>
          <w:szCs w:val="24"/>
          <w:lang w:val="de-DE"/>
        </w:rPr>
        <w:t xml:space="preserve"> -1) + </w:t>
      </w:r>
      <w:r w:rsidRPr="003C1BAE">
        <w:rPr>
          <w:rFonts w:ascii="Symbol" w:hAnsi="Symbol" w:cs="Symbol"/>
          <w:color w:val="000000"/>
          <w:sz w:val="24"/>
          <w:szCs w:val="24"/>
          <w:lang w:val="en-GB"/>
        </w:rPr>
        <w:t>l</w:t>
      </w:r>
      <w:r w:rsidRPr="00C22807">
        <w:rPr>
          <w:rFonts w:ascii="Times New Roman" w:hAnsi="Times New Roman" w:cs="Times New Roman"/>
          <w:color w:val="000000"/>
          <w:sz w:val="24"/>
          <w:szCs w:val="24"/>
          <w:vertAlign w:val="subscript"/>
          <w:lang w:val="de-DE"/>
        </w:rPr>
        <w:t>235</w:t>
      </w:r>
      <w:r w:rsidRPr="00C22807">
        <w:rPr>
          <w:rFonts w:ascii="Times New Roman" w:hAnsi="Times New Roman" w:cs="Times New Roman"/>
          <w:color w:val="000000"/>
          <w:sz w:val="24"/>
          <w:szCs w:val="24"/>
          <w:lang w:val="de-DE"/>
        </w:rPr>
        <w:t>/</w:t>
      </w:r>
      <w:r w:rsidRPr="003C1BAE">
        <w:rPr>
          <w:rFonts w:ascii="Symbol" w:hAnsi="Symbol" w:cs="Symbol"/>
          <w:color w:val="000000"/>
          <w:sz w:val="24"/>
          <w:szCs w:val="24"/>
          <w:lang w:val="en-GB"/>
        </w:rPr>
        <w:t>l</w:t>
      </w:r>
      <w:r w:rsidRPr="00C22807">
        <w:rPr>
          <w:rFonts w:ascii="Times New Roman" w:hAnsi="Times New Roman" w:cs="Times New Roman"/>
          <w:color w:val="000000"/>
          <w:sz w:val="24"/>
          <w:szCs w:val="24"/>
          <w:vertAlign w:val="subscript"/>
          <w:lang w:val="de-DE"/>
        </w:rPr>
        <w:t>231</w:t>
      </w:r>
      <w:r w:rsidRPr="00C22807">
        <w:rPr>
          <w:rFonts w:ascii="Times New Roman" w:hAnsi="Times New Roman" w:cs="Times New Roman"/>
          <w:color w:val="000000"/>
          <w:sz w:val="24"/>
          <w:szCs w:val="24"/>
          <w:lang w:val="de-DE"/>
        </w:rPr>
        <w:t xml:space="preserve"> (</w:t>
      </w:r>
      <w:r w:rsidRPr="00C22807">
        <w:rPr>
          <w:rFonts w:ascii="Times New Roman" w:hAnsi="Times New Roman" w:cs="Times New Roman"/>
          <w:i/>
          <w:iCs/>
          <w:color w:val="000000"/>
          <w:sz w:val="24"/>
          <w:szCs w:val="24"/>
          <w:lang w:val="de-DE"/>
        </w:rPr>
        <w:t>f</w:t>
      </w:r>
      <w:r w:rsidRPr="00C22807">
        <w:rPr>
          <w:rFonts w:ascii="Times New Roman" w:hAnsi="Times New Roman" w:cs="Times New Roman"/>
          <w:color w:val="000000"/>
          <w:sz w:val="24"/>
          <w:szCs w:val="24"/>
          <w:vertAlign w:val="subscript"/>
          <w:lang w:val="de-DE"/>
        </w:rPr>
        <w:t>Pa/U</w:t>
      </w:r>
      <w:r w:rsidRPr="00C22807">
        <w:rPr>
          <w:rFonts w:ascii="Times New Roman" w:hAnsi="Times New Roman" w:cs="Times New Roman"/>
          <w:color w:val="000000"/>
          <w:sz w:val="24"/>
          <w:szCs w:val="24"/>
          <w:lang w:val="de-DE"/>
        </w:rPr>
        <w:t xml:space="preserve"> – 1) (1 – </w:t>
      </w:r>
      <w:r w:rsidRPr="00C22807">
        <w:rPr>
          <w:rFonts w:ascii="Times New Roman" w:hAnsi="Times New Roman" w:cs="Times New Roman"/>
          <w:i/>
          <w:iCs/>
          <w:color w:val="000000"/>
          <w:sz w:val="24"/>
          <w:szCs w:val="24"/>
          <w:lang w:val="de-DE"/>
        </w:rPr>
        <w:t>e</w:t>
      </w:r>
      <w:r w:rsidRPr="00C22807">
        <w:rPr>
          <w:rFonts w:ascii="Times New Roman" w:hAnsi="Times New Roman" w:cs="Times New Roman"/>
          <w:color w:val="000000"/>
          <w:sz w:val="24"/>
          <w:szCs w:val="24"/>
          <w:vertAlign w:val="superscript"/>
          <w:lang w:val="de-DE"/>
        </w:rPr>
        <w:t>-</w:t>
      </w:r>
      <w:r w:rsidRPr="003C1BAE">
        <w:rPr>
          <w:rFonts w:ascii="Symbol" w:hAnsi="Symbol" w:cs="Symbol"/>
          <w:color w:val="000000"/>
          <w:sz w:val="24"/>
          <w:szCs w:val="24"/>
          <w:vertAlign w:val="superscript"/>
          <w:lang w:val="en-GB"/>
        </w:rPr>
        <w:t>l</w:t>
      </w:r>
      <w:r w:rsidRPr="00C22807">
        <w:rPr>
          <w:rFonts w:ascii="Times New Roman" w:hAnsi="Times New Roman" w:cs="Times New Roman"/>
          <w:color w:val="000000"/>
          <w:position w:val="-4"/>
          <w:sz w:val="24"/>
          <w:szCs w:val="24"/>
          <w:vertAlign w:val="superscript"/>
          <w:lang w:val="de-DE"/>
        </w:rPr>
        <w:t>231</w:t>
      </w:r>
      <w:r w:rsidRPr="00C22807">
        <w:rPr>
          <w:rFonts w:ascii="Times New Roman" w:hAnsi="Times New Roman" w:cs="Times New Roman"/>
          <w:i/>
          <w:iCs/>
          <w:color w:val="000000"/>
          <w:sz w:val="24"/>
          <w:szCs w:val="24"/>
          <w:vertAlign w:val="superscript"/>
          <w:lang w:val="de-DE"/>
        </w:rPr>
        <w:t>t</w:t>
      </w:r>
      <w:r w:rsidRPr="00C22807">
        <w:rPr>
          <w:rFonts w:ascii="Times New Roman" w:hAnsi="Times New Roman" w:cs="Times New Roman"/>
          <w:color w:val="000000"/>
          <w:sz w:val="24"/>
          <w:szCs w:val="24"/>
          <w:lang w:val="de-DE"/>
        </w:rPr>
        <w:t xml:space="preserve">) </w:t>
      </w:r>
      <w:r w:rsidRPr="00C22807">
        <w:rPr>
          <w:rFonts w:ascii="Times New Roman" w:hAnsi="Times New Roman" w:cs="Times New Roman"/>
          <w:i/>
          <w:iCs/>
          <w:color w:val="000000"/>
          <w:sz w:val="24"/>
          <w:szCs w:val="24"/>
          <w:lang w:val="de-DE"/>
        </w:rPr>
        <w:t>e</w:t>
      </w:r>
      <w:r w:rsidRPr="003C1BAE">
        <w:rPr>
          <w:rFonts w:ascii="Symbol" w:hAnsi="Symbol" w:cs="Symbol"/>
          <w:color w:val="000000"/>
          <w:sz w:val="24"/>
          <w:szCs w:val="24"/>
          <w:vertAlign w:val="superscript"/>
          <w:lang w:val="en-GB"/>
        </w:rPr>
        <w:t>l</w:t>
      </w:r>
      <w:r w:rsidRPr="00C22807">
        <w:rPr>
          <w:rFonts w:ascii="Times New Roman" w:hAnsi="Times New Roman" w:cs="Times New Roman"/>
          <w:color w:val="000000"/>
          <w:position w:val="-4"/>
          <w:sz w:val="24"/>
          <w:szCs w:val="24"/>
          <w:vertAlign w:val="superscript"/>
          <w:lang w:val="de-DE"/>
        </w:rPr>
        <w:t>235</w:t>
      </w:r>
      <w:r w:rsidRPr="00C22807">
        <w:rPr>
          <w:rFonts w:ascii="Times New Roman" w:hAnsi="Times New Roman" w:cs="Times New Roman"/>
          <w:i/>
          <w:iCs/>
          <w:color w:val="000000"/>
          <w:sz w:val="24"/>
          <w:szCs w:val="24"/>
          <w:vertAlign w:val="superscript"/>
          <w:lang w:val="de-DE"/>
        </w:rPr>
        <w:t>t</w:t>
      </w:r>
    </w:p>
    <w:p w:rsidR="00F04FA3" w:rsidRPr="003C1BAE" w:rsidRDefault="00F04FA3" w:rsidP="000B77AA">
      <w:pPr>
        <w:spacing w:after="0" w:line="240" w:lineRule="auto"/>
        <w:jc w:val="both"/>
        <w:rPr>
          <w:rFonts w:ascii="Times New Roman" w:hAnsi="Times New Roman" w:cs="Times New Roman"/>
          <w:sz w:val="24"/>
          <w:szCs w:val="24"/>
          <w:lang w:val="en-GB"/>
        </w:rPr>
      </w:pPr>
      <w:r w:rsidRPr="003C1BAE">
        <w:rPr>
          <w:rFonts w:ascii="Times New Roman" w:hAnsi="Times New Roman" w:cs="Times New Roman"/>
          <w:sz w:val="24"/>
          <w:szCs w:val="24"/>
          <w:lang w:val="en-GB"/>
        </w:rPr>
        <w:t>The concentrations in U-Th-Pb are calibrated relative to the certified contents of GJ-1 zircon (Jackson et al. 2004) reference material. The isotopic ratios and 2</w:t>
      </w:r>
      <w:r w:rsidRPr="003C1BAE">
        <w:rPr>
          <w:rFonts w:ascii="Symbol" w:hAnsi="Symbol" w:cs="Symbol"/>
          <w:sz w:val="24"/>
          <w:szCs w:val="24"/>
          <w:lang w:val="en-GB"/>
        </w:rPr>
        <w:t>s</w:t>
      </w:r>
      <w:r w:rsidRPr="003C1BAE">
        <w:rPr>
          <w:rFonts w:ascii="Times New Roman" w:hAnsi="Times New Roman" w:cs="Times New Roman"/>
          <w:sz w:val="24"/>
          <w:szCs w:val="24"/>
          <w:lang w:val="en-GB"/>
        </w:rPr>
        <w:t xml:space="preserve"> level uncertainties were corrected from elemental and isotopic fractionation, as well as Th/U disequilibria. A systematic external error is subsequently propagated by quadratic addition of uncertainties on U and Th decay constants as well as of the variability of the primary reference material used for corrections (GJ-1) and of the long</w:t>
      </w:r>
      <w:r>
        <w:rPr>
          <w:rFonts w:ascii="Times New Roman" w:hAnsi="Times New Roman" w:cs="Times New Roman"/>
          <w:sz w:val="24"/>
          <w:szCs w:val="24"/>
          <w:lang w:val="en-GB"/>
        </w:rPr>
        <w:t>-</w:t>
      </w:r>
      <w:r w:rsidRPr="003C1BAE">
        <w:rPr>
          <w:rFonts w:ascii="Times New Roman" w:hAnsi="Times New Roman" w:cs="Times New Roman"/>
          <w:sz w:val="24"/>
          <w:szCs w:val="24"/>
          <w:lang w:val="en-GB"/>
        </w:rPr>
        <w:t>term variability of the secondary reference material (91500). According to Horstwood et al. (2016), this systematic external error is added to the 2</w:t>
      </w:r>
      <w:r w:rsidRPr="003C1BAE">
        <w:rPr>
          <w:rFonts w:ascii="Symbol" w:hAnsi="Symbol" w:cs="Symbol"/>
          <w:sz w:val="24"/>
          <w:szCs w:val="24"/>
          <w:lang w:val="en-GB"/>
        </w:rPr>
        <w:t xml:space="preserve">s </w:t>
      </w:r>
      <w:r w:rsidRPr="003C1BAE">
        <w:rPr>
          <w:rFonts w:ascii="Times New Roman" w:hAnsi="Times New Roman" w:cs="Times New Roman"/>
          <w:sz w:val="24"/>
          <w:szCs w:val="24"/>
          <w:lang w:val="en-GB"/>
        </w:rPr>
        <w:t xml:space="preserve">error associated to the weighted mean </w:t>
      </w:r>
      <w:r w:rsidRPr="00C22807">
        <w:rPr>
          <w:rFonts w:ascii="Times New Roman" w:hAnsi="Times New Roman" w:cs="Times New Roman"/>
          <w:sz w:val="24"/>
          <w:szCs w:val="24"/>
          <w:vertAlign w:val="superscript"/>
          <w:lang w:val="en-GB"/>
        </w:rPr>
        <w:t>206</w:t>
      </w:r>
      <w:r w:rsidRPr="003C1BAE">
        <w:rPr>
          <w:rFonts w:ascii="Times New Roman" w:hAnsi="Times New Roman" w:cs="Times New Roman"/>
          <w:sz w:val="24"/>
          <w:szCs w:val="24"/>
          <w:lang w:val="en-GB"/>
        </w:rPr>
        <w:t>Pb/</w:t>
      </w:r>
      <w:r w:rsidRPr="00C22807">
        <w:rPr>
          <w:rFonts w:ascii="Times New Roman" w:hAnsi="Times New Roman" w:cs="Times New Roman"/>
          <w:sz w:val="24"/>
          <w:szCs w:val="24"/>
          <w:vertAlign w:val="superscript"/>
          <w:lang w:val="en-GB"/>
        </w:rPr>
        <w:t>238</w:t>
      </w:r>
      <w:r w:rsidRPr="003C1BAE">
        <w:rPr>
          <w:rFonts w:ascii="Times New Roman" w:hAnsi="Times New Roman" w:cs="Times New Roman"/>
          <w:sz w:val="24"/>
          <w:szCs w:val="24"/>
          <w:lang w:val="en-GB"/>
        </w:rPr>
        <w:t>U ages calculation. The Tera and Wasserburg (1972) diagrams were generated using Isoplot/Ex v. 2.49 software package by Ludwig (2001).</w:t>
      </w:r>
    </w:p>
    <w:p w:rsidR="00F04FA3" w:rsidRDefault="00F04FA3" w:rsidP="005828BF">
      <w:pPr>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424.5pt;height:345.75pt;visibility:visible">
            <v:imagedata r:id="rId4" o:title="" croptop="6081f" cropbottom="1274f" cropleft="10937f" cropright="10144f"/>
          </v:shape>
        </w:pict>
      </w:r>
      <w:r>
        <w:rPr>
          <w:noProof/>
        </w:rPr>
        <w:pict>
          <v:shape id="Image 3" o:spid="_x0000_i1026" type="#_x0000_t75" style="width:423.75pt;height:348.75pt;visibility:visible">
            <v:imagedata r:id="rId5" o:title="" croptop="5900f" cropbottom="927f" cropleft="10721f" cropright="9946f"/>
          </v:shape>
        </w:pict>
      </w:r>
      <w:r>
        <w:rPr>
          <w:noProof/>
        </w:rPr>
        <w:pict>
          <v:shape id="Image 7" o:spid="_x0000_i1027" type="#_x0000_t75" style="width:408.75pt;height:330.75pt;visibility:visible">
            <v:imagedata r:id="rId6" o:title="" croptop="5834f" cropbottom="659f" cropleft="11294f" cropright="10394f"/>
          </v:shape>
        </w:pict>
      </w:r>
      <w:r>
        <w:rPr>
          <w:noProof/>
        </w:rPr>
        <w:pict>
          <v:shape id="_x0000_i1028" type="#_x0000_t75" style="width:424.5pt;height:335.25pt;visibility:visible">
            <v:imagedata r:id="rId7" o:title="" croptop="5589f" cropbottom="760f" cropleft="10814f" cropright="9251f"/>
          </v:shape>
        </w:pict>
      </w:r>
      <w:r>
        <w:rPr>
          <w:noProof/>
        </w:rPr>
        <w:pict>
          <v:shape id="Image 1" o:spid="_x0000_i1029" type="#_x0000_t75" style="width:423pt;height:329.25pt;visibility:visible">
            <v:imagedata r:id="rId8" o:title="" croptop="5913f" cropleft="10934f" cropright="8732f"/>
          </v:shape>
        </w:pict>
      </w:r>
      <w:r>
        <w:rPr>
          <w:noProof/>
        </w:rPr>
        <w:pict>
          <v:shape id="Image 8" o:spid="_x0000_i1030" type="#_x0000_t75" style="width:407.25pt;height:350.25pt;visibility:visible">
            <v:imagedata r:id="rId9" o:title="" croptop="5885f" cropleft="11114f" cropright="9673f"/>
          </v:shape>
        </w:pict>
      </w:r>
    </w:p>
    <w:sectPr w:rsidR="00F04FA3" w:rsidSect="005303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828BF"/>
    <w:rsid w:val="00065D48"/>
    <w:rsid w:val="000A7897"/>
    <w:rsid w:val="000B77AA"/>
    <w:rsid w:val="000F7B45"/>
    <w:rsid w:val="002A6923"/>
    <w:rsid w:val="002F26F0"/>
    <w:rsid w:val="003C1BAE"/>
    <w:rsid w:val="00442170"/>
    <w:rsid w:val="00470DB9"/>
    <w:rsid w:val="0053034A"/>
    <w:rsid w:val="005828BF"/>
    <w:rsid w:val="006B4C80"/>
    <w:rsid w:val="0086122F"/>
    <w:rsid w:val="009C2344"/>
    <w:rsid w:val="00A001BD"/>
    <w:rsid w:val="00C22807"/>
    <w:rsid w:val="00E92E0C"/>
    <w:rsid w:val="00F04FA3"/>
    <w:rsid w:val="00F738AE"/>
    <w:rsid w:val="00F903C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50F197-DB3D-4E7C-A99E-96CDCE48C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pacing w:after="200" w:line="276" w:lineRule="auto"/>
    </w:pPr>
    <w:rPr>
      <w:rFonts w:cs="Calibri"/>
      <w:lang w:val="fr-FR" w:eastAsia="en-US"/>
    </w:rPr>
  </w:style>
  <w:style w:type="character" w:default="1" w:styleId="Bekezdsalapbettpusa">
    <w:name w:val="Default Paragraph Font"/>
    <w:uiPriority w:val="99"/>
    <w:semiHidden/>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pPr>
      <w:spacing w:after="0" w:line="240" w:lineRule="auto"/>
    </w:pPr>
    <w:rPr>
      <w:rFonts w:ascii="Tahoma" w:hAnsi="Tahoma" w:cs="Tahoma"/>
      <w:sz w:val="16"/>
      <w:szCs w:val="16"/>
      <w:lang w:val="hu-HU" w:eastAsia="hu-HU"/>
    </w:rPr>
  </w:style>
  <w:style w:type="character" w:customStyle="1" w:styleId="BuborkszvegChar">
    <w:name w:val="Buborékszöveg Char"/>
    <w:basedOn w:val="Bekezdsalapbettpusa"/>
    <w:link w:val="Buborkszveg"/>
    <w:uiPriority w:val="99"/>
    <w:semiHidden/>
    <w:rsid w:val="001E26D6"/>
    <w:rPr>
      <w:rFonts w:ascii="Segoe UI" w:hAnsi="Segoe UI" w:cs="Segoe UI"/>
      <w:sz w:val="18"/>
      <w:szCs w:val="1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theme" Target="theme/theme1.xml"/><Relationship Id="rId5" Type="http://schemas.openxmlformats.org/officeDocument/2006/relationships/image" Target="media/image2.emf"/><Relationship Id="rId10" Type="http://schemas.openxmlformats.org/officeDocument/2006/relationships/fontTable" Target="fontTable.xml"/><Relationship Id="rId4" Type="http://schemas.openxmlformats.org/officeDocument/2006/relationships/image" Target="media/image1.emf"/><Relationship Id="rId9"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494</Words>
  <Characters>3415</Characters>
  <Application>Microsoft Office Word</Application>
  <DocSecurity>0</DocSecurity>
  <Lines>28</Lines>
  <Paragraphs>7</Paragraphs>
  <ScaleCrop>false</ScaleCrop>
  <Company>Microsoft</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KD</cp:lastModifiedBy>
  <cp:revision>5</cp:revision>
  <dcterms:created xsi:type="dcterms:W3CDTF">2021-10-17T18:08:00Z</dcterms:created>
  <dcterms:modified xsi:type="dcterms:W3CDTF">2021-10-19T13:57:00Z</dcterms:modified>
</cp:coreProperties>
</file>