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33A5B" w14:textId="75EBA6AB" w:rsidR="007630CA" w:rsidRPr="007D4247" w:rsidRDefault="002F1CF8" w:rsidP="00CB0C9D">
      <w:pPr>
        <w:pStyle w:val="Heading1"/>
        <w:rPr>
          <w:color w:val="auto"/>
        </w:rPr>
      </w:pPr>
      <w:bookmarkStart w:id="0" w:name="_GoBack"/>
      <w:bookmarkEnd w:id="0"/>
      <w:r w:rsidRPr="007D4247">
        <w:rPr>
          <w:color w:val="auto"/>
        </w:rPr>
        <w:t>Data Supplement</w:t>
      </w:r>
    </w:p>
    <w:p w14:paraId="56F2728D" w14:textId="35CF33A2" w:rsidR="002F1CF8" w:rsidRPr="007D4247" w:rsidRDefault="004555BB" w:rsidP="00CB0C9D">
      <w:pPr>
        <w:pStyle w:val="Heading2"/>
        <w:rPr>
          <w:color w:val="auto"/>
        </w:rPr>
      </w:pPr>
      <w:r w:rsidRPr="007D4247">
        <w:rPr>
          <w:color w:val="auto"/>
        </w:rPr>
        <w:t>1</w:t>
      </w:r>
      <w:r w:rsidR="002F1CF8" w:rsidRPr="007D4247">
        <w:rPr>
          <w:color w:val="auto"/>
        </w:rPr>
        <w:t xml:space="preserve"> The Database (DB) categories:</w:t>
      </w:r>
    </w:p>
    <w:p w14:paraId="2E216537" w14:textId="23113212" w:rsidR="002F1CF8" w:rsidRDefault="002F1CF8" w:rsidP="002F1CF8">
      <w:pPr>
        <w:spacing w:line="360" w:lineRule="auto"/>
        <w:jc w:val="both"/>
      </w:pPr>
      <w:r w:rsidRPr="00D02572">
        <w:rPr>
          <w:i/>
          <w:iCs/>
        </w:rPr>
        <w:t>ID</w:t>
      </w:r>
      <w:r>
        <w:t xml:space="preserve">: each landslide body </w:t>
      </w:r>
      <w:r w:rsidR="001134F3">
        <w:t>is</w:t>
      </w:r>
      <w:r>
        <w:t xml:space="preserve"> classified with a unique number (ID).</w:t>
      </w:r>
    </w:p>
    <w:p w14:paraId="5234B3B0" w14:textId="77777777" w:rsidR="002F1CF8" w:rsidRDefault="002F1CF8" w:rsidP="002F1CF8">
      <w:pPr>
        <w:spacing w:line="360" w:lineRule="auto"/>
        <w:jc w:val="both"/>
      </w:pPr>
      <w:r w:rsidRPr="00AF07B3">
        <w:t>Published name of the landslide</w:t>
      </w:r>
      <w:r>
        <w:t>: how the landslide is reported in the literature.</w:t>
      </w:r>
    </w:p>
    <w:p w14:paraId="4ADE566E" w14:textId="77777777" w:rsidR="002F1CF8" w:rsidRDefault="002F1CF8" w:rsidP="002F1CF8">
      <w:pPr>
        <w:spacing w:line="360" w:lineRule="auto"/>
        <w:jc w:val="both"/>
      </w:pPr>
      <w:r w:rsidRPr="00F95692">
        <w:rPr>
          <w:i/>
          <w:iCs/>
        </w:rPr>
        <w:t>Publication source</w:t>
      </w:r>
      <w:r>
        <w:t xml:space="preserve">: the reference, or the body of references, that were used for describing the spreading. </w:t>
      </w:r>
    </w:p>
    <w:p w14:paraId="4EA69E97" w14:textId="3FCB601E" w:rsidR="002F1CF8" w:rsidRDefault="002F1CF8" w:rsidP="002F1CF8">
      <w:pPr>
        <w:spacing w:line="360" w:lineRule="auto"/>
        <w:jc w:val="both"/>
      </w:pPr>
      <w:r>
        <w:t xml:space="preserve">The DB category </w:t>
      </w:r>
      <w:r w:rsidRPr="00F95692">
        <w:rPr>
          <w:i/>
          <w:iCs/>
        </w:rPr>
        <w:t>Location</w:t>
      </w:r>
      <w:r>
        <w:t xml:space="preserve"> </w:t>
      </w:r>
      <w:r w:rsidRPr="00F95692">
        <w:t xml:space="preserve">contains three </w:t>
      </w:r>
      <w:r w:rsidR="00324DA9">
        <w:t>database sub-categories</w:t>
      </w:r>
      <w:r>
        <w:t xml:space="preserve">: </w:t>
      </w:r>
      <w:proofErr w:type="spellStart"/>
      <w:r>
        <w:t>i</w:t>
      </w:r>
      <w:proofErr w:type="spellEnd"/>
      <w:r>
        <w:t xml:space="preserve">) </w:t>
      </w:r>
      <w:r w:rsidRPr="00F95692">
        <w:rPr>
          <w:i/>
          <w:iCs/>
        </w:rPr>
        <w:t>broad geographic location</w:t>
      </w:r>
      <w:r>
        <w:t xml:space="preserve"> that identifies the location of the landslide as offshore deposit of a specific nation or adjacent to specific known geological structures (ridges, continental margins, continents); ii) </w:t>
      </w:r>
      <w:r w:rsidR="001134F3">
        <w:t>point-</w:t>
      </w:r>
      <w:r>
        <w:t xml:space="preserve">latitude, and iii) </w:t>
      </w:r>
      <w:r w:rsidR="001134F3">
        <w:t>point-</w:t>
      </w:r>
      <w:r>
        <w:t>longitude in geographic coordinates</w:t>
      </w:r>
      <w:r w:rsidR="001134F3">
        <w:t xml:space="preserve">, indicate </w:t>
      </w:r>
      <w:r w:rsidR="00F33C2B">
        <w:t>a point-site where spreading is observed</w:t>
      </w:r>
      <w:r>
        <w:t>.</w:t>
      </w:r>
    </w:p>
    <w:p w14:paraId="691EDE85" w14:textId="0F002185" w:rsidR="002F1CF8" w:rsidRDefault="002F1CF8" w:rsidP="002F1CF8">
      <w:pPr>
        <w:spacing w:line="360" w:lineRule="auto"/>
        <w:jc w:val="both"/>
      </w:pPr>
      <w:r w:rsidRPr="00F95692">
        <w:rPr>
          <w:i/>
          <w:iCs/>
        </w:rPr>
        <w:t>Object type</w:t>
      </w:r>
      <w:r>
        <w:t xml:space="preserve"> defines whether the sediment body is a distinct Mass Transport Deposit (MTD), and thus an individual feature, or a Mass Transport Deposit Complex (MTDC), which means more than one MTD occurring at the same time</w:t>
      </w:r>
      <w:r w:rsidR="001D01AA">
        <w:t>, or closely separated in time</w:t>
      </w:r>
      <w:r>
        <w:t>.</w:t>
      </w:r>
    </w:p>
    <w:p w14:paraId="604B8216" w14:textId="2712D314" w:rsidR="002F1CF8" w:rsidRDefault="002F1CF8" w:rsidP="002F1CF8">
      <w:pPr>
        <w:spacing w:line="360" w:lineRule="auto"/>
        <w:jc w:val="both"/>
      </w:pPr>
      <w:r w:rsidRPr="00F95692">
        <w:rPr>
          <w:i/>
          <w:iCs/>
        </w:rPr>
        <w:t xml:space="preserve">Depth Below Sea </w:t>
      </w:r>
      <w:r>
        <w:rPr>
          <w:i/>
          <w:iCs/>
        </w:rPr>
        <w:t>level</w:t>
      </w:r>
      <w:r>
        <w:t xml:space="preserve"> (in m) indicates </w:t>
      </w:r>
      <w:r w:rsidR="00F33C2B">
        <w:t>the bathymetric depth interval at which the landslide can be found</w:t>
      </w:r>
      <w:r w:rsidR="00472180">
        <w:t>, several paper</w:t>
      </w:r>
      <w:r w:rsidR="00D827ED">
        <w:t>s</w:t>
      </w:r>
      <w:r w:rsidR="00472180">
        <w:t xml:space="preserve"> reviewed indicate the depth of the </w:t>
      </w:r>
      <w:proofErr w:type="spellStart"/>
      <w:r w:rsidR="00472180">
        <w:t>headscarp</w:t>
      </w:r>
      <w:proofErr w:type="spellEnd"/>
      <w:r w:rsidR="00472180">
        <w:t xml:space="preserve"> with accuracy and then indicate the depth interval where to find the depositional body of the landslide.</w:t>
      </w:r>
    </w:p>
    <w:p w14:paraId="4BCA63CD" w14:textId="4DA57FD4" w:rsidR="002F1CF8" w:rsidRDefault="002F1CF8" w:rsidP="002F1CF8">
      <w:pPr>
        <w:spacing w:line="360" w:lineRule="auto"/>
        <w:jc w:val="both"/>
      </w:pPr>
      <w:r>
        <w:t xml:space="preserve">The DB category </w:t>
      </w:r>
      <w:r w:rsidRPr="00F95692">
        <w:rPr>
          <w:i/>
          <w:iCs/>
        </w:rPr>
        <w:t xml:space="preserve">Physiography of the </w:t>
      </w:r>
      <w:r>
        <w:rPr>
          <w:i/>
          <w:iCs/>
        </w:rPr>
        <w:t>Landslide</w:t>
      </w:r>
      <w:r>
        <w:t xml:space="preserve"> is divided up in </w:t>
      </w:r>
      <w:r w:rsidR="00472180">
        <w:t>four DB sub</w:t>
      </w:r>
      <w:r w:rsidR="00D827ED">
        <w:t>-</w:t>
      </w:r>
      <w:r w:rsidR="00472180">
        <w:t xml:space="preserve">categories </w:t>
      </w:r>
      <w:r w:rsidRPr="00F95692">
        <w:rPr>
          <w:i/>
          <w:iCs/>
        </w:rPr>
        <w:t>General morphology</w:t>
      </w:r>
      <w:r>
        <w:t xml:space="preserve">, </w:t>
      </w:r>
      <w:proofErr w:type="spellStart"/>
      <w:r w:rsidRPr="00F95692">
        <w:rPr>
          <w:i/>
          <w:iCs/>
        </w:rPr>
        <w:t>Headscarp</w:t>
      </w:r>
      <w:proofErr w:type="spellEnd"/>
      <w:r w:rsidRPr="00F95692">
        <w:rPr>
          <w:i/>
          <w:iCs/>
        </w:rPr>
        <w:t xml:space="preserve"> morphology</w:t>
      </w:r>
      <w:r>
        <w:t xml:space="preserve">, </w:t>
      </w:r>
      <w:r w:rsidRPr="00F95692">
        <w:rPr>
          <w:i/>
          <w:iCs/>
        </w:rPr>
        <w:t>Scar morphology</w:t>
      </w:r>
      <w:r>
        <w:t xml:space="preserve"> and </w:t>
      </w:r>
      <w:r w:rsidRPr="00F95692">
        <w:rPr>
          <w:i/>
          <w:iCs/>
        </w:rPr>
        <w:t>Slip Surface</w:t>
      </w:r>
      <w:r>
        <w:t>. This database category contains general physiographic information describing the entire landslide body, where spreading morphology is also observed.</w:t>
      </w:r>
    </w:p>
    <w:p w14:paraId="2E639933" w14:textId="77777777" w:rsidR="002F1CF8" w:rsidRDefault="002F1CF8" w:rsidP="002F1CF8">
      <w:pPr>
        <w:spacing w:line="360" w:lineRule="auto"/>
        <w:jc w:val="both"/>
      </w:pPr>
      <w:r w:rsidRPr="00331A6B">
        <w:rPr>
          <w:iCs/>
        </w:rPr>
        <w:t>The DB sub-category</w:t>
      </w:r>
      <w:r>
        <w:rPr>
          <w:i/>
          <w:iCs/>
        </w:rPr>
        <w:t xml:space="preserve"> </w:t>
      </w:r>
      <w:r w:rsidRPr="00F95692">
        <w:rPr>
          <w:i/>
          <w:iCs/>
        </w:rPr>
        <w:t>General morphology</w:t>
      </w:r>
      <w:r>
        <w:t xml:space="preserve"> includes the following table fields:</w:t>
      </w:r>
    </w:p>
    <w:p w14:paraId="3DF8F851" w14:textId="77777777" w:rsidR="002F1CF8" w:rsidRDefault="002F1CF8" w:rsidP="002F1CF8">
      <w:pPr>
        <w:pStyle w:val="ListParagraph"/>
        <w:numPr>
          <w:ilvl w:val="0"/>
          <w:numId w:val="1"/>
        </w:numPr>
        <w:spacing w:line="360" w:lineRule="auto"/>
        <w:jc w:val="both"/>
      </w:pPr>
      <w:r w:rsidRPr="00F95692">
        <w:rPr>
          <w:i/>
          <w:iCs/>
        </w:rPr>
        <w:t>Setting</w:t>
      </w:r>
      <w:r>
        <w:t>: the depositional setting where the MTD occurred (e.g. continental shelf, continental slope, slope rise, deep basin etc</w:t>
      </w:r>
      <w:proofErr w:type="gramStart"/>
      <w:r>
        <w:t>..)</w:t>
      </w:r>
      <w:proofErr w:type="gramEnd"/>
    </w:p>
    <w:p w14:paraId="135B1D83" w14:textId="0E2D75A9" w:rsidR="002F1CF8" w:rsidRDefault="002F1CF8" w:rsidP="002F1CF8">
      <w:pPr>
        <w:pStyle w:val="ListParagraph"/>
        <w:numPr>
          <w:ilvl w:val="0"/>
          <w:numId w:val="1"/>
        </w:numPr>
        <w:spacing w:line="360" w:lineRule="auto"/>
        <w:jc w:val="both"/>
      </w:pPr>
      <w:r w:rsidRPr="00F95692">
        <w:rPr>
          <w:i/>
          <w:iCs/>
        </w:rPr>
        <w:t>Area</w:t>
      </w:r>
      <w:r w:rsidR="00D827ED">
        <w:t>:</w:t>
      </w:r>
      <w:r>
        <w:t xml:space="preserve"> estimated area in square km covered by the entire landslide deposit, buried portion</w:t>
      </w:r>
      <w:r w:rsidR="00D827ED">
        <w:t>s</w:t>
      </w:r>
      <w:r>
        <w:t xml:space="preserve"> of the landslide are also mentioned in this field; </w:t>
      </w:r>
    </w:p>
    <w:p w14:paraId="2987D527" w14:textId="77777777" w:rsidR="002F1CF8" w:rsidRDefault="002F1CF8" w:rsidP="002F1CF8">
      <w:pPr>
        <w:pStyle w:val="ListParagraph"/>
        <w:numPr>
          <w:ilvl w:val="0"/>
          <w:numId w:val="1"/>
        </w:numPr>
        <w:spacing w:line="360" w:lineRule="auto"/>
        <w:jc w:val="both"/>
      </w:pPr>
      <w:r w:rsidRPr="00F95692">
        <w:rPr>
          <w:i/>
          <w:iCs/>
        </w:rPr>
        <w:t>Volume</w:t>
      </w:r>
      <w:r>
        <w:t xml:space="preserve"> indicates the mobilized volume of the entire deposit in km</w:t>
      </w:r>
      <w:r w:rsidRPr="00F95692">
        <w:rPr>
          <w:vertAlign w:val="superscript"/>
        </w:rPr>
        <w:t>3</w:t>
      </w:r>
      <w:r>
        <w:t xml:space="preserve">; </w:t>
      </w:r>
    </w:p>
    <w:p w14:paraId="5B08F33C" w14:textId="77777777" w:rsidR="002F1CF8" w:rsidRDefault="002F1CF8" w:rsidP="002F1CF8">
      <w:pPr>
        <w:pStyle w:val="ListParagraph"/>
        <w:numPr>
          <w:ilvl w:val="0"/>
          <w:numId w:val="1"/>
        </w:numPr>
        <w:spacing w:line="360" w:lineRule="auto"/>
        <w:jc w:val="both"/>
      </w:pPr>
      <w:r>
        <w:rPr>
          <w:i/>
          <w:iCs/>
        </w:rPr>
        <w:t>Landslide</w:t>
      </w:r>
      <w:r w:rsidRPr="00F95692">
        <w:rPr>
          <w:i/>
          <w:iCs/>
        </w:rPr>
        <w:t xml:space="preserve"> length</w:t>
      </w:r>
      <w:r>
        <w:t xml:space="preserve"> indicates the full length of the whole landslide body calculated downslope from the </w:t>
      </w:r>
      <w:proofErr w:type="spellStart"/>
      <w:r>
        <w:t>headscarp</w:t>
      </w:r>
      <w:proofErr w:type="spellEnd"/>
      <w:r>
        <w:t xml:space="preserve"> to the toe, in km. </w:t>
      </w:r>
    </w:p>
    <w:p w14:paraId="01683C3D" w14:textId="3CDB2FA4" w:rsidR="002F1CF8" w:rsidRDefault="002F1CF8" w:rsidP="002F1CF8">
      <w:pPr>
        <w:pStyle w:val="ListParagraph"/>
        <w:numPr>
          <w:ilvl w:val="0"/>
          <w:numId w:val="1"/>
        </w:numPr>
        <w:spacing w:line="360" w:lineRule="auto"/>
        <w:jc w:val="both"/>
      </w:pPr>
      <w:r w:rsidRPr="00F95692">
        <w:rPr>
          <w:i/>
          <w:iCs/>
        </w:rPr>
        <w:lastRenderedPageBreak/>
        <w:t>Maximum deposit width</w:t>
      </w:r>
      <w:r>
        <w:t xml:space="preserve"> identifies the maximum lateral extent of the whole deposit as measured along</w:t>
      </w:r>
      <w:r w:rsidR="00D827ED">
        <w:t>-</w:t>
      </w:r>
      <w:r>
        <w:t>slope, in km.</w:t>
      </w:r>
    </w:p>
    <w:p w14:paraId="16DB91CE" w14:textId="4E458DB1" w:rsidR="002F1CF8" w:rsidRDefault="002F1CF8" w:rsidP="002F1CF8">
      <w:pPr>
        <w:spacing w:line="360" w:lineRule="auto"/>
        <w:jc w:val="both"/>
      </w:pPr>
      <w:r>
        <w:t>The DB sub</w:t>
      </w:r>
      <w:r w:rsidR="00D827ED">
        <w:t>-</w:t>
      </w:r>
      <w:r>
        <w:t xml:space="preserve">category </w:t>
      </w:r>
      <w:proofErr w:type="spellStart"/>
      <w:r w:rsidR="00D827ED">
        <w:rPr>
          <w:i/>
          <w:iCs/>
        </w:rPr>
        <w:t>H</w:t>
      </w:r>
      <w:r w:rsidR="00D827ED" w:rsidRPr="00F95692">
        <w:rPr>
          <w:i/>
          <w:iCs/>
        </w:rPr>
        <w:t>eadscarp</w:t>
      </w:r>
      <w:proofErr w:type="spellEnd"/>
      <w:r w:rsidR="00D827ED" w:rsidRPr="00F95692">
        <w:rPr>
          <w:i/>
          <w:iCs/>
        </w:rPr>
        <w:t xml:space="preserve"> </w:t>
      </w:r>
      <w:r w:rsidRPr="00F95692">
        <w:rPr>
          <w:i/>
          <w:iCs/>
        </w:rPr>
        <w:t>morphology</w:t>
      </w:r>
      <w:r>
        <w:t xml:space="preserve"> includes the following table fields: the </w:t>
      </w:r>
      <w:proofErr w:type="spellStart"/>
      <w:r w:rsidRPr="00F95692">
        <w:rPr>
          <w:i/>
          <w:iCs/>
        </w:rPr>
        <w:t>headscarp</w:t>
      </w:r>
      <w:proofErr w:type="spellEnd"/>
      <w:r w:rsidRPr="00F95692">
        <w:rPr>
          <w:i/>
          <w:iCs/>
        </w:rPr>
        <w:t xml:space="preserve"> length</w:t>
      </w:r>
      <w:r>
        <w:t xml:space="preserve">, that is the extent of the </w:t>
      </w:r>
      <w:proofErr w:type="spellStart"/>
      <w:r>
        <w:t>headscarp</w:t>
      </w:r>
      <w:proofErr w:type="spellEnd"/>
      <w:r>
        <w:t xml:space="preserve"> (in m), and the </w:t>
      </w:r>
      <w:proofErr w:type="spellStart"/>
      <w:r w:rsidRPr="00F95692">
        <w:rPr>
          <w:i/>
          <w:iCs/>
        </w:rPr>
        <w:t>headscarp</w:t>
      </w:r>
      <w:proofErr w:type="spellEnd"/>
      <w:r w:rsidRPr="00F95692">
        <w:rPr>
          <w:i/>
          <w:iCs/>
        </w:rPr>
        <w:t xml:space="preserve"> </w:t>
      </w:r>
      <w:r>
        <w:rPr>
          <w:i/>
          <w:iCs/>
        </w:rPr>
        <w:t>height,</w:t>
      </w:r>
      <w:r>
        <w:t xml:space="preserve"> which identifies the </w:t>
      </w:r>
      <w:r w:rsidRPr="00913CF6">
        <w:t>height</w:t>
      </w:r>
      <w:r>
        <w:t xml:space="preserve"> of the </w:t>
      </w:r>
      <w:proofErr w:type="spellStart"/>
      <w:r>
        <w:t>headscarp</w:t>
      </w:r>
      <w:proofErr w:type="spellEnd"/>
      <w:r>
        <w:t xml:space="preserve"> (in m). </w:t>
      </w:r>
    </w:p>
    <w:p w14:paraId="007554AC" w14:textId="2E4BF339" w:rsidR="002F1CF8" w:rsidRDefault="002F1CF8" w:rsidP="002F1CF8">
      <w:pPr>
        <w:spacing w:line="360" w:lineRule="auto"/>
        <w:jc w:val="both"/>
      </w:pPr>
      <w:r>
        <w:t xml:space="preserve">The DB </w:t>
      </w:r>
      <w:r w:rsidR="00D827ED">
        <w:t>sub-</w:t>
      </w:r>
      <w:r>
        <w:t xml:space="preserve">category </w:t>
      </w:r>
      <w:r w:rsidRPr="00F95692">
        <w:rPr>
          <w:i/>
          <w:iCs/>
        </w:rPr>
        <w:t>scar morphology</w:t>
      </w:r>
      <w:r>
        <w:t xml:space="preserve"> includes the following table fields: </w:t>
      </w:r>
      <w:r w:rsidRPr="00F95692">
        <w:rPr>
          <w:i/>
          <w:iCs/>
        </w:rPr>
        <w:t>scar width</w:t>
      </w:r>
      <w:r>
        <w:t xml:space="preserve"> and </w:t>
      </w:r>
      <w:r w:rsidRPr="00F95692">
        <w:rPr>
          <w:i/>
          <w:iCs/>
        </w:rPr>
        <w:t>scar surface nature</w:t>
      </w:r>
      <w:r>
        <w:t xml:space="preserve">. Similar to the deposit width, the scar width refers to the width of the erosional surface of each </w:t>
      </w:r>
      <w:r w:rsidR="008D3CAB">
        <w:t>mass movement</w:t>
      </w:r>
      <w:r>
        <w:t xml:space="preserve">. The </w:t>
      </w:r>
      <w:r w:rsidR="008D3CAB">
        <w:t xml:space="preserve">table field </w:t>
      </w:r>
      <w:r w:rsidRPr="001D01AA">
        <w:rPr>
          <w:i/>
        </w:rPr>
        <w:t>scar surface nature</w:t>
      </w:r>
      <w:r>
        <w:t xml:space="preserve"> gives a brief description of the general morphology of the scar and </w:t>
      </w:r>
      <w:r w:rsidR="008D3CAB">
        <w:t>its metadata</w:t>
      </w:r>
      <w:r>
        <w:t xml:space="preserve">. </w:t>
      </w:r>
    </w:p>
    <w:p w14:paraId="303DF861" w14:textId="32BE9405" w:rsidR="002F1CF8" w:rsidRDefault="002F1CF8" w:rsidP="002F1CF8">
      <w:pPr>
        <w:spacing w:line="360" w:lineRule="auto"/>
        <w:jc w:val="both"/>
      </w:pPr>
      <w:r>
        <w:t xml:space="preserve">The DB </w:t>
      </w:r>
      <w:r w:rsidR="00D827ED">
        <w:t>sub-</w:t>
      </w:r>
      <w:r>
        <w:t xml:space="preserve">category of </w:t>
      </w:r>
      <w:r w:rsidRPr="00F95692">
        <w:rPr>
          <w:i/>
          <w:iCs/>
        </w:rPr>
        <w:t>Slip surface</w:t>
      </w:r>
      <w:r>
        <w:t xml:space="preserve"> contains the following table fields: </w:t>
      </w:r>
    </w:p>
    <w:p w14:paraId="546E71AD" w14:textId="77777777" w:rsidR="002F1CF8" w:rsidRDefault="002F1CF8" w:rsidP="002F1CF8">
      <w:pPr>
        <w:spacing w:line="360" w:lineRule="auto"/>
        <w:jc w:val="both"/>
      </w:pPr>
      <w:r>
        <w:rPr>
          <w:i/>
          <w:iCs/>
        </w:rPr>
        <w:t>T</w:t>
      </w:r>
      <w:r w:rsidRPr="00F95692">
        <w:rPr>
          <w:i/>
          <w:iCs/>
        </w:rPr>
        <w:t xml:space="preserve">hickness of the </w:t>
      </w:r>
      <w:r>
        <w:rPr>
          <w:i/>
          <w:iCs/>
        </w:rPr>
        <w:t>failed material:</w:t>
      </w:r>
      <w:r>
        <w:t xml:space="preserve"> (in m) this represents the thickness of the detached portion of the slope that slides downslope; </w:t>
      </w:r>
      <w:r w:rsidRPr="00F95692">
        <w:rPr>
          <w:i/>
          <w:iCs/>
        </w:rPr>
        <w:t>type of the material identified as slip surface</w:t>
      </w:r>
      <w:r>
        <w:t xml:space="preserve">: geological information on the slip surface. </w:t>
      </w:r>
    </w:p>
    <w:p w14:paraId="2C0BCBAC" w14:textId="5C9920AE" w:rsidR="002F1CF8" w:rsidRDefault="002F1CF8" w:rsidP="002F1CF8">
      <w:pPr>
        <w:spacing w:line="360" w:lineRule="auto"/>
        <w:jc w:val="both"/>
      </w:pPr>
      <w:r>
        <w:t xml:space="preserve">The </w:t>
      </w:r>
      <w:r w:rsidR="00A61F0F">
        <w:t>DB category of</w:t>
      </w:r>
      <w:r>
        <w:t xml:space="preserve"> </w:t>
      </w:r>
      <w:r w:rsidRPr="00F95692">
        <w:rPr>
          <w:i/>
          <w:iCs/>
        </w:rPr>
        <w:t>slope angle</w:t>
      </w:r>
      <w:r>
        <w:t xml:space="preserve"> contains information about the average slope of the entire landslide body in degrees, or, when available, of the different sections where the slope angle was measured (e.g. </w:t>
      </w:r>
      <w:proofErr w:type="spellStart"/>
      <w:r>
        <w:t>headscarp</w:t>
      </w:r>
      <w:proofErr w:type="spellEnd"/>
      <w:r>
        <w:t xml:space="preserve"> or toe area). </w:t>
      </w:r>
    </w:p>
    <w:p w14:paraId="5B914672" w14:textId="1B92098E" w:rsidR="002F1CF8" w:rsidRDefault="002F1CF8" w:rsidP="002F1CF8">
      <w:pPr>
        <w:spacing w:line="360" w:lineRule="auto"/>
        <w:jc w:val="both"/>
      </w:pPr>
      <w:r w:rsidRPr="00F95692">
        <w:rPr>
          <w:i/>
          <w:iCs/>
        </w:rPr>
        <w:t>Landslide age</w:t>
      </w:r>
      <w:r>
        <w:t xml:space="preserve"> indicates the dating of the landslide deposit in </w:t>
      </w:r>
      <w:r w:rsidR="007232E4">
        <w:t xml:space="preserve">years </w:t>
      </w:r>
      <w:r>
        <w:t>BP and reference to the manuscripts containing this information, if different than the DB category ‘Publication Source’</w:t>
      </w:r>
      <w:r w:rsidR="007232E4">
        <w:t>.</w:t>
      </w:r>
    </w:p>
    <w:p w14:paraId="6F486FC2" w14:textId="4C853E7D" w:rsidR="002F1CF8" w:rsidRDefault="002F1CF8" w:rsidP="002F1CF8">
      <w:pPr>
        <w:spacing w:line="360" w:lineRule="auto"/>
        <w:jc w:val="both"/>
      </w:pPr>
      <w:r w:rsidRPr="00F95692">
        <w:rPr>
          <w:i/>
          <w:iCs/>
        </w:rPr>
        <w:t>Margin</w:t>
      </w:r>
      <w:r>
        <w:t xml:space="preserve"> identifies the location of the landslide body in relation to active or passive margin. </w:t>
      </w:r>
    </w:p>
    <w:p w14:paraId="48F45857" w14:textId="43D89B68" w:rsidR="002F1CF8" w:rsidRDefault="002F1CF8" w:rsidP="002F1CF8">
      <w:pPr>
        <w:spacing w:line="360" w:lineRule="auto"/>
        <w:jc w:val="both"/>
      </w:pPr>
      <w:r w:rsidRPr="00F95692">
        <w:rPr>
          <w:i/>
          <w:iCs/>
        </w:rPr>
        <w:t>Modes of failure</w:t>
      </w:r>
      <w:r>
        <w:t xml:space="preserve"> identifies the type of failure that characterizes the </w:t>
      </w:r>
      <w:r w:rsidR="008D3CAB">
        <w:t xml:space="preserve">mass movement: </w:t>
      </w:r>
      <w:r>
        <w:t>rotational or translational</w:t>
      </w:r>
      <w:r w:rsidR="008D3CAB">
        <w:t xml:space="preserve">, </w:t>
      </w:r>
      <w:r>
        <w:t xml:space="preserve">or a mixture of both. </w:t>
      </w:r>
    </w:p>
    <w:p w14:paraId="60EDECFA" w14:textId="77777777" w:rsidR="002F1CF8" w:rsidRDefault="002F1CF8" w:rsidP="002F1CF8">
      <w:pPr>
        <w:spacing w:line="360" w:lineRule="auto"/>
        <w:jc w:val="both"/>
      </w:pPr>
      <w:r w:rsidRPr="00F95692">
        <w:rPr>
          <w:i/>
          <w:iCs/>
        </w:rPr>
        <w:t>Predominant Geological unit and sedimentation</w:t>
      </w:r>
      <w:r>
        <w:rPr>
          <w:i/>
          <w:iCs/>
        </w:rPr>
        <w:t xml:space="preserve"> rate</w:t>
      </w:r>
      <w:r>
        <w:t xml:space="preserve">: this field provides information on the background geology and the major geological units in the area where the landslide deposit is identified, and the sedimentation rate of the area. </w:t>
      </w:r>
    </w:p>
    <w:p w14:paraId="22A917D3" w14:textId="1807A806" w:rsidR="002F1CF8" w:rsidRDefault="002F1CF8" w:rsidP="002F1CF8">
      <w:pPr>
        <w:spacing w:line="360" w:lineRule="auto"/>
        <w:jc w:val="both"/>
      </w:pPr>
      <w:r w:rsidRPr="00F95692">
        <w:rPr>
          <w:highlight w:val="yellow"/>
        </w:rPr>
        <w:t>The DB category</w:t>
      </w:r>
      <w:r>
        <w:t xml:space="preserve"> </w:t>
      </w:r>
      <w:r w:rsidRPr="00D73F85">
        <w:rPr>
          <w:i/>
          <w:iCs/>
        </w:rPr>
        <w:t>Spreading Features</w:t>
      </w:r>
      <w:r w:rsidRPr="00F95692">
        <w:rPr>
          <w:i/>
          <w:iCs/>
        </w:rPr>
        <w:t xml:space="preserve"> </w:t>
      </w:r>
      <w:r>
        <w:t>contains a general description of the features and physiographic aspects involved in this mass movement (</w:t>
      </w:r>
      <w:r w:rsidR="007232E4">
        <w:t xml:space="preserve">incorporating a summary </w:t>
      </w:r>
      <w:r>
        <w:t xml:space="preserve">of the spreading features, </w:t>
      </w:r>
      <w:r w:rsidR="007232E4">
        <w:t xml:space="preserve">their </w:t>
      </w:r>
      <w:r>
        <w:t>occurrence, and description) and the sub</w:t>
      </w:r>
      <w:r w:rsidR="007232E4">
        <w:t>-</w:t>
      </w:r>
      <w:r>
        <w:t xml:space="preserve">category </w:t>
      </w:r>
      <w:r w:rsidRPr="00D73F85">
        <w:rPr>
          <w:i/>
          <w:iCs/>
        </w:rPr>
        <w:t>’Morphometric parameters of spreading</w:t>
      </w:r>
      <w:r>
        <w:t xml:space="preserve">’. The latter is characterized by the quantitative table fields that describe in detail the ridges and troughs </w:t>
      </w:r>
      <w:r>
        <w:fldChar w:fldCharType="begin"/>
      </w:r>
      <w:r w:rsidR="001D01AA">
        <w:instrText xml:space="preserve"> ADDIN EN.CITE &lt;EndNote&gt;&lt;Cite&gt;&lt;Author&gt;Micallef&lt;/Author&gt;&lt;Year&gt;2007&lt;/Year&gt;&lt;RecNum&gt;642&lt;/RecNum&gt;&lt;DisplayText&gt;(Micallef, Masson et al. 2007)&lt;/DisplayText&gt;&lt;record&gt;&lt;rec-number&gt;642&lt;/rec-number&gt;&lt;foreign-keys&gt;&lt;key app="EN" db-id="v9xzwvfs5wdpzce0ewbvtrrxrrt2ewd02x9v" timestamp="1551203729"&gt;642&lt;/key&gt;&lt;/foreign-keys&gt;&lt;ref-type name="Journal Article"&gt;17&lt;/ref-type&gt;&lt;contributors&gt;&lt;authors&gt;&lt;author&gt;Micallef, A.&lt;/author&gt;&lt;author&gt;Masson, D.G.&lt;/author&gt;&lt;author&gt;Berndt, C.&lt;/author&gt;&lt;author&gt;Dorrik, A.&lt;/author&gt;&lt;author&gt;Stow, V.&lt;/author&gt;&lt;/authors&gt;&lt;/contributors&gt;&lt;titles&gt;&lt;title&gt;Morphology and mechanics of submarine spreading: a case study from the Storegga slide&lt;/title&gt;&lt;secondary-title&gt;Journal of Geophysical Research&lt;/secondary-title&gt;&lt;/titles&gt;&lt;periodical&gt;&lt;full-title&gt;Journal of Geophysical Research&lt;/full-title&gt;&lt;/periodical&gt;&lt;pages&gt;F03023&lt;/pages&gt;&lt;volume&gt;112&lt;/volume&gt;&lt;dates&gt;&lt;year&gt;2007&lt;/year&gt;&lt;/dates&gt;&lt;urls&gt;&lt;/urls&gt;&lt;/record&gt;&lt;/Cite&gt;&lt;/EndNote&gt;</w:instrText>
      </w:r>
      <w:r>
        <w:fldChar w:fldCharType="separate"/>
      </w:r>
      <w:r w:rsidR="001D01AA">
        <w:rPr>
          <w:noProof/>
        </w:rPr>
        <w:t xml:space="preserve">(Micallef, </w:t>
      </w:r>
      <w:r w:rsidR="001D01AA">
        <w:rPr>
          <w:noProof/>
        </w:rPr>
        <w:lastRenderedPageBreak/>
        <w:t>Masson et al. 2007)</w:t>
      </w:r>
      <w:r>
        <w:fldChar w:fldCharType="end"/>
      </w:r>
      <w:r>
        <w:t>: ridge length (m), ridge height (m), ridge width (m), ridge spacing (m), bathymetric depth</w:t>
      </w:r>
      <w:r w:rsidR="00B6056B">
        <w:t xml:space="preserve"> of spreading</w:t>
      </w:r>
      <w:r>
        <w:t>, and the area occupied by the spreading (km</w:t>
      </w:r>
      <w:r w:rsidRPr="00D73F85">
        <w:rPr>
          <w:vertAlign w:val="superscript"/>
        </w:rPr>
        <w:t>2</w:t>
      </w:r>
      <w:r>
        <w:t xml:space="preserve">), and the area as a percentage of the whole mass transport where spreading features are identified. </w:t>
      </w:r>
    </w:p>
    <w:p w14:paraId="4C03CDCC" w14:textId="40159E15" w:rsidR="002F1CF8" w:rsidRDefault="002F1CF8" w:rsidP="002F1CF8">
      <w:pPr>
        <w:spacing w:line="360" w:lineRule="auto"/>
        <w:jc w:val="both"/>
      </w:pPr>
      <w:r>
        <w:t xml:space="preserve">The last group of DB categories represents supplementary data on the </w:t>
      </w:r>
      <w:r w:rsidRPr="00F95692">
        <w:rPr>
          <w:i/>
          <w:iCs/>
        </w:rPr>
        <w:t>geotechnical dataset available</w:t>
      </w:r>
      <w:r>
        <w:t xml:space="preserve"> for the landslide body and </w:t>
      </w:r>
      <w:r w:rsidR="00361AFC">
        <w:t xml:space="preserve">the </w:t>
      </w:r>
      <w:r w:rsidRPr="00F95692">
        <w:rPr>
          <w:i/>
          <w:iCs/>
        </w:rPr>
        <w:t>speculated trigger mechanism</w:t>
      </w:r>
      <w:r>
        <w:t xml:space="preserve">, which identifies the potential or inferred trigger mechanism of the landslide. The table field </w:t>
      </w:r>
      <w:r w:rsidRPr="00F95692">
        <w:rPr>
          <w:i/>
          <w:iCs/>
        </w:rPr>
        <w:t>evidence of fluid flow and/or gas emission</w:t>
      </w:r>
      <w:r>
        <w:t xml:space="preserve"> is also included. The table field </w:t>
      </w:r>
      <w:r w:rsidR="00B6056B">
        <w:t>‘</w:t>
      </w:r>
      <w:r w:rsidRPr="00F95692">
        <w:rPr>
          <w:i/>
          <w:iCs/>
        </w:rPr>
        <w:t>Other observations</w:t>
      </w:r>
      <w:r w:rsidR="00B6056B">
        <w:rPr>
          <w:i/>
          <w:iCs/>
        </w:rPr>
        <w:t>’</w:t>
      </w:r>
      <w:r>
        <w:t xml:space="preserve"> contains </w:t>
      </w:r>
      <w:r w:rsidR="00B6056B">
        <w:t>additional information collected from other related source</w:t>
      </w:r>
      <w:r w:rsidR="00361AFC">
        <w:t>s</w:t>
      </w:r>
      <w:r w:rsidR="00B6056B">
        <w:t xml:space="preserve"> (e.g. special geotechnical reports or other papers related to the mass movement considered).</w:t>
      </w:r>
      <w:r>
        <w:t xml:space="preserve"> </w:t>
      </w:r>
    </w:p>
    <w:p w14:paraId="6C65E76D" w14:textId="0CB27EE1" w:rsidR="002F1CF8" w:rsidRPr="007D4247" w:rsidRDefault="004555BB" w:rsidP="00CB0C9D">
      <w:pPr>
        <w:pStyle w:val="Heading2"/>
        <w:rPr>
          <w:color w:val="auto"/>
        </w:rPr>
      </w:pPr>
      <w:r w:rsidRPr="007D4247">
        <w:rPr>
          <w:color w:val="auto"/>
        </w:rPr>
        <w:t>2. Topographic characteristics</w:t>
      </w:r>
    </w:p>
    <w:p w14:paraId="5068164D" w14:textId="23FAAD19" w:rsidR="006A4B20" w:rsidRDefault="006A4B20" w:rsidP="00EC2406">
      <w:pPr>
        <w:pStyle w:val="Caption"/>
      </w:pPr>
    </w:p>
    <w:p w14:paraId="62CF5E83" w14:textId="31533401" w:rsidR="00CB1C02" w:rsidRPr="00CB1C02" w:rsidRDefault="00FC7534" w:rsidP="00CB1C02">
      <w:r>
        <w:rPr>
          <w:noProof/>
        </w:rPr>
        <w:drawing>
          <wp:inline distT="0" distB="0" distL="0" distR="0" wp14:anchorId="5FFEDE95" wp14:editId="23928F89">
            <wp:extent cx="5943600" cy="3632200"/>
            <wp:effectExtent l="0" t="0" r="0" b="635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C34BCF7-0487-4678-B5AC-DB393655915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6573FAE" w14:textId="7A6BC719" w:rsidR="003A6FB7" w:rsidRPr="007D4247" w:rsidRDefault="006A4B20" w:rsidP="00EC2406">
      <w:pPr>
        <w:pStyle w:val="Caption"/>
        <w:rPr>
          <w:color w:val="auto"/>
        </w:rPr>
      </w:pPr>
      <w:bookmarkStart w:id="1" w:name="_Hlk103873521"/>
      <w:r w:rsidRPr="007D4247">
        <w:rPr>
          <w:b/>
          <w:color w:val="auto"/>
        </w:rPr>
        <w:t>Figure</w:t>
      </w:r>
      <w:r w:rsidR="00135443" w:rsidRPr="007D4247">
        <w:rPr>
          <w:b/>
          <w:noProof/>
          <w:color w:val="auto"/>
        </w:rPr>
        <w:fldChar w:fldCharType="begin"/>
      </w:r>
      <w:r w:rsidR="00135443" w:rsidRPr="007D4247">
        <w:rPr>
          <w:b/>
          <w:noProof/>
          <w:color w:val="auto"/>
        </w:rPr>
        <w:instrText xml:space="preserve"> SEQ Table \* ARABIC </w:instrText>
      </w:r>
      <w:r w:rsidR="00135443" w:rsidRPr="007D4247">
        <w:rPr>
          <w:b/>
          <w:noProof/>
          <w:color w:val="auto"/>
        </w:rPr>
        <w:fldChar w:fldCharType="separate"/>
      </w:r>
      <w:r w:rsidR="004A38F2" w:rsidRPr="007D4247">
        <w:rPr>
          <w:b/>
          <w:noProof/>
          <w:color w:val="auto"/>
        </w:rPr>
        <w:t>1</w:t>
      </w:r>
      <w:r w:rsidR="00135443" w:rsidRPr="007D4247">
        <w:rPr>
          <w:b/>
          <w:noProof/>
          <w:color w:val="auto"/>
        </w:rPr>
        <w:fldChar w:fldCharType="end"/>
      </w:r>
      <w:r w:rsidR="00EC2406" w:rsidRPr="007D4247">
        <w:rPr>
          <w:b/>
          <w:color w:val="auto"/>
        </w:rPr>
        <w:t xml:space="preserve">DS </w:t>
      </w:r>
      <w:r w:rsidR="00EC2406" w:rsidRPr="007D4247">
        <w:rPr>
          <w:color w:val="auto"/>
        </w:rPr>
        <w:t xml:space="preserve">Summary </w:t>
      </w:r>
      <w:r w:rsidR="00881C87" w:rsidRPr="007D4247">
        <w:rPr>
          <w:color w:val="auto"/>
        </w:rPr>
        <w:t xml:space="preserve">of the landslide deposits recorded in the DB showing spreading morphology </w:t>
      </w:r>
      <w:r w:rsidR="00EC2406" w:rsidRPr="007D4247">
        <w:rPr>
          <w:color w:val="auto"/>
        </w:rPr>
        <w:t xml:space="preserve">in increasing order of the </w:t>
      </w:r>
      <w:r w:rsidR="007630CA" w:rsidRPr="007D4247">
        <w:rPr>
          <w:color w:val="auto"/>
        </w:rPr>
        <w:t>values of length</w:t>
      </w:r>
      <w:r w:rsidR="00EC2406" w:rsidRPr="007D4247">
        <w:rPr>
          <w:color w:val="auto"/>
        </w:rPr>
        <w:t xml:space="preserve"> (km).</w:t>
      </w:r>
      <w:r w:rsidR="00074154" w:rsidRPr="007D4247">
        <w:rPr>
          <w:color w:val="auto"/>
        </w:rPr>
        <w:t xml:space="preserve"> Note the </w:t>
      </w:r>
      <w:proofErr w:type="spellStart"/>
      <w:r w:rsidR="00074154" w:rsidRPr="007D4247">
        <w:rPr>
          <w:color w:val="auto"/>
        </w:rPr>
        <w:t>Tampen</w:t>
      </w:r>
      <w:proofErr w:type="spellEnd"/>
      <w:r w:rsidR="00074154" w:rsidRPr="007D4247">
        <w:rPr>
          <w:color w:val="auto"/>
        </w:rPr>
        <w:t xml:space="preserve"> Slide has a length greater than 120 km but this value is here considered a minimum threshold for statistical purposes.</w:t>
      </w:r>
    </w:p>
    <w:bookmarkEnd w:id="1"/>
    <w:p w14:paraId="0542356B" w14:textId="77777777" w:rsidR="00C549F5" w:rsidRDefault="00C549F5">
      <w:pPr>
        <w:rPr>
          <w:rStyle w:val="CommentReference"/>
        </w:rPr>
      </w:pPr>
      <w:r>
        <w:rPr>
          <w:rStyle w:val="CommentReference"/>
          <w:i/>
          <w:iCs/>
        </w:rPr>
        <w:br w:type="page"/>
      </w:r>
    </w:p>
    <w:p w14:paraId="443D07C4" w14:textId="77777777" w:rsidR="000068B7" w:rsidRDefault="000068B7" w:rsidP="00DC3C2A">
      <w:pPr>
        <w:pStyle w:val="Caption"/>
        <w:jc w:val="center"/>
        <w:rPr>
          <w:b/>
          <w:noProof/>
        </w:rPr>
      </w:pPr>
    </w:p>
    <w:p w14:paraId="402CFB58" w14:textId="2A3812FC" w:rsidR="00263418" w:rsidRDefault="000068B7" w:rsidP="00DC3C2A">
      <w:pPr>
        <w:pStyle w:val="Caption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6B51D3F1" wp14:editId="40667DA5">
            <wp:extent cx="3360491" cy="71564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 2DS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248"/>
                    <a:stretch/>
                  </pic:blipFill>
                  <pic:spPr bwMode="auto">
                    <a:xfrm>
                      <a:off x="0" y="0"/>
                      <a:ext cx="3362736" cy="716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6E6120" w14:textId="021F3155" w:rsidR="009E3030" w:rsidRPr="007D4247" w:rsidRDefault="00F3557E" w:rsidP="009F5F5F">
      <w:pPr>
        <w:pStyle w:val="Caption"/>
        <w:jc w:val="both"/>
        <w:rPr>
          <w:color w:val="auto"/>
        </w:rPr>
      </w:pPr>
      <w:bookmarkStart w:id="2" w:name="_Hlk103874668"/>
      <w:r w:rsidRPr="007D4247">
        <w:rPr>
          <w:b/>
          <w:color w:val="auto"/>
        </w:rPr>
        <w:t>Figure 2DS</w:t>
      </w:r>
      <w:r w:rsidR="009F5F5F" w:rsidRPr="007D4247">
        <w:rPr>
          <w:color w:val="auto"/>
        </w:rPr>
        <w:t xml:space="preserve"> </w:t>
      </w:r>
      <w:r w:rsidR="004A38F2" w:rsidRPr="007D4247">
        <w:rPr>
          <w:color w:val="auto"/>
        </w:rPr>
        <w:t xml:space="preserve">Histograms that summarize </w:t>
      </w:r>
      <w:r w:rsidR="009F5F5F" w:rsidRPr="007D4247">
        <w:rPr>
          <w:color w:val="auto"/>
        </w:rPr>
        <w:t>in increasing order the aerial extent of the landslides hosting subaqueous spreading</w:t>
      </w:r>
      <w:r w:rsidR="00074154" w:rsidRPr="007D4247">
        <w:rPr>
          <w:color w:val="auto"/>
        </w:rPr>
        <w:t xml:space="preserve">. Note the </w:t>
      </w:r>
      <w:r w:rsidR="006B7AF3" w:rsidRPr="007D4247">
        <w:rPr>
          <w:color w:val="auto"/>
        </w:rPr>
        <w:t xml:space="preserve">area covered by the </w:t>
      </w:r>
      <w:proofErr w:type="spellStart"/>
      <w:r w:rsidR="006B7AF3" w:rsidRPr="007D4247">
        <w:rPr>
          <w:color w:val="auto"/>
        </w:rPr>
        <w:t>Tampen</w:t>
      </w:r>
      <w:proofErr w:type="spellEnd"/>
      <w:r w:rsidR="006B7AF3" w:rsidRPr="007D4247">
        <w:rPr>
          <w:color w:val="auto"/>
        </w:rPr>
        <w:t xml:space="preserve"> Slide has been mapped as greater than 48000 km</w:t>
      </w:r>
      <w:r w:rsidR="006B7AF3" w:rsidRPr="007D4247">
        <w:rPr>
          <w:color w:val="auto"/>
          <w:vertAlign w:val="superscript"/>
        </w:rPr>
        <w:t>2</w:t>
      </w:r>
      <w:r w:rsidR="006B7AF3" w:rsidRPr="007D4247">
        <w:rPr>
          <w:color w:val="auto"/>
        </w:rPr>
        <w:t xml:space="preserve">however this value has been used as minimum threshold for statistical purposes. </w:t>
      </w:r>
    </w:p>
    <w:bookmarkEnd w:id="2"/>
    <w:p w14:paraId="063C9AAC" w14:textId="77777777" w:rsidR="000068B7" w:rsidRPr="000068B7" w:rsidRDefault="000068B7" w:rsidP="000068B7"/>
    <w:tbl>
      <w:tblPr>
        <w:tblStyle w:val="PlainTable2"/>
        <w:tblW w:w="9493" w:type="dxa"/>
        <w:tblLook w:val="04A0" w:firstRow="1" w:lastRow="0" w:firstColumn="1" w:lastColumn="0" w:noHBand="0" w:noVBand="1"/>
      </w:tblPr>
      <w:tblGrid>
        <w:gridCol w:w="3324"/>
        <w:gridCol w:w="1916"/>
        <w:gridCol w:w="4253"/>
      </w:tblGrid>
      <w:tr w:rsidR="00A45039" w14:paraId="54AE0474" w14:textId="77777777" w:rsidTr="003E3D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2373122C" w14:textId="77777777" w:rsidR="00A45039" w:rsidRPr="003E3D5B" w:rsidRDefault="00A45039" w:rsidP="009E0A89">
            <w:pPr>
              <w:rPr>
                <w:color w:val="000000" w:themeColor="text1"/>
              </w:rPr>
            </w:pPr>
            <w:r w:rsidRPr="003E3D5B">
              <w:rPr>
                <w:color w:val="000000" w:themeColor="text1"/>
              </w:rPr>
              <w:t>SLIDE</w:t>
            </w:r>
          </w:p>
        </w:tc>
        <w:tc>
          <w:tcPr>
            <w:tcW w:w="1916" w:type="dxa"/>
          </w:tcPr>
          <w:p w14:paraId="108CEA12" w14:textId="77777777" w:rsidR="00A45039" w:rsidRPr="003E3D5B" w:rsidRDefault="00A45039" w:rsidP="009E0A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E3D5B">
              <w:rPr>
                <w:color w:val="000000" w:themeColor="text1"/>
              </w:rPr>
              <w:t>Area (km</w:t>
            </w:r>
            <w:r w:rsidRPr="003E3D5B">
              <w:rPr>
                <w:color w:val="000000" w:themeColor="text1"/>
                <w:vertAlign w:val="superscript"/>
              </w:rPr>
              <w:t>2</w:t>
            </w:r>
            <w:r w:rsidRPr="003E3D5B">
              <w:rPr>
                <w:color w:val="000000" w:themeColor="text1"/>
              </w:rPr>
              <w:t xml:space="preserve">) </w:t>
            </w:r>
          </w:p>
        </w:tc>
        <w:tc>
          <w:tcPr>
            <w:tcW w:w="4253" w:type="dxa"/>
          </w:tcPr>
          <w:p w14:paraId="08FC5DFA" w14:textId="28037773" w:rsidR="00A45039" w:rsidRPr="003E3D5B" w:rsidRDefault="00A45039" w:rsidP="009E0A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3E3D5B">
              <w:rPr>
                <w:color w:val="000000" w:themeColor="text1"/>
              </w:rPr>
              <w:t>Spreading area as estimated percentage of the total area of the slide</w:t>
            </w:r>
            <w:r w:rsidR="003E3D5B" w:rsidRPr="003E3D5B">
              <w:rPr>
                <w:color w:val="000000" w:themeColor="text1"/>
              </w:rPr>
              <w:t xml:space="preserve"> </w:t>
            </w:r>
            <w:r w:rsidR="003E3D5B">
              <w:rPr>
                <w:color w:val="000000" w:themeColor="text1"/>
              </w:rPr>
              <w:t>(%)</w:t>
            </w:r>
          </w:p>
        </w:tc>
      </w:tr>
      <w:tr w:rsidR="00A45039" w14:paraId="5C9C2B3E" w14:textId="77777777" w:rsidTr="003E3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32EDBEAB" w14:textId="4D6F67F2" w:rsidR="00A45039" w:rsidRDefault="00CC0654" w:rsidP="00A4503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Finneidfjord</w:t>
            </w:r>
            <w:proofErr w:type="spellEnd"/>
          </w:p>
        </w:tc>
        <w:tc>
          <w:tcPr>
            <w:tcW w:w="1916" w:type="dxa"/>
          </w:tcPr>
          <w:p w14:paraId="65B86881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0.76</w:t>
            </w:r>
          </w:p>
        </w:tc>
        <w:tc>
          <w:tcPr>
            <w:tcW w:w="4253" w:type="dxa"/>
          </w:tcPr>
          <w:p w14:paraId="6E8E1A84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</w:t>
            </w:r>
          </w:p>
        </w:tc>
      </w:tr>
      <w:tr w:rsidR="00A45039" w14:paraId="094436AB" w14:textId="77777777" w:rsidTr="003E3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6E33DBF0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Rissa</w:t>
            </w:r>
          </w:p>
        </w:tc>
        <w:tc>
          <w:tcPr>
            <w:tcW w:w="1916" w:type="dxa"/>
          </w:tcPr>
          <w:p w14:paraId="56896E09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0.76</w:t>
            </w:r>
          </w:p>
        </w:tc>
        <w:tc>
          <w:tcPr>
            <w:tcW w:w="4253" w:type="dxa"/>
          </w:tcPr>
          <w:p w14:paraId="714F462E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~5</w:t>
            </w:r>
          </w:p>
        </w:tc>
      </w:tr>
      <w:tr w:rsidR="00A45039" w14:paraId="34739C08" w14:textId="77777777" w:rsidTr="003E3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18F1FD97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Block composite</w:t>
            </w:r>
          </w:p>
        </w:tc>
        <w:tc>
          <w:tcPr>
            <w:tcW w:w="1916" w:type="dxa"/>
          </w:tcPr>
          <w:p w14:paraId="169A3791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1.125</w:t>
            </w:r>
          </w:p>
        </w:tc>
        <w:tc>
          <w:tcPr>
            <w:tcW w:w="4253" w:type="dxa"/>
          </w:tcPr>
          <w:p w14:paraId="35526183" w14:textId="7D6B4375" w:rsidR="00A45039" w:rsidRDefault="00721D46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~30</w:t>
            </w:r>
          </w:p>
        </w:tc>
      </w:tr>
      <w:tr w:rsidR="00A45039" w14:paraId="73C53F18" w14:textId="77777777" w:rsidTr="003E3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01504D2D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Gaviota</w:t>
            </w:r>
            <w:proofErr w:type="spellEnd"/>
          </w:p>
        </w:tc>
        <w:tc>
          <w:tcPr>
            <w:tcW w:w="1916" w:type="dxa"/>
          </w:tcPr>
          <w:p w14:paraId="00AD5A58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3.8</w:t>
            </w:r>
          </w:p>
        </w:tc>
        <w:tc>
          <w:tcPr>
            <w:tcW w:w="4253" w:type="dxa"/>
          </w:tcPr>
          <w:p w14:paraId="156F8EC8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~ 50</w:t>
            </w:r>
          </w:p>
        </w:tc>
      </w:tr>
      <w:tr w:rsidR="00A45039" w14:paraId="2BB13878" w14:textId="77777777" w:rsidTr="003E3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71126241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Ana (</w:t>
            </w:r>
            <w:proofErr w:type="spellStart"/>
            <w:r>
              <w:t>Evissa</w:t>
            </w:r>
            <w:proofErr w:type="spellEnd"/>
            <w:r>
              <w:t xml:space="preserve"> complex)</w:t>
            </w:r>
          </w:p>
        </w:tc>
        <w:tc>
          <w:tcPr>
            <w:tcW w:w="1916" w:type="dxa"/>
          </w:tcPr>
          <w:p w14:paraId="69505ACF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4253" w:type="dxa"/>
          </w:tcPr>
          <w:p w14:paraId="4AB8B980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~[40 - 50]</w:t>
            </w:r>
          </w:p>
        </w:tc>
      </w:tr>
      <w:tr w:rsidR="00A45039" w14:paraId="6B3EB4D0" w14:textId="77777777" w:rsidTr="003E3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48D02CAF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Kitimat fjord debris flow</w:t>
            </w:r>
          </w:p>
        </w:tc>
        <w:tc>
          <w:tcPr>
            <w:tcW w:w="1916" w:type="dxa"/>
          </w:tcPr>
          <w:p w14:paraId="754F0E49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7.5</w:t>
            </w:r>
          </w:p>
        </w:tc>
        <w:tc>
          <w:tcPr>
            <w:tcW w:w="4253" w:type="dxa"/>
          </w:tcPr>
          <w:p w14:paraId="74E4091E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~ 90</w:t>
            </w:r>
          </w:p>
        </w:tc>
      </w:tr>
      <w:tr w:rsidR="00A45039" w14:paraId="191FF8BF" w14:textId="77777777" w:rsidTr="003E3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5FAB8593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 xml:space="preserve">Capo </w:t>
            </w:r>
            <w:proofErr w:type="spellStart"/>
            <w:r>
              <w:t>Vaticano</w:t>
            </w:r>
            <w:proofErr w:type="spellEnd"/>
            <w:r>
              <w:t xml:space="preserve"> S1</w:t>
            </w:r>
          </w:p>
        </w:tc>
        <w:tc>
          <w:tcPr>
            <w:tcW w:w="1916" w:type="dxa"/>
          </w:tcPr>
          <w:p w14:paraId="5230358A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7.6</w:t>
            </w:r>
          </w:p>
        </w:tc>
        <w:tc>
          <w:tcPr>
            <w:tcW w:w="4253" w:type="dxa"/>
          </w:tcPr>
          <w:p w14:paraId="1E82C082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~ [60-70]</w:t>
            </w:r>
          </w:p>
        </w:tc>
      </w:tr>
      <w:tr w:rsidR="00A45039" w14:paraId="0524370C" w14:textId="77777777" w:rsidTr="003E3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7A966FBB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Jersi</w:t>
            </w:r>
            <w:proofErr w:type="spellEnd"/>
            <w:r>
              <w:t xml:space="preserve"> (</w:t>
            </w:r>
            <w:proofErr w:type="spellStart"/>
            <w:r>
              <w:t>Evissa</w:t>
            </w:r>
            <w:proofErr w:type="spellEnd"/>
            <w:r>
              <w:t xml:space="preserve"> complex)</w:t>
            </w:r>
          </w:p>
        </w:tc>
        <w:tc>
          <w:tcPr>
            <w:tcW w:w="1916" w:type="dxa"/>
          </w:tcPr>
          <w:p w14:paraId="7849498C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7.9</w:t>
            </w:r>
          </w:p>
        </w:tc>
        <w:tc>
          <w:tcPr>
            <w:tcW w:w="4253" w:type="dxa"/>
          </w:tcPr>
          <w:p w14:paraId="2E97805D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[40 - 50]</w:t>
            </w:r>
          </w:p>
        </w:tc>
      </w:tr>
      <w:tr w:rsidR="00A45039" w14:paraId="04C326D1" w14:textId="77777777" w:rsidTr="003E3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596070DE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Nuna</w:t>
            </w:r>
            <w:proofErr w:type="spellEnd"/>
            <w:r>
              <w:t xml:space="preserve"> (</w:t>
            </w:r>
            <w:proofErr w:type="spellStart"/>
            <w:r>
              <w:t>Evissa</w:t>
            </w:r>
            <w:proofErr w:type="spellEnd"/>
            <w:r>
              <w:t xml:space="preserve"> complex)</w:t>
            </w:r>
          </w:p>
        </w:tc>
        <w:tc>
          <w:tcPr>
            <w:tcW w:w="1916" w:type="dxa"/>
          </w:tcPr>
          <w:p w14:paraId="63D6E69D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10.3</w:t>
            </w:r>
          </w:p>
        </w:tc>
        <w:tc>
          <w:tcPr>
            <w:tcW w:w="4253" w:type="dxa"/>
          </w:tcPr>
          <w:p w14:paraId="4659F970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~[40 - 50]</w:t>
            </w:r>
          </w:p>
        </w:tc>
      </w:tr>
      <w:tr w:rsidR="00A45039" w14:paraId="269D7431" w14:textId="77777777" w:rsidTr="003E3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4DB4CD55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 xml:space="preserve">Capo </w:t>
            </w:r>
            <w:proofErr w:type="spellStart"/>
            <w:r>
              <w:t>Vaticano</w:t>
            </w:r>
            <w:proofErr w:type="spellEnd"/>
            <w:r>
              <w:t xml:space="preserve"> S2</w:t>
            </w:r>
          </w:p>
        </w:tc>
        <w:tc>
          <w:tcPr>
            <w:tcW w:w="1916" w:type="dxa"/>
          </w:tcPr>
          <w:p w14:paraId="2C361291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14.5</w:t>
            </w:r>
          </w:p>
        </w:tc>
        <w:tc>
          <w:tcPr>
            <w:tcW w:w="4253" w:type="dxa"/>
          </w:tcPr>
          <w:p w14:paraId="3173129A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~ [60 -70]</w:t>
            </w:r>
          </w:p>
        </w:tc>
      </w:tr>
      <w:tr w:rsidR="00A45039" w14:paraId="798CA295" w14:textId="77777777" w:rsidTr="003E3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017F31E7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Klamath River delta</w:t>
            </w:r>
          </w:p>
        </w:tc>
        <w:tc>
          <w:tcPr>
            <w:tcW w:w="1916" w:type="dxa"/>
          </w:tcPr>
          <w:p w14:paraId="07AA23F1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4253" w:type="dxa"/>
          </w:tcPr>
          <w:p w14:paraId="253190CC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</w:t>
            </w:r>
          </w:p>
        </w:tc>
      </w:tr>
      <w:tr w:rsidR="00A45039" w14:paraId="2F2EF3A0" w14:textId="77777777" w:rsidTr="003E3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234626BA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Joan (</w:t>
            </w:r>
            <w:proofErr w:type="spellStart"/>
            <w:r>
              <w:t>Evissa</w:t>
            </w:r>
            <w:proofErr w:type="spellEnd"/>
            <w:r>
              <w:t xml:space="preserve"> complex)</w:t>
            </w:r>
          </w:p>
        </w:tc>
        <w:tc>
          <w:tcPr>
            <w:tcW w:w="1916" w:type="dxa"/>
          </w:tcPr>
          <w:p w14:paraId="554881B7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4253" w:type="dxa"/>
          </w:tcPr>
          <w:p w14:paraId="59A522A5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[40 -50]</w:t>
            </w:r>
          </w:p>
        </w:tc>
      </w:tr>
      <w:tr w:rsidR="00A45039" w14:paraId="695185E9" w14:textId="77777777" w:rsidTr="003E3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3745193E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Malta</w:t>
            </w:r>
          </w:p>
        </w:tc>
        <w:tc>
          <w:tcPr>
            <w:tcW w:w="1916" w:type="dxa"/>
          </w:tcPr>
          <w:p w14:paraId="70E62A60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4253" w:type="dxa"/>
          </w:tcPr>
          <w:p w14:paraId="48F49052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~ 70</w:t>
            </w:r>
          </w:p>
        </w:tc>
      </w:tr>
      <w:tr w:rsidR="00A45039" w14:paraId="0F49A20C" w14:textId="77777777" w:rsidTr="003E3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778B199A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Tampen</w:t>
            </w:r>
            <w:proofErr w:type="spellEnd"/>
          </w:p>
        </w:tc>
        <w:tc>
          <w:tcPr>
            <w:tcW w:w="1916" w:type="dxa"/>
          </w:tcPr>
          <w:p w14:paraId="2E62209B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4253" w:type="dxa"/>
          </w:tcPr>
          <w:p w14:paraId="0589B74C" w14:textId="387F841E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3.6 (Barrett </w:t>
            </w:r>
            <w:r w:rsidR="00E73E0D">
              <w:t>et al 2020</w:t>
            </w:r>
            <w:r>
              <w:t>)</w:t>
            </w:r>
          </w:p>
        </w:tc>
      </w:tr>
      <w:tr w:rsidR="00A45039" w14:paraId="16BE9E42" w14:textId="77777777" w:rsidTr="003E3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16DA6C1F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Licosa</w:t>
            </w:r>
            <w:proofErr w:type="spellEnd"/>
          </w:p>
        </w:tc>
        <w:tc>
          <w:tcPr>
            <w:tcW w:w="1916" w:type="dxa"/>
          </w:tcPr>
          <w:p w14:paraId="547298DC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4253" w:type="dxa"/>
          </w:tcPr>
          <w:p w14:paraId="4B5F0138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~ 90</w:t>
            </w:r>
          </w:p>
        </w:tc>
      </w:tr>
      <w:tr w:rsidR="00A45039" w14:paraId="57836732" w14:textId="77777777" w:rsidTr="003E3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29CA0672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Small MTD offshore Norway S1</w:t>
            </w:r>
          </w:p>
        </w:tc>
        <w:tc>
          <w:tcPr>
            <w:tcW w:w="1916" w:type="dxa"/>
          </w:tcPr>
          <w:p w14:paraId="46660D4B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58</w:t>
            </w:r>
          </w:p>
        </w:tc>
        <w:tc>
          <w:tcPr>
            <w:tcW w:w="4253" w:type="dxa"/>
          </w:tcPr>
          <w:p w14:paraId="5418D3D5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~ 60</w:t>
            </w:r>
          </w:p>
        </w:tc>
      </w:tr>
      <w:tr w:rsidR="00A45039" w14:paraId="1A11D2B2" w14:textId="77777777" w:rsidTr="003E3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671ADAAE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Goleta</w:t>
            </w:r>
          </w:p>
        </w:tc>
        <w:tc>
          <w:tcPr>
            <w:tcW w:w="1916" w:type="dxa"/>
          </w:tcPr>
          <w:p w14:paraId="0C44262C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130</w:t>
            </w:r>
          </w:p>
        </w:tc>
        <w:tc>
          <w:tcPr>
            <w:tcW w:w="4253" w:type="dxa"/>
          </w:tcPr>
          <w:p w14:paraId="2D791B1C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~ 50</w:t>
            </w:r>
          </w:p>
        </w:tc>
      </w:tr>
      <w:tr w:rsidR="00A45039" w14:paraId="6228EF30" w14:textId="77777777" w:rsidTr="003E3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38CCC21E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Small MTD offshore Norway S2</w:t>
            </w:r>
          </w:p>
        </w:tc>
        <w:tc>
          <w:tcPr>
            <w:tcW w:w="1916" w:type="dxa"/>
          </w:tcPr>
          <w:p w14:paraId="223FCF5E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144</w:t>
            </w:r>
          </w:p>
        </w:tc>
        <w:tc>
          <w:tcPr>
            <w:tcW w:w="4253" w:type="dxa"/>
          </w:tcPr>
          <w:p w14:paraId="05031428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~ 60</w:t>
            </w:r>
          </w:p>
        </w:tc>
      </w:tr>
      <w:tr w:rsidR="00A45039" w14:paraId="54D365C0" w14:textId="77777777" w:rsidTr="003E3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576CE82A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Tuaheni</w:t>
            </w:r>
            <w:proofErr w:type="spellEnd"/>
          </w:p>
        </w:tc>
        <w:tc>
          <w:tcPr>
            <w:tcW w:w="1916" w:type="dxa"/>
          </w:tcPr>
          <w:p w14:paraId="08138A66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145</w:t>
            </w:r>
          </w:p>
        </w:tc>
        <w:tc>
          <w:tcPr>
            <w:tcW w:w="4253" w:type="dxa"/>
          </w:tcPr>
          <w:p w14:paraId="70B1172F" w14:textId="0173028A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~ </w:t>
            </w:r>
            <w:r w:rsidR="00E73E0D">
              <w:t>40</w:t>
            </w:r>
          </w:p>
        </w:tc>
      </w:tr>
      <w:tr w:rsidR="00A45039" w14:paraId="550B7C14" w14:textId="77777777" w:rsidTr="003E3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4CF3645F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MN</w:t>
            </w:r>
          </w:p>
        </w:tc>
        <w:tc>
          <w:tcPr>
            <w:tcW w:w="1916" w:type="dxa"/>
          </w:tcPr>
          <w:p w14:paraId="305E6063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973</w:t>
            </w:r>
          </w:p>
        </w:tc>
        <w:tc>
          <w:tcPr>
            <w:tcW w:w="4253" w:type="dxa"/>
          </w:tcPr>
          <w:p w14:paraId="2FA48192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</w:t>
            </w:r>
          </w:p>
        </w:tc>
      </w:tr>
      <w:tr w:rsidR="00A45039" w14:paraId="226EB67E" w14:textId="77777777" w:rsidTr="003E3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34A3F464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Retriever</w:t>
            </w:r>
          </w:p>
        </w:tc>
        <w:tc>
          <w:tcPr>
            <w:tcW w:w="1916" w:type="dxa"/>
          </w:tcPr>
          <w:p w14:paraId="10E3741A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1780</w:t>
            </w:r>
          </w:p>
        </w:tc>
        <w:tc>
          <w:tcPr>
            <w:tcW w:w="4253" w:type="dxa"/>
          </w:tcPr>
          <w:p w14:paraId="00E9BFC6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</w:tr>
      <w:tr w:rsidR="00A45039" w14:paraId="0F4B9831" w14:textId="77777777" w:rsidTr="003E3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0C5BD605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Big 95 debris flow</w:t>
            </w:r>
          </w:p>
        </w:tc>
        <w:tc>
          <w:tcPr>
            <w:tcW w:w="1916" w:type="dxa"/>
          </w:tcPr>
          <w:p w14:paraId="3A2E3F6B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2000</w:t>
            </w:r>
          </w:p>
        </w:tc>
        <w:tc>
          <w:tcPr>
            <w:tcW w:w="4253" w:type="dxa"/>
          </w:tcPr>
          <w:p w14:paraId="1B43B38B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~ [10 - 15]</w:t>
            </w:r>
          </w:p>
        </w:tc>
      </w:tr>
      <w:tr w:rsidR="00A45039" w14:paraId="6671B15E" w14:textId="77777777" w:rsidTr="003E3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621A4838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Nyk</w:t>
            </w:r>
            <w:proofErr w:type="spellEnd"/>
            <w:r>
              <w:t xml:space="preserve"> </w:t>
            </w:r>
          </w:p>
        </w:tc>
        <w:tc>
          <w:tcPr>
            <w:tcW w:w="1916" w:type="dxa"/>
          </w:tcPr>
          <w:p w14:paraId="255183EE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2200</w:t>
            </w:r>
          </w:p>
        </w:tc>
        <w:tc>
          <w:tcPr>
            <w:tcW w:w="4253" w:type="dxa"/>
          </w:tcPr>
          <w:p w14:paraId="433F1767" w14:textId="344441D5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~[4</w:t>
            </w:r>
            <w:r w:rsidR="00721D46">
              <w:t>0</w:t>
            </w:r>
            <w:r>
              <w:t>-50]</w:t>
            </w:r>
          </w:p>
        </w:tc>
      </w:tr>
      <w:tr w:rsidR="00A45039" w14:paraId="5D653027" w14:textId="77777777" w:rsidTr="003E3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32AE5304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Traenadjupet</w:t>
            </w:r>
            <w:proofErr w:type="spellEnd"/>
          </w:p>
        </w:tc>
        <w:tc>
          <w:tcPr>
            <w:tcW w:w="1916" w:type="dxa"/>
          </w:tcPr>
          <w:p w14:paraId="64B3A18F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9100</w:t>
            </w:r>
          </w:p>
        </w:tc>
        <w:tc>
          <w:tcPr>
            <w:tcW w:w="4253" w:type="dxa"/>
          </w:tcPr>
          <w:p w14:paraId="5A49D45F" w14:textId="34351850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~ </w:t>
            </w:r>
            <w:r w:rsidR="00721D46">
              <w:t>50</w:t>
            </w:r>
          </w:p>
        </w:tc>
      </w:tr>
      <w:tr w:rsidR="00A45039" w14:paraId="7E8DD88C" w14:textId="77777777" w:rsidTr="003E3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0DF53ABD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Laurentian Fan (external levee)</w:t>
            </w:r>
          </w:p>
        </w:tc>
        <w:tc>
          <w:tcPr>
            <w:tcW w:w="1916" w:type="dxa"/>
          </w:tcPr>
          <w:p w14:paraId="13DB0DB9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14000</w:t>
            </w:r>
          </w:p>
        </w:tc>
        <w:tc>
          <w:tcPr>
            <w:tcW w:w="4253" w:type="dxa"/>
          </w:tcPr>
          <w:p w14:paraId="55AA3A5D" w14:textId="73F28708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~ 5</w:t>
            </w:r>
          </w:p>
        </w:tc>
      </w:tr>
      <w:tr w:rsidR="00A45039" w14:paraId="2805E816" w14:textId="77777777" w:rsidTr="003E3D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22B9801A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r>
              <w:t>Sahara</w:t>
            </w:r>
          </w:p>
        </w:tc>
        <w:tc>
          <w:tcPr>
            <w:tcW w:w="1916" w:type="dxa"/>
          </w:tcPr>
          <w:p w14:paraId="4174280F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48000</w:t>
            </w:r>
          </w:p>
        </w:tc>
        <w:tc>
          <w:tcPr>
            <w:tcW w:w="4253" w:type="dxa"/>
          </w:tcPr>
          <w:p w14:paraId="20318D49" w14:textId="77777777" w:rsidR="00A45039" w:rsidRDefault="00A45039" w:rsidP="009E0A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~ 30</w:t>
            </w:r>
          </w:p>
        </w:tc>
      </w:tr>
      <w:tr w:rsidR="00A45039" w14:paraId="0564D67F" w14:textId="77777777" w:rsidTr="003E3D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4" w:type="dxa"/>
          </w:tcPr>
          <w:p w14:paraId="05A5612C" w14:textId="77777777" w:rsidR="00A45039" w:rsidRDefault="00A45039" w:rsidP="00A45039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Storegga</w:t>
            </w:r>
            <w:proofErr w:type="spellEnd"/>
          </w:p>
        </w:tc>
        <w:tc>
          <w:tcPr>
            <w:tcW w:w="1916" w:type="dxa"/>
          </w:tcPr>
          <w:p w14:paraId="348D8BE8" w14:textId="77777777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95000</w:t>
            </w:r>
          </w:p>
        </w:tc>
        <w:tc>
          <w:tcPr>
            <w:tcW w:w="4253" w:type="dxa"/>
          </w:tcPr>
          <w:p w14:paraId="353D2297" w14:textId="748BB204" w:rsidR="00A45039" w:rsidRDefault="00A45039" w:rsidP="009E0A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25 (Micallef et al 2007)</w:t>
            </w:r>
          </w:p>
        </w:tc>
      </w:tr>
    </w:tbl>
    <w:p w14:paraId="2AAB9EA3" w14:textId="158EE2D5" w:rsidR="000068B7" w:rsidRPr="007D4247" w:rsidRDefault="000068B7" w:rsidP="000068B7">
      <w:pPr>
        <w:pStyle w:val="Caption"/>
        <w:rPr>
          <w:color w:val="auto"/>
        </w:rPr>
      </w:pPr>
      <w:bookmarkStart w:id="3" w:name="_Hlk103874287"/>
      <w:r w:rsidRPr="007D4247">
        <w:rPr>
          <w:b/>
          <w:color w:val="auto"/>
        </w:rPr>
        <w:t>Table 1DS</w:t>
      </w:r>
      <w:r w:rsidRPr="007D4247">
        <w:rPr>
          <w:color w:val="auto"/>
        </w:rPr>
        <w:t xml:space="preserve"> Summary of the total aerial extent of the landslides showing spreading morphology</w:t>
      </w:r>
      <w:r w:rsidR="006B7AF3" w:rsidRPr="007D4247">
        <w:rPr>
          <w:color w:val="auto"/>
        </w:rPr>
        <w:t>,</w:t>
      </w:r>
      <w:r w:rsidRPr="007D4247">
        <w:rPr>
          <w:color w:val="auto"/>
        </w:rPr>
        <w:t xml:space="preserve"> and the percentage of spreading coverage</w:t>
      </w:r>
      <w:r w:rsidR="006B7AF3" w:rsidRPr="007D4247">
        <w:rPr>
          <w:color w:val="auto"/>
        </w:rPr>
        <w:t xml:space="preserve">. The landslides are organized in progressive order, the numbering does not reflect the ID of the DB </w:t>
      </w:r>
      <w:proofErr w:type="spellStart"/>
      <w:r w:rsidR="006B7AF3" w:rsidRPr="007D4247">
        <w:rPr>
          <w:color w:val="auto"/>
        </w:rPr>
        <w:t>Subspread</w:t>
      </w:r>
      <w:proofErr w:type="spellEnd"/>
      <w:r w:rsidR="006B7AF3" w:rsidRPr="007D4247">
        <w:rPr>
          <w:color w:val="auto"/>
        </w:rPr>
        <w:t xml:space="preserve"> but the increasing order based on their aerial extent.</w:t>
      </w:r>
    </w:p>
    <w:bookmarkEnd w:id="3"/>
    <w:p w14:paraId="6F301856" w14:textId="4531D2DC" w:rsidR="000B4074" w:rsidRDefault="000B4074" w:rsidP="000B4074">
      <w:pPr>
        <w:keepNext/>
      </w:pPr>
    </w:p>
    <w:p w14:paraId="1C2D01B4" w14:textId="2509F588" w:rsidR="006C123C" w:rsidRDefault="006C123C">
      <w:r>
        <w:br w:type="page"/>
      </w:r>
    </w:p>
    <w:tbl>
      <w:tblPr>
        <w:tblW w:w="8885" w:type="dxa"/>
        <w:tblLook w:val="04A0" w:firstRow="1" w:lastRow="0" w:firstColumn="1" w:lastColumn="0" w:noHBand="0" w:noVBand="1"/>
      </w:tblPr>
      <w:tblGrid>
        <w:gridCol w:w="1223"/>
        <w:gridCol w:w="2878"/>
        <w:gridCol w:w="2977"/>
        <w:gridCol w:w="1807"/>
      </w:tblGrid>
      <w:tr w:rsidR="004F77E8" w:rsidRPr="00280021" w14:paraId="0CFB0311" w14:textId="77777777" w:rsidTr="004E511F">
        <w:trPr>
          <w:trHeight w:val="290"/>
        </w:trPr>
        <w:tc>
          <w:tcPr>
            <w:tcW w:w="12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939E259" w14:textId="77777777" w:rsidR="004F77E8" w:rsidRPr="001B74EB" w:rsidRDefault="004F77E8" w:rsidP="003E3D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1B74EB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lastRenderedPageBreak/>
              <w:t>Slide</w:t>
            </w:r>
          </w:p>
        </w:tc>
        <w:tc>
          <w:tcPr>
            <w:tcW w:w="766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AD3C9C" w14:textId="77777777" w:rsidR="004F77E8" w:rsidRPr="00280021" w:rsidRDefault="004F77E8" w:rsidP="003E3D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280021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Groups of slopes</w:t>
            </w:r>
          </w:p>
        </w:tc>
      </w:tr>
      <w:tr w:rsidR="004F77E8" w:rsidRPr="00280021" w14:paraId="6838EA53" w14:textId="77777777" w:rsidTr="004E511F">
        <w:trPr>
          <w:trHeight w:val="900"/>
        </w:trPr>
        <w:tc>
          <w:tcPr>
            <w:tcW w:w="1223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B16737" w14:textId="77777777" w:rsidR="004F77E8" w:rsidRPr="00280021" w:rsidRDefault="004F77E8" w:rsidP="003E3D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59C2" w14:textId="77777777" w:rsidR="004F77E8" w:rsidRPr="00280021" w:rsidRDefault="004F77E8" w:rsidP="003E3D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280021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≤1°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4AD5" w14:textId="77777777" w:rsidR="004F77E8" w:rsidRPr="00280021" w:rsidRDefault="004F77E8" w:rsidP="003E3D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280021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[1&lt;x≤3]°</w:t>
            </w:r>
          </w:p>
        </w:tc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CA1D2" w14:textId="77777777" w:rsidR="004F77E8" w:rsidRPr="00280021" w:rsidRDefault="004F77E8" w:rsidP="003E3D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280021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&gt;3°</w:t>
            </w:r>
          </w:p>
        </w:tc>
      </w:tr>
      <w:tr w:rsidR="004F77E8" w:rsidRPr="00280021" w14:paraId="1F3A31A5" w14:textId="77777777" w:rsidTr="004E511F">
        <w:trPr>
          <w:trHeight w:val="480"/>
        </w:trPr>
        <w:tc>
          <w:tcPr>
            <w:tcW w:w="12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03B8A89" w14:textId="77777777" w:rsidR="004F77E8" w:rsidRPr="00280021" w:rsidRDefault="004F77E8" w:rsidP="003E3D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E8D33" w14:textId="610FE1B0" w:rsidR="004F77E8" w:rsidRPr="00280021" w:rsidRDefault="004F77E8" w:rsidP="003E3D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2.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Klamath River delta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BB8DD" w14:textId="3D903917" w:rsidR="004F77E8" w:rsidRPr="00280021" w:rsidRDefault="004F77E8" w:rsidP="003E3D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4.</w:t>
            </w:r>
            <w:r w:rsidR="008641EA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Spreading in the Gulf of Lion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AFE03C" w14:textId="60EB004B" w:rsidR="004F77E8" w:rsidRPr="00280021" w:rsidRDefault="004F77E8" w:rsidP="003E3D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1.</w:t>
            </w:r>
            <w:r w:rsidR="008641EA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Storegga</w:t>
            </w:r>
            <w:proofErr w:type="spellEnd"/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4F77E8" w:rsidRPr="00280021" w14:paraId="1AF24265" w14:textId="77777777" w:rsidTr="004E511F">
        <w:trPr>
          <w:trHeight w:val="480"/>
        </w:trPr>
        <w:tc>
          <w:tcPr>
            <w:tcW w:w="12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68F443C" w14:textId="77777777" w:rsidR="004F77E8" w:rsidRPr="00280021" w:rsidRDefault="004F77E8" w:rsidP="002800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97B9B" w14:textId="03A4B712" w:rsidR="004F77E8" w:rsidRPr="00280021" w:rsidRDefault="004F77E8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Mississippi River Delta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7998F" w14:textId="67429280" w:rsidR="004F77E8" w:rsidRPr="00280021" w:rsidRDefault="004F77E8" w:rsidP="00280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6.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Goleta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DB0242" w14:textId="32772E64" w:rsidR="004F77E8" w:rsidRPr="00280021" w:rsidRDefault="004F77E8" w:rsidP="00280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3.</w:t>
            </w:r>
            <w:r w:rsidR="008641EA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smaller scale mass movements on the continental slope</w:t>
            </w:r>
          </w:p>
        </w:tc>
      </w:tr>
      <w:tr w:rsidR="004F77E8" w:rsidRPr="00280021" w14:paraId="3C100534" w14:textId="77777777" w:rsidTr="004E511F">
        <w:trPr>
          <w:trHeight w:val="369"/>
        </w:trPr>
        <w:tc>
          <w:tcPr>
            <w:tcW w:w="12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AE9DACE" w14:textId="77777777" w:rsidR="004F77E8" w:rsidRPr="00280021" w:rsidRDefault="004F77E8" w:rsidP="004F77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C00ED" w14:textId="36AE498B" w:rsidR="004F77E8" w:rsidRPr="00280021" w:rsidRDefault="004F77E8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9.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Kitimat fjord debris flow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C7A1D" w14:textId="78020319" w:rsidR="004F77E8" w:rsidRPr="00280021" w:rsidRDefault="004F77E8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7.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Gaviota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25613C" w14:textId="1F484EE7" w:rsidR="004F77E8" w:rsidRPr="00280021" w:rsidRDefault="00B75F8E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17.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Finneidfjord</w:t>
            </w:r>
            <w:proofErr w:type="spellEnd"/>
          </w:p>
        </w:tc>
      </w:tr>
      <w:tr w:rsidR="004F77E8" w:rsidRPr="00280021" w14:paraId="6EE6ED2D" w14:textId="77777777" w:rsidTr="004E511F">
        <w:trPr>
          <w:trHeight w:val="556"/>
        </w:trPr>
        <w:tc>
          <w:tcPr>
            <w:tcW w:w="12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DA45D87" w14:textId="77777777" w:rsidR="004F77E8" w:rsidRPr="00280021" w:rsidRDefault="004F77E8" w:rsidP="004F77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4E261" w14:textId="449D0040" w:rsidR="004F77E8" w:rsidRPr="00280021" w:rsidRDefault="00B75F8E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15.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Block composite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D7104" w14:textId="18B1D3DB" w:rsidR="004F77E8" w:rsidRPr="00280021" w:rsidRDefault="004F77E8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. </w:t>
            </w:r>
            <w:proofErr w:type="spellStart"/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Traenadjupet</w:t>
            </w:r>
            <w:proofErr w:type="spellEnd"/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356EC1" w14:textId="4E458B81" w:rsidR="004F77E8" w:rsidRPr="00280021" w:rsidRDefault="00B75F8E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18.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4F77E8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Big 95 Debris Flow</w:t>
            </w:r>
          </w:p>
        </w:tc>
      </w:tr>
      <w:tr w:rsidR="004F77E8" w:rsidRPr="00280021" w14:paraId="00952BA2" w14:textId="77777777" w:rsidTr="004E511F">
        <w:trPr>
          <w:trHeight w:val="461"/>
        </w:trPr>
        <w:tc>
          <w:tcPr>
            <w:tcW w:w="12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C25DC59" w14:textId="77777777" w:rsidR="004F77E8" w:rsidRPr="00280021" w:rsidRDefault="004F77E8" w:rsidP="004F77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305B1" w14:textId="6ADF0161" w:rsidR="004F77E8" w:rsidRPr="00280021" w:rsidRDefault="00B75F8E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16.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Retriever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E3C75" w14:textId="6315462D" w:rsidR="004F77E8" w:rsidRPr="00280021" w:rsidRDefault="004F77E8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10.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Mass movements in St Pierre Valley and Eastern Valley,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E21039" w14:textId="46C4593D" w:rsidR="004F77E8" w:rsidRPr="00280021" w:rsidRDefault="00B75F8E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19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. </w:t>
            </w:r>
            <w:proofErr w:type="spellStart"/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Tuaheni</w:t>
            </w:r>
            <w:proofErr w:type="spellEnd"/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</w:tr>
      <w:tr w:rsidR="004F77E8" w:rsidRPr="00280021" w14:paraId="6C0F03E8" w14:textId="77777777" w:rsidTr="004F77E8">
        <w:trPr>
          <w:trHeight w:val="341"/>
        </w:trPr>
        <w:tc>
          <w:tcPr>
            <w:tcW w:w="12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5B79FEB" w14:textId="77777777" w:rsidR="004F77E8" w:rsidRPr="00280021" w:rsidRDefault="004F77E8" w:rsidP="004F77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EF1CF" w14:textId="768A05F4" w:rsidR="004F77E8" w:rsidRPr="00280021" w:rsidRDefault="00B75F8E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16.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MN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F65BF" w14:textId="46074CD8" w:rsidR="004F77E8" w:rsidRPr="00280021" w:rsidRDefault="004F77E8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11.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Ana  (</w:t>
            </w:r>
            <w:proofErr w:type="spellStart"/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Evissa</w:t>
            </w:r>
            <w:proofErr w:type="spellEnd"/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Complex)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BF182C" w14:textId="69C2E8F7" w:rsidR="004F77E8" w:rsidRPr="00280021" w:rsidRDefault="008641EA" w:rsidP="004F77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32.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4F77E8" w:rsidRPr="00B70295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SAR-27</w:t>
            </w:r>
          </w:p>
        </w:tc>
      </w:tr>
      <w:tr w:rsidR="004F77E8" w:rsidRPr="00280021" w14:paraId="706662AF" w14:textId="77777777" w:rsidTr="004F77E8">
        <w:trPr>
          <w:trHeight w:val="416"/>
        </w:trPr>
        <w:tc>
          <w:tcPr>
            <w:tcW w:w="12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715D6C4" w14:textId="77777777" w:rsidR="004F77E8" w:rsidRPr="00280021" w:rsidRDefault="004F77E8" w:rsidP="004F77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CDDDE" w14:textId="05179637" w:rsidR="004F77E8" w:rsidRPr="00280021" w:rsidRDefault="00B75F8E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20.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Tampen</w:t>
            </w:r>
            <w:proofErr w:type="spellEnd"/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85E20" w14:textId="60F96132" w:rsidR="004F77E8" w:rsidRPr="00280021" w:rsidRDefault="004F77E8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11.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Joan (</w:t>
            </w:r>
            <w:proofErr w:type="spellStart"/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Evissa</w:t>
            </w:r>
            <w:proofErr w:type="spellEnd"/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Complex)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FA83F" w14:textId="61B17496" w:rsidR="004F77E8" w:rsidRPr="00280021" w:rsidRDefault="004F77E8" w:rsidP="004F77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4F77E8" w:rsidRPr="00280021" w14:paraId="45A51E79" w14:textId="77777777" w:rsidTr="001D0827">
        <w:trPr>
          <w:trHeight w:val="537"/>
        </w:trPr>
        <w:tc>
          <w:tcPr>
            <w:tcW w:w="12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2E4BFB3" w14:textId="77777777" w:rsidR="004F77E8" w:rsidRPr="00280021" w:rsidRDefault="004F77E8" w:rsidP="004F77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AEDB3" w14:textId="33859138" w:rsidR="004F77E8" w:rsidRPr="00280021" w:rsidRDefault="00B75F8E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21.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Sahara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DC44C" w14:textId="3679373D" w:rsidR="004F77E8" w:rsidRPr="00280021" w:rsidRDefault="004F77E8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11.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Nuna</w:t>
            </w:r>
            <w:proofErr w:type="spellEnd"/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 (</w:t>
            </w:r>
            <w:proofErr w:type="spellStart"/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Evissa</w:t>
            </w:r>
            <w:proofErr w:type="spellEnd"/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Complex)</w:t>
            </w:r>
          </w:p>
        </w:tc>
        <w:tc>
          <w:tcPr>
            <w:tcW w:w="180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04A0A" w14:textId="2638C77C" w:rsidR="004F77E8" w:rsidRPr="00280021" w:rsidRDefault="004F77E8" w:rsidP="004F77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4F77E8" w:rsidRPr="00280021" w14:paraId="61A7BB3B" w14:textId="77777777" w:rsidTr="001D0827">
        <w:trPr>
          <w:trHeight w:val="403"/>
        </w:trPr>
        <w:tc>
          <w:tcPr>
            <w:tcW w:w="12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A8EF4AD" w14:textId="77777777" w:rsidR="004F77E8" w:rsidRPr="00280021" w:rsidRDefault="004F77E8" w:rsidP="004F77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D8032" w14:textId="7B0A7BB4" w:rsidR="004F77E8" w:rsidRPr="00280021" w:rsidRDefault="008641EA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26.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Laurentian Fan (external levees)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BAE7D" w14:textId="5C38A405" w:rsidR="004F77E8" w:rsidRPr="00280021" w:rsidRDefault="00B75F8E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11.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Jersi</w:t>
            </w:r>
            <w:proofErr w:type="spellEnd"/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(</w:t>
            </w:r>
            <w:proofErr w:type="spellStart"/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Evissa</w:t>
            </w:r>
            <w:proofErr w:type="spellEnd"/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Complex)</w:t>
            </w:r>
          </w:p>
        </w:tc>
        <w:tc>
          <w:tcPr>
            <w:tcW w:w="180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1F7AE" w14:textId="161F7C7E" w:rsidR="004F77E8" w:rsidRPr="00280021" w:rsidRDefault="004F77E8" w:rsidP="004F77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4F77E8" w:rsidRPr="00280021" w14:paraId="3442A83D" w14:textId="77777777" w:rsidTr="001D0827">
        <w:trPr>
          <w:trHeight w:val="480"/>
        </w:trPr>
        <w:tc>
          <w:tcPr>
            <w:tcW w:w="12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AC6AB5C" w14:textId="77777777" w:rsidR="004F77E8" w:rsidRPr="00280021" w:rsidRDefault="004F77E8" w:rsidP="004F77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8DBF6" w14:textId="0094CDE0" w:rsidR="004F77E8" w:rsidRPr="00280021" w:rsidRDefault="00B75F8E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2</w:t>
            </w:r>
            <w:r w:rsidR="008641EA"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9</w:t>
            </w: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Quaternary mass movements along the continental slope of the Black Sea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B49CE" w14:textId="1D192089" w:rsidR="004F77E8" w:rsidRPr="00280021" w:rsidRDefault="00B75F8E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22.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 w:rsidR="004F77E8"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Malta </w:t>
            </w:r>
          </w:p>
        </w:tc>
        <w:tc>
          <w:tcPr>
            <w:tcW w:w="180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B2AB8" w14:textId="321085EF" w:rsidR="004F77E8" w:rsidRPr="00280021" w:rsidRDefault="004F77E8" w:rsidP="004F77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8641EA" w:rsidRPr="00280021" w14:paraId="101EEF67" w14:textId="77777777" w:rsidTr="00E174C3">
        <w:trPr>
          <w:trHeight w:val="480"/>
        </w:trPr>
        <w:tc>
          <w:tcPr>
            <w:tcW w:w="12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AB7ABE" w14:textId="77777777" w:rsidR="008641EA" w:rsidRPr="00280021" w:rsidRDefault="008641EA" w:rsidP="004F77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B90B1FA" w14:textId="3F055CAF" w:rsidR="008641EA" w:rsidRPr="00280021" w:rsidRDefault="008641EA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88D53" w14:textId="03F948EF" w:rsidR="008641EA" w:rsidRPr="00280021" w:rsidRDefault="008641EA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23.</w:t>
            </w:r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Hinlopen </w:t>
            </w:r>
          </w:p>
        </w:tc>
        <w:tc>
          <w:tcPr>
            <w:tcW w:w="180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228A42" w14:textId="77777777" w:rsidR="008641EA" w:rsidRPr="00280021" w:rsidRDefault="008641EA" w:rsidP="004F77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8641EA" w:rsidRPr="00280021" w14:paraId="7D3E20F3" w14:textId="77777777" w:rsidTr="00E174C3">
        <w:trPr>
          <w:trHeight w:val="480"/>
        </w:trPr>
        <w:tc>
          <w:tcPr>
            <w:tcW w:w="12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C3D0C5D" w14:textId="77777777" w:rsidR="008641EA" w:rsidRPr="00280021" w:rsidRDefault="008641EA" w:rsidP="004F77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D1054AE" w14:textId="3B595861" w:rsidR="008641EA" w:rsidRPr="00280021" w:rsidRDefault="008641EA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D6BA9" w14:textId="3011B920" w:rsidR="008641EA" w:rsidRPr="00280021" w:rsidRDefault="008641EA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25.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Licosa</w:t>
            </w:r>
            <w:proofErr w:type="spellEnd"/>
            <w:r w:rsidRPr="00280021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180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7DAB4" w14:textId="4DD0E388" w:rsidR="008641EA" w:rsidRPr="00280021" w:rsidRDefault="008641EA" w:rsidP="004F77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8641EA" w:rsidRPr="00280021" w14:paraId="21F7A30C" w14:textId="77777777" w:rsidTr="001D0827">
        <w:trPr>
          <w:trHeight w:val="480"/>
        </w:trPr>
        <w:tc>
          <w:tcPr>
            <w:tcW w:w="122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9388CD" w14:textId="77777777" w:rsidR="008641EA" w:rsidRPr="00280021" w:rsidRDefault="008641EA" w:rsidP="004F77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6F40FBD" w14:textId="77777777" w:rsidR="008641EA" w:rsidRPr="00280021" w:rsidRDefault="008641EA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CBBD3" w14:textId="3F763587" w:rsidR="008641EA" w:rsidRPr="008641EA" w:rsidRDefault="008641EA" w:rsidP="0086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28.</w:t>
            </w:r>
            <w:r w:rsidRPr="008641EA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Capo </w:t>
            </w:r>
            <w:proofErr w:type="spellStart"/>
            <w:r w:rsidRPr="008641EA"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>Vaticano</w:t>
            </w:r>
            <w:proofErr w:type="spellEnd"/>
          </w:p>
        </w:tc>
        <w:tc>
          <w:tcPr>
            <w:tcW w:w="180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8E5249" w14:textId="77777777" w:rsidR="008641EA" w:rsidRPr="00280021" w:rsidRDefault="008641EA" w:rsidP="004F77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8641EA" w:rsidRPr="00280021" w14:paraId="6F8473E2" w14:textId="77777777" w:rsidTr="001D0827">
        <w:trPr>
          <w:trHeight w:val="480"/>
        </w:trPr>
        <w:tc>
          <w:tcPr>
            <w:tcW w:w="1223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2C282CBA" w14:textId="77777777" w:rsidR="008641EA" w:rsidRPr="00280021" w:rsidRDefault="008641EA" w:rsidP="004F77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28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8AB85" w14:textId="77777777" w:rsidR="008641EA" w:rsidRPr="00280021" w:rsidRDefault="008641EA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8DFE4" w14:textId="00606D80" w:rsidR="008641EA" w:rsidRPr="00280021" w:rsidRDefault="008641EA" w:rsidP="004F77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</w:pPr>
            <w:r w:rsidRPr="008641E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GB" w:eastAsia="en-GB"/>
              </w:rPr>
              <w:t>31.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 w:eastAsia="en-GB"/>
              </w:rPr>
              <w:t xml:space="preserve"> Wide slump along the upper slope of the Canadian Arctic</w:t>
            </w:r>
          </w:p>
        </w:tc>
        <w:tc>
          <w:tcPr>
            <w:tcW w:w="180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E1E7BF" w14:textId="77777777" w:rsidR="008641EA" w:rsidRPr="00280021" w:rsidRDefault="008641EA" w:rsidP="004F77E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4F77E8" w:rsidRPr="003E3D5B" w14:paraId="39640DDD" w14:textId="77777777" w:rsidTr="00280021">
        <w:trPr>
          <w:trHeight w:val="590"/>
        </w:trPr>
        <w:tc>
          <w:tcPr>
            <w:tcW w:w="12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D656F" w14:textId="77777777" w:rsidR="004F77E8" w:rsidRPr="00280021" w:rsidRDefault="004F77E8" w:rsidP="004F77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280021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TOT COUNTING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3928" w14:textId="57702C21" w:rsidR="004F77E8" w:rsidRPr="00280021" w:rsidRDefault="004F77E8" w:rsidP="004F77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280021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613D" w14:textId="6AB05252" w:rsidR="004F77E8" w:rsidRPr="00280021" w:rsidRDefault="004F77E8" w:rsidP="004F77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280021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9335C" w14:textId="0952F13A" w:rsidR="004F77E8" w:rsidRPr="003E3D5B" w:rsidRDefault="004F77E8" w:rsidP="004F77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6</w:t>
            </w:r>
          </w:p>
        </w:tc>
      </w:tr>
    </w:tbl>
    <w:p w14:paraId="36906ABD" w14:textId="37913184" w:rsidR="00687843" w:rsidRPr="007D4247" w:rsidRDefault="00CC0654" w:rsidP="00CC0654">
      <w:pPr>
        <w:pStyle w:val="Caption"/>
        <w:rPr>
          <w:color w:val="auto"/>
        </w:rPr>
      </w:pPr>
      <w:bookmarkStart w:id="4" w:name="_Hlk103874350"/>
      <w:r w:rsidRPr="007D4247">
        <w:rPr>
          <w:b/>
          <w:color w:val="auto"/>
        </w:rPr>
        <w:t xml:space="preserve">Table </w:t>
      </w:r>
      <w:r w:rsidRPr="007D4247">
        <w:rPr>
          <w:b/>
          <w:color w:val="auto"/>
        </w:rPr>
        <w:fldChar w:fldCharType="begin"/>
      </w:r>
      <w:r w:rsidRPr="007D4247">
        <w:rPr>
          <w:b/>
          <w:color w:val="auto"/>
        </w:rPr>
        <w:instrText xml:space="preserve"> SEQ Table \* ARABIC </w:instrText>
      </w:r>
      <w:r w:rsidRPr="007D4247">
        <w:rPr>
          <w:b/>
          <w:color w:val="auto"/>
        </w:rPr>
        <w:fldChar w:fldCharType="separate"/>
      </w:r>
      <w:r w:rsidRPr="007D4247">
        <w:rPr>
          <w:b/>
          <w:noProof/>
          <w:color w:val="auto"/>
        </w:rPr>
        <w:t>2</w:t>
      </w:r>
      <w:r w:rsidRPr="007D4247">
        <w:rPr>
          <w:b/>
          <w:color w:val="auto"/>
        </w:rPr>
        <w:fldChar w:fldCharType="end"/>
      </w:r>
      <w:r w:rsidRPr="007D4247">
        <w:rPr>
          <w:b/>
          <w:color w:val="auto"/>
        </w:rPr>
        <w:t>DS</w:t>
      </w:r>
      <w:r w:rsidRPr="007D4247">
        <w:rPr>
          <w:color w:val="auto"/>
        </w:rPr>
        <w:t xml:space="preserve"> Groups of slopes identified in our DB and divided within the major </w:t>
      </w:r>
      <w:r w:rsidR="006B7AF3" w:rsidRPr="007D4247">
        <w:rPr>
          <w:color w:val="auto"/>
        </w:rPr>
        <w:t xml:space="preserve">slope </w:t>
      </w:r>
      <w:r w:rsidRPr="007D4247">
        <w:rPr>
          <w:color w:val="auto"/>
        </w:rPr>
        <w:t>thresholds</w:t>
      </w:r>
      <w:r w:rsidR="006B7AF3" w:rsidRPr="007D4247">
        <w:rPr>
          <w:color w:val="auto"/>
        </w:rPr>
        <w:t>, the numbering of each landslide refers to the ID with which each landslide is recorded in the DB ‘</w:t>
      </w:r>
      <w:proofErr w:type="spellStart"/>
      <w:r w:rsidR="006B7AF3" w:rsidRPr="007D4247">
        <w:rPr>
          <w:color w:val="auto"/>
        </w:rPr>
        <w:t>SubSpread</w:t>
      </w:r>
      <w:proofErr w:type="spellEnd"/>
      <w:r w:rsidR="006B7AF3" w:rsidRPr="007D4247">
        <w:rPr>
          <w:color w:val="auto"/>
        </w:rPr>
        <w:t>’.</w:t>
      </w:r>
      <w:r w:rsidR="00AE2600" w:rsidRPr="007D4247">
        <w:rPr>
          <w:color w:val="auto"/>
        </w:rPr>
        <w:fldChar w:fldCharType="begin"/>
      </w:r>
      <w:r w:rsidR="00AE2600" w:rsidRPr="007D4247">
        <w:rPr>
          <w:color w:val="auto"/>
        </w:rPr>
        <w:instrText xml:space="preserve"> LINK </w:instrText>
      </w:r>
      <w:r w:rsidR="00687843" w:rsidRPr="007D4247">
        <w:rPr>
          <w:color w:val="auto"/>
        </w:rPr>
        <w:instrText xml:space="preserve">Excel.Sheet.12 "E:\\SubSpread\\SubSpread\\DBs\\DB subaqueous landslides.xlsx" "Slope angle!R4C10:R19C13" </w:instrText>
      </w:r>
      <w:r w:rsidR="00AE2600" w:rsidRPr="007D4247">
        <w:rPr>
          <w:color w:val="auto"/>
        </w:rPr>
        <w:instrText xml:space="preserve">\a \f 4 \h  \* MERGEFORMAT </w:instrText>
      </w:r>
      <w:r w:rsidR="00AE2600" w:rsidRPr="007D4247">
        <w:rPr>
          <w:color w:val="auto"/>
        </w:rPr>
        <w:fldChar w:fldCharType="separate"/>
      </w:r>
    </w:p>
    <w:p w14:paraId="71411EC1" w14:textId="4955B9F3" w:rsidR="004A38F2" w:rsidRPr="007D4247" w:rsidRDefault="004A38F2">
      <w:pPr>
        <w:pStyle w:val="Caption"/>
        <w:rPr>
          <w:color w:val="auto"/>
        </w:rPr>
      </w:pPr>
      <w:r w:rsidRPr="007D4247">
        <w:rPr>
          <w:color w:val="auto"/>
        </w:rPr>
        <w:t>.</w:t>
      </w:r>
    </w:p>
    <w:p w14:paraId="5D36920E" w14:textId="3B115E01" w:rsidR="003E3D5B" w:rsidRDefault="00AE2600" w:rsidP="00F3557E">
      <w:r w:rsidRPr="007D4247">
        <w:fldChar w:fldCharType="end"/>
      </w:r>
      <w:bookmarkEnd w:id="4"/>
    </w:p>
    <w:p w14:paraId="24502BE6" w14:textId="77777777" w:rsidR="003E3D5B" w:rsidRDefault="003E3D5B">
      <w:r>
        <w:br w:type="page"/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E7752" w14:paraId="79FD40AA" w14:textId="77777777" w:rsidTr="00FD13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CA86EDA" w14:textId="77777777" w:rsidR="00EE7752" w:rsidRPr="00DC3C2A" w:rsidRDefault="00EE7752" w:rsidP="009E0A89">
            <w:pPr>
              <w:rPr>
                <w:color w:val="auto"/>
              </w:rPr>
            </w:pPr>
            <w:r w:rsidRPr="00DC3C2A">
              <w:rPr>
                <w:color w:val="auto"/>
              </w:rPr>
              <w:lastRenderedPageBreak/>
              <w:t>Slide</w:t>
            </w:r>
          </w:p>
        </w:tc>
        <w:tc>
          <w:tcPr>
            <w:tcW w:w="4508" w:type="dxa"/>
          </w:tcPr>
          <w:p w14:paraId="14B189B9" w14:textId="77777777" w:rsidR="00EE7752" w:rsidRPr="00FD13B9" w:rsidRDefault="00EE7752" w:rsidP="009E0A8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FD13B9">
              <w:rPr>
                <w:color w:val="auto"/>
              </w:rPr>
              <w:t>Skempton</w:t>
            </w:r>
            <w:proofErr w:type="spellEnd"/>
            <w:r w:rsidRPr="00FD13B9">
              <w:rPr>
                <w:color w:val="auto"/>
              </w:rPr>
              <w:t xml:space="preserve"> Ratio (x10 </w:t>
            </w:r>
            <w:r w:rsidRPr="00FD13B9">
              <w:rPr>
                <w:color w:val="auto"/>
                <w:vertAlign w:val="superscript"/>
              </w:rPr>
              <w:t>-3</w:t>
            </w:r>
            <w:r w:rsidRPr="00FD13B9">
              <w:rPr>
                <w:color w:val="auto"/>
              </w:rPr>
              <w:t>)</w:t>
            </w:r>
          </w:p>
        </w:tc>
      </w:tr>
      <w:tr w:rsidR="00EE7752" w14:paraId="41D15450" w14:textId="77777777" w:rsidTr="00FD1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3A6BE63" w14:textId="77777777" w:rsidR="00EE7752" w:rsidRPr="00DC3C2A" w:rsidRDefault="00EE7752" w:rsidP="00EE7752">
            <w:pPr>
              <w:pStyle w:val="ListParagraph"/>
              <w:numPr>
                <w:ilvl w:val="0"/>
                <w:numId w:val="3"/>
              </w:numPr>
              <w:rPr>
                <w:b w:val="0"/>
              </w:rPr>
            </w:pPr>
            <w:proofErr w:type="spellStart"/>
            <w:r w:rsidRPr="00DC3C2A">
              <w:rPr>
                <w:b w:val="0"/>
              </w:rPr>
              <w:t>Storegga</w:t>
            </w:r>
            <w:proofErr w:type="spellEnd"/>
          </w:p>
        </w:tc>
        <w:tc>
          <w:tcPr>
            <w:tcW w:w="4508" w:type="dxa"/>
          </w:tcPr>
          <w:p w14:paraId="2EE27C8F" w14:textId="77777777" w:rsidR="00EE7752" w:rsidRDefault="00EE7752" w:rsidP="009E0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0.05</w:t>
            </w:r>
          </w:p>
        </w:tc>
      </w:tr>
      <w:tr w:rsidR="00EE7752" w14:paraId="474DDFF7" w14:textId="77777777" w:rsidTr="00FD1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69C5D27" w14:textId="77777777" w:rsidR="00EE7752" w:rsidRPr="00DC3C2A" w:rsidRDefault="00EE7752" w:rsidP="00EE7752">
            <w:pPr>
              <w:pStyle w:val="ListParagraph"/>
              <w:numPr>
                <w:ilvl w:val="0"/>
                <w:numId w:val="3"/>
              </w:numPr>
              <w:rPr>
                <w:b w:val="0"/>
              </w:rPr>
            </w:pPr>
            <w:proofErr w:type="spellStart"/>
            <w:r w:rsidRPr="00DC3C2A">
              <w:rPr>
                <w:b w:val="0"/>
              </w:rPr>
              <w:t>Traenadjupet</w:t>
            </w:r>
            <w:proofErr w:type="spellEnd"/>
          </w:p>
        </w:tc>
        <w:tc>
          <w:tcPr>
            <w:tcW w:w="4508" w:type="dxa"/>
          </w:tcPr>
          <w:p w14:paraId="07AE5DB7" w14:textId="77777777" w:rsidR="00EE7752" w:rsidRDefault="00EE7752" w:rsidP="009E0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0.5</w:t>
            </w:r>
          </w:p>
        </w:tc>
      </w:tr>
      <w:tr w:rsidR="00EE7752" w14:paraId="0ADB980F" w14:textId="77777777" w:rsidTr="00FD1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195E033" w14:textId="77777777" w:rsidR="00EE7752" w:rsidRPr="00DC3C2A" w:rsidRDefault="00EE7752" w:rsidP="00EE7752">
            <w:pPr>
              <w:pStyle w:val="ListParagraph"/>
              <w:numPr>
                <w:ilvl w:val="0"/>
                <w:numId w:val="3"/>
              </w:numPr>
              <w:rPr>
                <w:b w:val="0"/>
              </w:rPr>
            </w:pPr>
            <w:r w:rsidRPr="00DC3C2A">
              <w:rPr>
                <w:b w:val="0"/>
              </w:rPr>
              <w:t>Small MTD offshore Norway, S2</w:t>
            </w:r>
          </w:p>
        </w:tc>
        <w:tc>
          <w:tcPr>
            <w:tcW w:w="4508" w:type="dxa"/>
          </w:tcPr>
          <w:p w14:paraId="3DC6B35C" w14:textId="77777777" w:rsidR="00EE7752" w:rsidRDefault="00EE7752" w:rsidP="009E0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1.75</w:t>
            </w:r>
          </w:p>
        </w:tc>
      </w:tr>
      <w:tr w:rsidR="00EE7752" w14:paraId="0144C5A4" w14:textId="77777777" w:rsidTr="00FD1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25651D71" w14:textId="77777777" w:rsidR="00EE7752" w:rsidRPr="00DC3C2A" w:rsidRDefault="00EE7752" w:rsidP="00EE7752">
            <w:pPr>
              <w:pStyle w:val="ListParagraph"/>
              <w:numPr>
                <w:ilvl w:val="0"/>
                <w:numId w:val="3"/>
              </w:numPr>
              <w:rPr>
                <w:b w:val="0"/>
              </w:rPr>
            </w:pPr>
            <w:r w:rsidRPr="00DC3C2A">
              <w:rPr>
                <w:b w:val="0"/>
              </w:rPr>
              <w:t>Klamath River Delta</w:t>
            </w:r>
          </w:p>
        </w:tc>
        <w:tc>
          <w:tcPr>
            <w:tcW w:w="4508" w:type="dxa"/>
          </w:tcPr>
          <w:p w14:paraId="33272F0D" w14:textId="77777777" w:rsidR="00EE7752" w:rsidRDefault="00EE7752" w:rsidP="009E0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2.0</w:t>
            </w:r>
          </w:p>
        </w:tc>
      </w:tr>
      <w:tr w:rsidR="00EE7752" w14:paraId="39B9BEB8" w14:textId="77777777" w:rsidTr="00FD1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465ED5BB" w14:textId="77777777" w:rsidR="00EE7752" w:rsidRPr="00DC3C2A" w:rsidRDefault="00EE7752" w:rsidP="00EE7752">
            <w:pPr>
              <w:pStyle w:val="ListParagraph"/>
              <w:numPr>
                <w:ilvl w:val="0"/>
                <w:numId w:val="3"/>
              </w:numPr>
              <w:rPr>
                <w:b w:val="0"/>
              </w:rPr>
            </w:pPr>
            <w:r w:rsidRPr="00DC3C2A">
              <w:rPr>
                <w:b w:val="0"/>
              </w:rPr>
              <w:t>Laurentian Fan (external levee)</w:t>
            </w:r>
          </w:p>
        </w:tc>
        <w:tc>
          <w:tcPr>
            <w:tcW w:w="4508" w:type="dxa"/>
          </w:tcPr>
          <w:p w14:paraId="3F3A46C5" w14:textId="77777777" w:rsidR="00EE7752" w:rsidRDefault="00EE7752" w:rsidP="009E0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3.0</w:t>
            </w:r>
          </w:p>
        </w:tc>
      </w:tr>
      <w:tr w:rsidR="00EE7752" w14:paraId="459216E4" w14:textId="77777777" w:rsidTr="00FD1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25D679CE" w14:textId="77777777" w:rsidR="00EE7752" w:rsidRPr="00DC3C2A" w:rsidRDefault="00EE7752" w:rsidP="00EE7752">
            <w:pPr>
              <w:pStyle w:val="ListParagraph"/>
              <w:numPr>
                <w:ilvl w:val="0"/>
                <w:numId w:val="3"/>
              </w:numPr>
              <w:rPr>
                <w:b w:val="0"/>
              </w:rPr>
            </w:pPr>
            <w:r w:rsidRPr="00DC3C2A">
              <w:rPr>
                <w:b w:val="0"/>
              </w:rPr>
              <w:t>Small MTDs offshore Norway, S1</w:t>
            </w:r>
          </w:p>
        </w:tc>
        <w:tc>
          <w:tcPr>
            <w:tcW w:w="4508" w:type="dxa"/>
          </w:tcPr>
          <w:p w14:paraId="300B88F6" w14:textId="77777777" w:rsidR="00EE7752" w:rsidRDefault="00EE7752" w:rsidP="009E0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3.6</w:t>
            </w:r>
          </w:p>
        </w:tc>
      </w:tr>
      <w:tr w:rsidR="00EE7752" w14:paraId="21017921" w14:textId="77777777" w:rsidTr="00FD1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084F449" w14:textId="5DCDDCC9" w:rsidR="00EE7752" w:rsidRPr="00DC3C2A" w:rsidRDefault="00EE7752" w:rsidP="00EE7752">
            <w:pPr>
              <w:pStyle w:val="ListParagraph"/>
              <w:numPr>
                <w:ilvl w:val="0"/>
                <w:numId w:val="3"/>
              </w:numPr>
              <w:rPr>
                <w:b w:val="0"/>
              </w:rPr>
            </w:pPr>
            <w:r w:rsidRPr="00DC3C2A">
              <w:rPr>
                <w:b w:val="0"/>
              </w:rPr>
              <w:t>Goleta</w:t>
            </w:r>
            <w:r w:rsidR="00FD13B9" w:rsidRPr="00DC3C2A">
              <w:rPr>
                <w:b w:val="0"/>
              </w:rPr>
              <w:t xml:space="preserve"> (western lobe)</w:t>
            </w:r>
          </w:p>
        </w:tc>
        <w:tc>
          <w:tcPr>
            <w:tcW w:w="4508" w:type="dxa"/>
          </w:tcPr>
          <w:p w14:paraId="579C449F" w14:textId="77777777" w:rsidR="00EE7752" w:rsidRDefault="00EE7752" w:rsidP="009E0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4.3</w:t>
            </w:r>
          </w:p>
        </w:tc>
      </w:tr>
      <w:tr w:rsidR="00EE7752" w14:paraId="44FCD347" w14:textId="77777777" w:rsidTr="00FD1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5090BA02" w14:textId="77777777" w:rsidR="00EE7752" w:rsidRPr="00DC3C2A" w:rsidRDefault="00EE7752" w:rsidP="00EE7752">
            <w:pPr>
              <w:pStyle w:val="ListParagraph"/>
              <w:numPr>
                <w:ilvl w:val="0"/>
                <w:numId w:val="3"/>
              </w:numPr>
              <w:rPr>
                <w:b w:val="0"/>
              </w:rPr>
            </w:pPr>
            <w:r w:rsidRPr="00DC3C2A">
              <w:rPr>
                <w:b w:val="0"/>
              </w:rPr>
              <w:t>SAR-27</w:t>
            </w:r>
          </w:p>
        </w:tc>
        <w:tc>
          <w:tcPr>
            <w:tcW w:w="4508" w:type="dxa"/>
          </w:tcPr>
          <w:p w14:paraId="5B3CC274" w14:textId="77777777" w:rsidR="00EE7752" w:rsidRDefault="00EE7752" w:rsidP="009E0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4.7</w:t>
            </w:r>
          </w:p>
        </w:tc>
      </w:tr>
      <w:tr w:rsidR="00EE7752" w14:paraId="68B860C8" w14:textId="77777777" w:rsidTr="00FD1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32421D4A" w14:textId="76258288" w:rsidR="00EE7752" w:rsidRPr="00DC3C2A" w:rsidRDefault="00EE7752" w:rsidP="00EE7752">
            <w:pPr>
              <w:pStyle w:val="ListParagraph"/>
              <w:numPr>
                <w:ilvl w:val="0"/>
                <w:numId w:val="3"/>
              </w:numPr>
              <w:rPr>
                <w:b w:val="0"/>
              </w:rPr>
            </w:pPr>
            <w:r w:rsidRPr="00DC3C2A">
              <w:rPr>
                <w:b w:val="0"/>
              </w:rPr>
              <w:t>Goleta</w:t>
            </w:r>
            <w:r w:rsidR="00FD13B9" w:rsidRPr="00DC3C2A">
              <w:rPr>
                <w:b w:val="0"/>
              </w:rPr>
              <w:t xml:space="preserve"> (eastern lobe)</w:t>
            </w:r>
          </w:p>
        </w:tc>
        <w:tc>
          <w:tcPr>
            <w:tcW w:w="4508" w:type="dxa"/>
          </w:tcPr>
          <w:p w14:paraId="2D6A7933" w14:textId="77777777" w:rsidR="00EE7752" w:rsidRDefault="00EE7752" w:rsidP="009E0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5.3</w:t>
            </w:r>
          </w:p>
        </w:tc>
      </w:tr>
      <w:tr w:rsidR="00EE7752" w14:paraId="48753A26" w14:textId="77777777" w:rsidTr="00FD13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465CEE6" w14:textId="77777777" w:rsidR="00EE7752" w:rsidRPr="00DC3C2A" w:rsidRDefault="00EE7752" w:rsidP="00EE7752">
            <w:pPr>
              <w:pStyle w:val="ListParagraph"/>
              <w:numPr>
                <w:ilvl w:val="0"/>
                <w:numId w:val="3"/>
              </w:numPr>
              <w:rPr>
                <w:b w:val="0"/>
              </w:rPr>
            </w:pPr>
            <w:r w:rsidRPr="00DC3C2A">
              <w:rPr>
                <w:b w:val="0"/>
              </w:rPr>
              <w:t>Kitimat fjord debris flow</w:t>
            </w:r>
          </w:p>
        </w:tc>
        <w:tc>
          <w:tcPr>
            <w:tcW w:w="4508" w:type="dxa"/>
          </w:tcPr>
          <w:p w14:paraId="50BEF2CB" w14:textId="77777777" w:rsidR="00EE7752" w:rsidRDefault="00EE7752" w:rsidP="009E0A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6.0</w:t>
            </w:r>
          </w:p>
        </w:tc>
      </w:tr>
      <w:tr w:rsidR="00EE7752" w14:paraId="5F4E861E" w14:textId="77777777" w:rsidTr="00FD1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5444ACEE" w14:textId="42059C38" w:rsidR="00EE7752" w:rsidRPr="00DC3C2A" w:rsidRDefault="00EE7752" w:rsidP="00EE7752">
            <w:pPr>
              <w:pStyle w:val="ListParagraph"/>
              <w:numPr>
                <w:ilvl w:val="0"/>
                <w:numId w:val="3"/>
              </w:numPr>
              <w:rPr>
                <w:b w:val="0"/>
              </w:rPr>
            </w:pPr>
            <w:r w:rsidRPr="00DC3C2A">
              <w:rPr>
                <w:b w:val="0"/>
              </w:rPr>
              <w:t>Goleta</w:t>
            </w:r>
            <w:r w:rsidR="00FD13B9" w:rsidRPr="00DC3C2A">
              <w:rPr>
                <w:b w:val="0"/>
              </w:rPr>
              <w:t xml:space="preserve"> (central lobe)</w:t>
            </w:r>
          </w:p>
        </w:tc>
        <w:tc>
          <w:tcPr>
            <w:tcW w:w="4508" w:type="dxa"/>
          </w:tcPr>
          <w:p w14:paraId="69AAFA3B" w14:textId="77777777" w:rsidR="00EE7752" w:rsidRDefault="00EE7752" w:rsidP="009E0A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6.5</w:t>
            </w:r>
          </w:p>
        </w:tc>
      </w:tr>
    </w:tbl>
    <w:p w14:paraId="34576299" w14:textId="53762D98" w:rsidR="009E3030" w:rsidRPr="007D4247" w:rsidRDefault="009F5F5F" w:rsidP="009F5F5F">
      <w:pPr>
        <w:pStyle w:val="Caption"/>
        <w:rPr>
          <w:color w:val="auto"/>
        </w:rPr>
      </w:pPr>
      <w:bookmarkStart w:id="5" w:name="_Hlk103874526"/>
      <w:r w:rsidRPr="007D4247">
        <w:rPr>
          <w:b/>
          <w:color w:val="auto"/>
        </w:rPr>
        <w:t xml:space="preserve">Table </w:t>
      </w:r>
      <w:r w:rsidR="00135443" w:rsidRPr="007D4247">
        <w:rPr>
          <w:b/>
          <w:noProof/>
          <w:color w:val="auto"/>
        </w:rPr>
        <w:fldChar w:fldCharType="begin"/>
      </w:r>
      <w:r w:rsidR="00135443" w:rsidRPr="007D4247">
        <w:rPr>
          <w:b/>
          <w:noProof/>
          <w:color w:val="auto"/>
        </w:rPr>
        <w:instrText xml:space="preserve"> SEQ Table \* ARABIC </w:instrText>
      </w:r>
      <w:r w:rsidR="00135443" w:rsidRPr="007D4247">
        <w:rPr>
          <w:b/>
          <w:noProof/>
          <w:color w:val="auto"/>
        </w:rPr>
        <w:fldChar w:fldCharType="separate"/>
      </w:r>
      <w:r w:rsidR="004A38F2" w:rsidRPr="007D4247">
        <w:rPr>
          <w:b/>
          <w:noProof/>
          <w:color w:val="auto"/>
        </w:rPr>
        <w:t>3</w:t>
      </w:r>
      <w:r w:rsidR="00135443" w:rsidRPr="007D4247">
        <w:rPr>
          <w:b/>
          <w:noProof/>
          <w:color w:val="auto"/>
        </w:rPr>
        <w:fldChar w:fldCharType="end"/>
      </w:r>
      <w:r w:rsidRPr="007D4247">
        <w:rPr>
          <w:b/>
          <w:color w:val="auto"/>
        </w:rPr>
        <w:t>DS</w:t>
      </w:r>
      <w:r w:rsidRPr="007D4247">
        <w:rPr>
          <w:color w:val="auto"/>
        </w:rPr>
        <w:t xml:space="preserve"> Values of the </w:t>
      </w:r>
      <w:proofErr w:type="spellStart"/>
      <w:r w:rsidRPr="007D4247">
        <w:rPr>
          <w:color w:val="auto"/>
        </w:rPr>
        <w:t>Skempton</w:t>
      </w:r>
      <w:proofErr w:type="spellEnd"/>
      <w:r w:rsidRPr="007D4247">
        <w:rPr>
          <w:color w:val="auto"/>
        </w:rPr>
        <w:t xml:space="preserve"> Ratio</w:t>
      </w:r>
      <w:r w:rsidR="005C7C68" w:rsidRPr="007D4247">
        <w:rPr>
          <w:color w:val="auto"/>
        </w:rPr>
        <w:t xml:space="preserve"> </w:t>
      </w:r>
      <w:r w:rsidR="005C7C68" w:rsidRPr="007D4247">
        <w:rPr>
          <w:color w:val="auto"/>
        </w:rPr>
        <w:fldChar w:fldCharType="begin"/>
      </w:r>
      <w:r w:rsidR="005C7C68" w:rsidRPr="007D4247">
        <w:rPr>
          <w:color w:val="auto"/>
        </w:rPr>
        <w:instrText xml:space="preserve"> ADDIN EN.CITE &lt;EndNote&gt;&lt;Cite&gt;&lt;Author&gt;Skempton&lt;/Author&gt;&lt;Year&gt;1969&lt;/Year&gt;&lt;RecNum&gt;1147&lt;/RecNum&gt;&lt;DisplayText&gt;(Skempton and Hutchinson 1969)&lt;/DisplayText&gt;&lt;record&gt;&lt;rec-number&gt;1147&lt;/rec-number&gt;&lt;foreign-keys&gt;&lt;key app="EN" db-id="v9xzwvfs5wdpzce0ewbvtrrxrrt2ewd02x9v" timestamp="1636035841"&gt;1147&lt;/key&gt;&lt;/foreign-keys&gt;&lt;ref-type name="Report"&gt;27&lt;/ref-type&gt;&lt;contributors&gt;&lt;authors&gt;&lt;author&gt;Skempton, A.W.&lt;/author&gt;&lt;author&gt;Hutchinson, J.&lt;/author&gt;&lt;/authors&gt;&lt;/contributors&gt;&lt;titles&gt;&lt;title&gt;Stability of natural slopes and embankment foundations&lt;/title&gt;&lt;/titles&gt;&lt;dates&gt;&lt;year&gt;1969&lt;/year&gt;&lt;/dates&gt;&lt;pub-location&gt;7th International Conference on Soil Mechanics and Foundation Engineering (Mexico)&lt;/pub-location&gt;&lt;urls&gt;&lt;/urls&gt;&lt;/record&gt;&lt;/Cite&gt;&lt;/EndNote&gt;</w:instrText>
      </w:r>
      <w:r w:rsidR="005C7C68" w:rsidRPr="007D4247">
        <w:rPr>
          <w:color w:val="auto"/>
        </w:rPr>
        <w:fldChar w:fldCharType="separate"/>
      </w:r>
      <w:r w:rsidR="005C7C68" w:rsidRPr="007D4247">
        <w:rPr>
          <w:noProof/>
          <w:color w:val="auto"/>
        </w:rPr>
        <w:t>(Skempton and Hutchinson 1969)</w:t>
      </w:r>
      <w:r w:rsidR="005C7C68" w:rsidRPr="007D4247">
        <w:rPr>
          <w:color w:val="auto"/>
        </w:rPr>
        <w:fldChar w:fldCharType="end"/>
      </w:r>
      <w:r w:rsidR="005C7C68" w:rsidRPr="007D4247">
        <w:rPr>
          <w:color w:val="auto"/>
        </w:rPr>
        <w:t xml:space="preserve">. The </w:t>
      </w:r>
      <w:proofErr w:type="spellStart"/>
      <w:r w:rsidR="005C7C68" w:rsidRPr="007D4247">
        <w:rPr>
          <w:color w:val="auto"/>
        </w:rPr>
        <w:t>Skempton</w:t>
      </w:r>
      <w:proofErr w:type="spellEnd"/>
      <w:r w:rsidR="005C7C68" w:rsidRPr="007D4247">
        <w:rPr>
          <w:color w:val="auto"/>
        </w:rPr>
        <w:t xml:space="preserve"> ratio is calculated using the thickness and the length of each landslide. As </w:t>
      </w:r>
      <w:r w:rsidR="005D3BC2" w:rsidRPr="007D4247">
        <w:rPr>
          <w:color w:val="auto"/>
        </w:rPr>
        <w:t xml:space="preserve">shown </w:t>
      </w:r>
      <w:r w:rsidR="005C7C68" w:rsidRPr="007D4247">
        <w:rPr>
          <w:color w:val="auto"/>
        </w:rPr>
        <w:t>in Table 2</w:t>
      </w:r>
      <w:r w:rsidR="003D1A96" w:rsidRPr="007D4247">
        <w:rPr>
          <w:color w:val="auto"/>
        </w:rPr>
        <w:t>,</w:t>
      </w:r>
      <w:r w:rsidR="005C7C68" w:rsidRPr="007D4247">
        <w:rPr>
          <w:color w:val="auto"/>
        </w:rPr>
        <w:t xml:space="preserve"> not all entries were characterized by both parameters, therefore it was possible to obtain the </w:t>
      </w:r>
      <w:proofErr w:type="spellStart"/>
      <w:r w:rsidR="005C7C68" w:rsidRPr="007D4247">
        <w:rPr>
          <w:color w:val="auto"/>
        </w:rPr>
        <w:t>Skempton</w:t>
      </w:r>
      <w:proofErr w:type="spellEnd"/>
      <w:r w:rsidR="005C7C68" w:rsidRPr="007D4247">
        <w:rPr>
          <w:color w:val="auto"/>
        </w:rPr>
        <w:t xml:space="preserve"> Ratio just for 12 records</w:t>
      </w:r>
      <w:r w:rsidR="001D01AA" w:rsidRPr="007D4247">
        <w:rPr>
          <w:color w:val="auto"/>
        </w:rPr>
        <w:t>. The numbering is not referring to the database ID for each slide but it is a progressive, increasing numbering for listing the slide in the table and show the differences.</w:t>
      </w:r>
      <w:r w:rsidR="00E73E0D" w:rsidRPr="007D4247">
        <w:rPr>
          <w:color w:val="auto"/>
        </w:rPr>
        <w:t xml:space="preserve"> Note the Goleta landslide is subdivided in three sectors and the calculation was reported for each of them (Greene et al 2006). </w:t>
      </w:r>
    </w:p>
    <w:bookmarkEnd w:id="5"/>
    <w:p w14:paraId="06096B67" w14:textId="3269F2FC" w:rsidR="0078333D" w:rsidRDefault="0078333D">
      <w:r>
        <w:br w:type="page"/>
      </w:r>
    </w:p>
    <w:tbl>
      <w:tblPr>
        <w:tblStyle w:val="PlainTable2"/>
        <w:tblW w:w="10196" w:type="dxa"/>
        <w:tblLook w:val="04A0" w:firstRow="1" w:lastRow="0" w:firstColumn="1" w:lastColumn="0" w:noHBand="0" w:noVBand="1"/>
      </w:tblPr>
      <w:tblGrid>
        <w:gridCol w:w="1146"/>
        <w:gridCol w:w="1686"/>
        <w:gridCol w:w="2286"/>
        <w:gridCol w:w="2111"/>
        <w:gridCol w:w="1139"/>
        <w:gridCol w:w="1828"/>
      </w:tblGrid>
      <w:tr w:rsidR="00064704" w:rsidRPr="00B81F14" w14:paraId="677D7F84" w14:textId="6A6806FF" w:rsidTr="007833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6" w:type="dxa"/>
            <w:gridSpan w:val="6"/>
            <w:hideMark/>
          </w:tcPr>
          <w:p w14:paraId="33E15627" w14:textId="5078C6A4" w:rsidR="00064704" w:rsidRPr="00B81F14" w:rsidRDefault="00064704" w:rsidP="00B81F14">
            <w:pPr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lastRenderedPageBreak/>
              <w:t>Spearman’s correlation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="0078333D">
              <w:rPr>
                <w:rFonts w:ascii="Calibri" w:eastAsia="Times New Roman" w:hAnsi="Calibri" w:cs="Calibri"/>
                <w:color w:val="000000"/>
              </w:rPr>
              <w:t>ρ</w:t>
            </w:r>
          </w:p>
        </w:tc>
      </w:tr>
      <w:tr w:rsidR="0078333D" w:rsidRPr="00B81F14" w14:paraId="694123D5" w14:textId="66B2F720" w:rsidTr="00CC06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  <w:hideMark/>
          </w:tcPr>
          <w:p w14:paraId="5491D9B2" w14:textId="77777777" w:rsidR="00064704" w:rsidRPr="00B81F14" w:rsidRDefault="00064704" w:rsidP="00B81F14">
            <w:pPr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686" w:type="dxa"/>
            <w:hideMark/>
          </w:tcPr>
          <w:p w14:paraId="7A596D55" w14:textId="77777777" w:rsidR="00064704" w:rsidRPr="00B81F1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81F14">
              <w:rPr>
                <w:rFonts w:ascii="Calibri" w:eastAsia="Times New Roman" w:hAnsi="Calibri" w:cs="Calibri"/>
                <w:b/>
                <w:bCs/>
                <w:color w:val="000000"/>
              </w:rPr>
              <w:t>Slope</w:t>
            </w:r>
          </w:p>
        </w:tc>
        <w:tc>
          <w:tcPr>
            <w:tcW w:w="2286" w:type="dxa"/>
            <w:hideMark/>
          </w:tcPr>
          <w:p w14:paraId="53C456C1" w14:textId="77777777" w:rsidR="00064704" w:rsidRPr="00B81F1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81F14">
              <w:rPr>
                <w:rFonts w:ascii="Calibri" w:eastAsia="Times New Roman" w:hAnsi="Calibri" w:cs="Calibri"/>
                <w:b/>
                <w:bCs/>
                <w:color w:val="000000"/>
              </w:rPr>
              <w:t>Length</w:t>
            </w:r>
          </w:p>
        </w:tc>
        <w:tc>
          <w:tcPr>
            <w:tcW w:w="2111" w:type="dxa"/>
            <w:hideMark/>
          </w:tcPr>
          <w:p w14:paraId="2E411423" w14:textId="77777777" w:rsidR="00064704" w:rsidRPr="00B81F1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81F14">
              <w:rPr>
                <w:rFonts w:ascii="Calibri" w:eastAsia="Times New Roman" w:hAnsi="Calibri" w:cs="Calibri"/>
                <w:b/>
                <w:bCs/>
                <w:color w:val="000000"/>
              </w:rPr>
              <w:t>Area</w:t>
            </w:r>
          </w:p>
        </w:tc>
        <w:tc>
          <w:tcPr>
            <w:tcW w:w="1139" w:type="dxa"/>
            <w:hideMark/>
          </w:tcPr>
          <w:p w14:paraId="11AE5D62" w14:textId="77777777" w:rsidR="00064704" w:rsidRPr="00B81F1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81F14">
              <w:rPr>
                <w:rFonts w:ascii="Calibri" w:eastAsia="Times New Roman" w:hAnsi="Calibri" w:cs="Calibri"/>
                <w:b/>
                <w:bCs/>
                <w:color w:val="000000"/>
              </w:rPr>
              <w:t>Thickness</w:t>
            </w:r>
          </w:p>
        </w:tc>
        <w:tc>
          <w:tcPr>
            <w:tcW w:w="1828" w:type="dxa"/>
          </w:tcPr>
          <w:p w14:paraId="7ABF621C" w14:textId="5481620D" w:rsidR="00064704" w:rsidRPr="00B81F1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Skempton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ratio</w:t>
            </w:r>
          </w:p>
        </w:tc>
      </w:tr>
      <w:tr w:rsidR="0078333D" w:rsidRPr="00B81F14" w14:paraId="07316B89" w14:textId="1B23C40F" w:rsidTr="00CC065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  <w:hideMark/>
          </w:tcPr>
          <w:p w14:paraId="03089B2B" w14:textId="77777777" w:rsidR="00064704" w:rsidRPr="00B81F14" w:rsidRDefault="00064704" w:rsidP="00B81F14">
            <w:pPr>
              <w:rPr>
                <w:rFonts w:ascii="Calibri" w:eastAsia="Times New Roman" w:hAnsi="Calibri" w:cs="Calibri"/>
                <w:b w:val="0"/>
                <w:bCs w:val="0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Slope</w:t>
            </w:r>
          </w:p>
        </w:tc>
        <w:tc>
          <w:tcPr>
            <w:tcW w:w="1686" w:type="dxa"/>
            <w:hideMark/>
          </w:tcPr>
          <w:p w14:paraId="7C356C9A" w14:textId="77777777" w:rsidR="00064704" w:rsidRPr="00B81F14" w:rsidRDefault="00064704" w:rsidP="00233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86" w:type="dxa"/>
            <w:hideMark/>
          </w:tcPr>
          <w:p w14:paraId="289441B1" w14:textId="77777777" w:rsidR="00064704" w:rsidRPr="00B81F14" w:rsidRDefault="00064704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11" w:type="dxa"/>
            <w:hideMark/>
          </w:tcPr>
          <w:p w14:paraId="5AA8E383" w14:textId="77777777" w:rsidR="00064704" w:rsidRPr="00B81F14" w:rsidRDefault="00064704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hideMark/>
          </w:tcPr>
          <w:p w14:paraId="1C2D0BFB" w14:textId="77777777" w:rsidR="00064704" w:rsidRPr="00B81F14" w:rsidRDefault="00064704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28" w:type="dxa"/>
          </w:tcPr>
          <w:p w14:paraId="349D8B0A" w14:textId="77777777" w:rsidR="00064704" w:rsidRDefault="0078333D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DC3C2A">
              <w:rPr>
                <w:rFonts w:ascii="Calibri" w:eastAsia="Times New Roman" w:hAnsi="Calibri" w:cs="Calibri"/>
                <w:b/>
                <w:color w:val="000000"/>
              </w:rPr>
              <w:t>0.027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(n =10);</w:t>
            </w:r>
          </w:p>
          <w:p w14:paraId="4552B8BA" w14:textId="77777777" w:rsidR="0078333D" w:rsidRDefault="0078333D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p-value 0.46;</w:t>
            </w:r>
          </w:p>
          <w:p w14:paraId="4A4D3CE1" w14:textId="0F44C1B8" w:rsidR="0078333D" w:rsidRDefault="0078333D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t-value 0.08;</w:t>
            </w:r>
          </w:p>
          <w:p w14:paraId="46253EE7" w14:textId="44A05589" w:rsidR="0078333D" w:rsidRPr="00B81F14" w:rsidRDefault="0078333D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df =8</w:t>
            </w:r>
          </w:p>
        </w:tc>
      </w:tr>
      <w:tr w:rsidR="0078333D" w:rsidRPr="00B81F14" w14:paraId="59515935" w14:textId="1DEAFA63" w:rsidTr="00CC06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  <w:hideMark/>
          </w:tcPr>
          <w:p w14:paraId="0DF727F6" w14:textId="77777777" w:rsidR="00064704" w:rsidRPr="00B81F14" w:rsidRDefault="00064704" w:rsidP="00B81F14">
            <w:pPr>
              <w:rPr>
                <w:rFonts w:ascii="Calibri" w:eastAsia="Times New Roman" w:hAnsi="Calibri" w:cs="Calibri"/>
                <w:b w:val="0"/>
                <w:bCs w:val="0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Length</w:t>
            </w:r>
          </w:p>
        </w:tc>
        <w:tc>
          <w:tcPr>
            <w:tcW w:w="1686" w:type="dxa"/>
            <w:hideMark/>
          </w:tcPr>
          <w:p w14:paraId="7CC86577" w14:textId="77777777" w:rsidR="0078333D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DC3C2A">
              <w:rPr>
                <w:rFonts w:ascii="Calibri" w:eastAsia="Times New Roman" w:hAnsi="Calibri" w:cs="Calibri"/>
                <w:b/>
                <w:color w:val="000000"/>
              </w:rPr>
              <w:t>-0.49</w:t>
            </w:r>
            <w:r w:rsidRPr="00B81F14">
              <w:rPr>
                <w:rFonts w:ascii="Calibri" w:eastAsia="Times New Roman" w:hAnsi="Calibri" w:cs="Calibri"/>
                <w:color w:val="000000"/>
              </w:rPr>
              <w:t xml:space="preserve"> (n=2</w:t>
            </w:r>
            <w:r>
              <w:rPr>
                <w:rFonts w:ascii="Calibri" w:eastAsia="Times New Roman" w:hAnsi="Calibri" w:cs="Calibri"/>
                <w:color w:val="000000"/>
              </w:rPr>
              <w:t>0</w:t>
            </w:r>
            <w:r w:rsidRPr="00B81F14">
              <w:rPr>
                <w:rFonts w:ascii="Calibri" w:eastAsia="Times New Roman" w:hAnsi="Calibri" w:cs="Calibri"/>
                <w:color w:val="000000"/>
              </w:rPr>
              <w:t xml:space="preserve">) </w:t>
            </w:r>
          </w:p>
          <w:p w14:paraId="4C78C8DE" w14:textId="77777777" w:rsidR="0078333D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p value 0.01</w:t>
            </w:r>
            <w:r>
              <w:rPr>
                <w:rFonts w:ascii="Calibri" w:eastAsia="Times New Roman" w:hAnsi="Calibri" w:cs="Calibri"/>
                <w:color w:val="000000"/>
              </w:rPr>
              <w:t xml:space="preserve">3; </w:t>
            </w:r>
          </w:p>
          <w:p w14:paraId="5A1F9852" w14:textId="2EF91673" w:rsidR="0006470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t-value 2.41; df=18</w:t>
            </w:r>
          </w:p>
          <w:p w14:paraId="5DC4BCE4" w14:textId="20E05B69" w:rsidR="00064704" w:rsidRPr="00B81F1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86" w:type="dxa"/>
            <w:hideMark/>
          </w:tcPr>
          <w:p w14:paraId="5F8F5D54" w14:textId="77777777" w:rsidR="00064704" w:rsidRPr="00B81F1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111" w:type="dxa"/>
            <w:hideMark/>
          </w:tcPr>
          <w:p w14:paraId="19FC4BF1" w14:textId="77777777" w:rsidR="00064704" w:rsidRPr="00B81F1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9" w:type="dxa"/>
            <w:hideMark/>
          </w:tcPr>
          <w:p w14:paraId="7EFA09A7" w14:textId="77777777" w:rsidR="00064704" w:rsidRPr="00B81F1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28" w:type="dxa"/>
          </w:tcPr>
          <w:p w14:paraId="5A9472F7" w14:textId="77777777" w:rsidR="00064704" w:rsidRPr="00B81F1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64704" w:rsidRPr="00B81F14" w14:paraId="6E177F6C" w14:textId="0C0B671E" w:rsidTr="00CC0654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  <w:hideMark/>
          </w:tcPr>
          <w:p w14:paraId="20D824BE" w14:textId="77777777" w:rsidR="00064704" w:rsidRPr="00B81F14" w:rsidRDefault="00064704" w:rsidP="00B81F14">
            <w:pPr>
              <w:rPr>
                <w:rFonts w:ascii="Calibri" w:eastAsia="Times New Roman" w:hAnsi="Calibri" w:cs="Calibri"/>
                <w:b w:val="0"/>
                <w:bCs w:val="0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Area</w:t>
            </w:r>
          </w:p>
        </w:tc>
        <w:tc>
          <w:tcPr>
            <w:tcW w:w="1686" w:type="dxa"/>
            <w:hideMark/>
          </w:tcPr>
          <w:p w14:paraId="1B23640A" w14:textId="7E9C7484" w:rsidR="00064704" w:rsidRDefault="00064704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DC3C2A">
              <w:rPr>
                <w:rFonts w:ascii="Calibri" w:eastAsia="Times New Roman" w:hAnsi="Calibri" w:cs="Calibri"/>
                <w:b/>
                <w:color w:val="000000"/>
              </w:rPr>
              <w:t>-0.</w:t>
            </w:r>
            <w:r w:rsidR="004B19AE" w:rsidRPr="00DC3C2A">
              <w:rPr>
                <w:rFonts w:ascii="Calibri" w:eastAsia="Times New Roman" w:hAnsi="Calibri" w:cs="Calibri"/>
                <w:b/>
                <w:color w:val="000000"/>
              </w:rPr>
              <w:t>3</w:t>
            </w:r>
            <w:r w:rsidR="004B19AE">
              <w:rPr>
                <w:rFonts w:ascii="Calibri" w:eastAsia="Times New Roman" w:hAnsi="Calibri" w:cs="Calibri"/>
                <w:b/>
                <w:color w:val="000000"/>
              </w:rPr>
              <w:t>1</w:t>
            </w:r>
            <w:r w:rsidR="004B19AE" w:rsidRPr="00B81F14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B81F14">
              <w:rPr>
                <w:rFonts w:ascii="Calibri" w:eastAsia="Times New Roman" w:hAnsi="Calibri" w:cs="Calibri"/>
                <w:color w:val="000000"/>
              </w:rPr>
              <w:t>(n=</w:t>
            </w:r>
            <w:r w:rsidR="004B19AE" w:rsidRPr="00B81F14">
              <w:rPr>
                <w:rFonts w:ascii="Calibri" w:eastAsia="Times New Roman" w:hAnsi="Calibri" w:cs="Calibri"/>
                <w:color w:val="000000"/>
              </w:rPr>
              <w:t>2</w:t>
            </w:r>
            <w:r w:rsidR="004B19AE">
              <w:rPr>
                <w:rFonts w:ascii="Calibri" w:eastAsia="Times New Roman" w:hAnsi="Calibri" w:cs="Calibri"/>
                <w:color w:val="000000"/>
              </w:rPr>
              <w:t>5</w:t>
            </w:r>
            <w:r w:rsidRPr="00B81F14">
              <w:rPr>
                <w:rFonts w:ascii="Calibri" w:eastAsia="Times New Roman" w:hAnsi="Calibri" w:cs="Calibri"/>
                <w:color w:val="000000"/>
              </w:rPr>
              <w:t>);</w:t>
            </w:r>
          </w:p>
          <w:p w14:paraId="37C1872F" w14:textId="77777777" w:rsidR="0078333D" w:rsidRDefault="0078333D" w:rsidP="0078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p-value 0.0</w:t>
            </w:r>
            <w:r>
              <w:rPr>
                <w:rFonts w:ascii="Calibri" w:eastAsia="Times New Roman" w:hAnsi="Calibri" w:cs="Calibri"/>
                <w:color w:val="000000"/>
              </w:rPr>
              <w:t xml:space="preserve">12; </w:t>
            </w:r>
          </w:p>
          <w:p w14:paraId="166BEEB8" w14:textId="532EF885" w:rsidR="0078333D" w:rsidRDefault="0078333D" w:rsidP="0078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t-value 1.</w:t>
            </w:r>
            <w:r w:rsidR="004B19AE">
              <w:rPr>
                <w:rFonts w:ascii="Calibri" w:eastAsia="Times New Roman" w:hAnsi="Calibri" w:cs="Calibri"/>
                <w:color w:val="000000"/>
              </w:rPr>
              <w:t>58</w:t>
            </w:r>
            <w:r>
              <w:rPr>
                <w:rFonts w:ascii="Calibri" w:eastAsia="Times New Roman" w:hAnsi="Calibri" w:cs="Calibri"/>
                <w:color w:val="000000"/>
              </w:rPr>
              <w:t xml:space="preserve">; </w:t>
            </w:r>
          </w:p>
          <w:p w14:paraId="1F064260" w14:textId="4C00D6DD" w:rsidR="0078333D" w:rsidRPr="00B81F14" w:rsidRDefault="0078333D" w:rsidP="0078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df = </w:t>
            </w:r>
            <w:r w:rsidR="004B19AE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2286" w:type="dxa"/>
            <w:hideMark/>
          </w:tcPr>
          <w:p w14:paraId="5A680ACD" w14:textId="4566A220" w:rsidR="00064704" w:rsidRDefault="00064704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DC3C2A">
              <w:rPr>
                <w:rFonts w:ascii="Calibri" w:eastAsia="Times New Roman" w:hAnsi="Calibri" w:cs="Calibri"/>
                <w:b/>
                <w:color w:val="000000"/>
              </w:rPr>
              <w:t>0.87</w:t>
            </w:r>
            <w:r w:rsidRPr="00B81F14">
              <w:rPr>
                <w:rFonts w:ascii="Calibri" w:eastAsia="Times New Roman" w:hAnsi="Calibri" w:cs="Calibri"/>
                <w:color w:val="000000"/>
              </w:rPr>
              <w:t xml:space="preserve"> (n=2</w:t>
            </w:r>
            <w:r>
              <w:rPr>
                <w:rFonts w:ascii="Calibri" w:eastAsia="Times New Roman" w:hAnsi="Calibri" w:cs="Calibri"/>
                <w:color w:val="000000"/>
              </w:rPr>
              <w:t>0</w:t>
            </w:r>
            <w:r w:rsidRPr="00B81F14">
              <w:rPr>
                <w:rFonts w:ascii="Calibri" w:eastAsia="Times New Roman" w:hAnsi="Calibri" w:cs="Calibri"/>
                <w:color w:val="000000"/>
              </w:rPr>
              <w:t xml:space="preserve">); </w:t>
            </w:r>
          </w:p>
          <w:p w14:paraId="0D8606EE" w14:textId="39465643" w:rsidR="00064704" w:rsidRDefault="00064704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p-value 0.000</w:t>
            </w:r>
            <w:r>
              <w:rPr>
                <w:rFonts w:ascii="Calibri" w:eastAsia="Times New Roman" w:hAnsi="Calibri" w:cs="Calibri"/>
                <w:color w:val="000000"/>
              </w:rPr>
              <w:t>;</w:t>
            </w:r>
          </w:p>
          <w:p w14:paraId="21C5280D" w14:textId="3B242865" w:rsidR="0078333D" w:rsidRDefault="00064704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t-value 7.8; </w:t>
            </w:r>
          </w:p>
          <w:p w14:paraId="4E2D1CF0" w14:textId="641F59CE" w:rsidR="00064704" w:rsidRPr="00B81F14" w:rsidRDefault="00064704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df =18</w:t>
            </w:r>
          </w:p>
        </w:tc>
        <w:tc>
          <w:tcPr>
            <w:tcW w:w="2111" w:type="dxa"/>
            <w:hideMark/>
          </w:tcPr>
          <w:p w14:paraId="33BC08A4" w14:textId="77777777" w:rsidR="00064704" w:rsidRPr="00B81F14" w:rsidRDefault="00064704" w:rsidP="0078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39" w:type="dxa"/>
            <w:hideMark/>
          </w:tcPr>
          <w:p w14:paraId="4FA4532B" w14:textId="77777777" w:rsidR="00064704" w:rsidRPr="00B81F14" w:rsidRDefault="00064704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28" w:type="dxa"/>
          </w:tcPr>
          <w:p w14:paraId="2C7FA744" w14:textId="77777777" w:rsidR="00064704" w:rsidRPr="00B81F14" w:rsidRDefault="00064704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8333D" w:rsidRPr="00B81F14" w14:paraId="4C6AF23D" w14:textId="5117A93D" w:rsidTr="00CC06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  <w:hideMark/>
          </w:tcPr>
          <w:p w14:paraId="412D19B0" w14:textId="77777777" w:rsidR="00064704" w:rsidRPr="00B81F14" w:rsidRDefault="00064704" w:rsidP="00B81F14">
            <w:pPr>
              <w:rPr>
                <w:rFonts w:ascii="Calibri" w:eastAsia="Times New Roman" w:hAnsi="Calibri" w:cs="Calibri"/>
                <w:b w:val="0"/>
                <w:bCs w:val="0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Thickness</w:t>
            </w:r>
          </w:p>
        </w:tc>
        <w:tc>
          <w:tcPr>
            <w:tcW w:w="1686" w:type="dxa"/>
            <w:hideMark/>
          </w:tcPr>
          <w:p w14:paraId="46CA90BC" w14:textId="507071A3" w:rsidR="0078333D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DC3C2A">
              <w:rPr>
                <w:rFonts w:ascii="Calibri" w:eastAsia="Times New Roman" w:hAnsi="Calibri" w:cs="Calibri"/>
                <w:b/>
                <w:color w:val="000000"/>
              </w:rPr>
              <w:t>0.</w:t>
            </w:r>
            <w:r w:rsidR="004B19AE" w:rsidRPr="00DC3C2A">
              <w:rPr>
                <w:rFonts w:ascii="Calibri" w:eastAsia="Times New Roman" w:hAnsi="Calibri" w:cs="Calibri"/>
                <w:b/>
                <w:color w:val="000000"/>
              </w:rPr>
              <w:t>0</w:t>
            </w:r>
            <w:r w:rsidR="004B19AE">
              <w:rPr>
                <w:rFonts w:ascii="Calibri" w:eastAsia="Times New Roman" w:hAnsi="Calibri" w:cs="Calibri"/>
                <w:b/>
                <w:color w:val="000000"/>
              </w:rPr>
              <w:t>7</w:t>
            </w:r>
            <w:r w:rsidR="004B19AE" w:rsidRPr="00B81F14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B81F14">
              <w:rPr>
                <w:rFonts w:ascii="Calibri" w:eastAsia="Times New Roman" w:hAnsi="Calibri" w:cs="Calibri"/>
                <w:color w:val="000000"/>
              </w:rPr>
              <w:t>(n=</w:t>
            </w:r>
            <w:r w:rsidR="004B19AE" w:rsidRPr="00B81F14">
              <w:rPr>
                <w:rFonts w:ascii="Calibri" w:eastAsia="Times New Roman" w:hAnsi="Calibri" w:cs="Calibri"/>
                <w:color w:val="000000"/>
              </w:rPr>
              <w:t>1</w:t>
            </w:r>
            <w:r w:rsidR="004B19AE">
              <w:rPr>
                <w:rFonts w:ascii="Calibri" w:eastAsia="Times New Roman" w:hAnsi="Calibri" w:cs="Calibri"/>
                <w:color w:val="000000"/>
              </w:rPr>
              <w:t>7</w:t>
            </w:r>
            <w:r w:rsidRPr="00B81F14">
              <w:rPr>
                <w:rFonts w:ascii="Calibri" w:eastAsia="Times New Roman" w:hAnsi="Calibri" w:cs="Calibri"/>
                <w:color w:val="000000"/>
              </w:rPr>
              <w:t xml:space="preserve">); </w:t>
            </w:r>
          </w:p>
          <w:p w14:paraId="354944DF" w14:textId="04C45901" w:rsidR="0006470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p value 0.</w:t>
            </w:r>
            <w:r w:rsidR="004B19AE" w:rsidRPr="00B81F14">
              <w:rPr>
                <w:rFonts w:ascii="Calibri" w:eastAsia="Times New Roman" w:hAnsi="Calibri" w:cs="Calibri"/>
                <w:color w:val="000000"/>
              </w:rPr>
              <w:t>3</w:t>
            </w:r>
            <w:r w:rsidR="004B19AE">
              <w:rPr>
                <w:rFonts w:ascii="Calibri" w:eastAsia="Times New Roman" w:hAnsi="Calibri" w:cs="Calibri"/>
                <w:color w:val="000000"/>
              </w:rPr>
              <w:t>8</w:t>
            </w:r>
            <w:r>
              <w:rPr>
                <w:rFonts w:ascii="Calibri" w:eastAsia="Times New Roman" w:hAnsi="Calibri" w:cs="Calibri"/>
                <w:color w:val="000000"/>
              </w:rPr>
              <w:t>:</w:t>
            </w:r>
          </w:p>
          <w:p w14:paraId="7A3F5BD0" w14:textId="70A22EA6" w:rsidR="00064704" w:rsidRPr="00B81F1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t-value</w:t>
            </w:r>
            <w:r w:rsidR="0023325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>0.</w:t>
            </w:r>
            <w:r w:rsidR="004B19AE">
              <w:rPr>
                <w:rFonts w:ascii="Calibri" w:eastAsia="Times New Roman" w:hAnsi="Calibri" w:cs="Calibri"/>
                <w:color w:val="000000"/>
              </w:rPr>
              <w:t>31</w:t>
            </w:r>
            <w:r>
              <w:rPr>
                <w:rFonts w:ascii="Calibri" w:eastAsia="Times New Roman" w:hAnsi="Calibri" w:cs="Calibri"/>
                <w:color w:val="000000"/>
              </w:rPr>
              <w:t>; df=</w:t>
            </w:r>
            <w:r w:rsidR="004B19AE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286" w:type="dxa"/>
            <w:hideMark/>
          </w:tcPr>
          <w:p w14:paraId="7A91939F" w14:textId="77777777" w:rsidR="0078333D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DC3C2A">
              <w:rPr>
                <w:rFonts w:ascii="Calibri" w:eastAsia="Times New Roman" w:hAnsi="Calibri" w:cs="Calibri"/>
                <w:b/>
                <w:color w:val="000000"/>
              </w:rPr>
              <w:t>0.30</w:t>
            </w:r>
            <w:r w:rsidRPr="00B81F14">
              <w:rPr>
                <w:rFonts w:ascii="Calibri" w:eastAsia="Times New Roman" w:hAnsi="Calibri" w:cs="Calibri"/>
                <w:color w:val="000000"/>
              </w:rPr>
              <w:t xml:space="preserve"> (n=1</w:t>
            </w: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Pr="00B81F14">
              <w:rPr>
                <w:rFonts w:ascii="Calibri" w:eastAsia="Times New Roman" w:hAnsi="Calibri" w:cs="Calibri"/>
                <w:color w:val="000000"/>
              </w:rPr>
              <w:t xml:space="preserve">); </w:t>
            </w:r>
          </w:p>
          <w:p w14:paraId="52E5B9D2" w14:textId="77777777" w:rsidR="0078333D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p-value 0.1</w:t>
            </w:r>
            <w:r>
              <w:rPr>
                <w:rFonts w:ascii="Calibri" w:eastAsia="Times New Roman" w:hAnsi="Calibri" w:cs="Calibri"/>
                <w:color w:val="000000"/>
              </w:rPr>
              <w:t xml:space="preserve">9; </w:t>
            </w:r>
          </w:p>
          <w:p w14:paraId="495E3FB7" w14:textId="126600B0" w:rsidR="0078333D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t-value</w:t>
            </w:r>
            <w:r w:rsidR="0023325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0.94; </w:t>
            </w:r>
          </w:p>
          <w:p w14:paraId="6BB22376" w14:textId="5216A254" w:rsidR="00064704" w:rsidRPr="00B81F1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df=9</w:t>
            </w:r>
          </w:p>
        </w:tc>
        <w:tc>
          <w:tcPr>
            <w:tcW w:w="2111" w:type="dxa"/>
            <w:hideMark/>
          </w:tcPr>
          <w:p w14:paraId="239860DA" w14:textId="77777777" w:rsidR="0078333D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DC3C2A">
              <w:rPr>
                <w:rFonts w:ascii="Calibri" w:eastAsia="Times New Roman" w:hAnsi="Calibri" w:cs="Calibri"/>
                <w:b/>
                <w:color w:val="000000"/>
              </w:rPr>
              <w:t>0.35</w:t>
            </w:r>
            <w:r w:rsidRPr="00B81F14">
              <w:rPr>
                <w:rFonts w:ascii="Calibri" w:eastAsia="Times New Roman" w:hAnsi="Calibri" w:cs="Calibri"/>
                <w:color w:val="000000"/>
              </w:rPr>
              <w:t xml:space="preserve"> (n=1</w:t>
            </w:r>
            <w:r>
              <w:rPr>
                <w:rFonts w:ascii="Calibri" w:eastAsia="Times New Roman" w:hAnsi="Calibri" w:cs="Calibri"/>
                <w:color w:val="000000"/>
              </w:rPr>
              <w:t>5</w:t>
            </w:r>
            <w:r w:rsidRPr="00B81F14">
              <w:rPr>
                <w:rFonts w:ascii="Calibri" w:eastAsia="Times New Roman" w:hAnsi="Calibri" w:cs="Calibri"/>
                <w:color w:val="000000"/>
              </w:rPr>
              <w:t xml:space="preserve">); </w:t>
            </w:r>
          </w:p>
          <w:p w14:paraId="528C3F9A" w14:textId="77777777" w:rsidR="0078333D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p-value 0.</w:t>
            </w:r>
            <w:r>
              <w:rPr>
                <w:rFonts w:ascii="Calibri" w:eastAsia="Times New Roman" w:hAnsi="Calibri" w:cs="Calibri"/>
                <w:color w:val="000000"/>
              </w:rPr>
              <w:t>1;</w:t>
            </w:r>
          </w:p>
          <w:p w14:paraId="49E22998" w14:textId="275A0874" w:rsidR="0078333D" w:rsidRDefault="0078333D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t-value 1.35</w:t>
            </w:r>
            <w:r w:rsidR="00064704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  <w:p w14:paraId="2C074B19" w14:textId="44468B5C" w:rsidR="00064704" w:rsidRPr="00B81F14" w:rsidRDefault="00064704" w:rsidP="00B81F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df=13; </w:t>
            </w:r>
          </w:p>
        </w:tc>
        <w:tc>
          <w:tcPr>
            <w:tcW w:w="1139" w:type="dxa"/>
            <w:hideMark/>
          </w:tcPr>
          <w:p w14:paraId="2ED8C0D8" w14:textId="77777777" w:rsidR="00064704" w:rsidRPr="00B81F14" w:rsidRDefault="00064704" w:rsidP="0078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 w:rsidRPr="00B81F14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828" w:type="dxa"/>
          </w:tcPr>
          <w:p w14:paraId="13C476C9" w14:textId="77777777" w:rsidR="00064704" w:rsidRPr="00B81F14" w:rsidRDefault="00064704" w:rsidP="00B81F1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8333D" w:rsidRPr="00B81F14" w14:paraId="01016327" w14:textId="77777777" w:rsidTr="00CC0654">
        <w:trPr>
          <w:trHeight w:val="1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6" w:type="dxa"/>
          </w:tcPr>
          <w:p w14:paraId="75A0C649" w14:textId="77777777" w:rsidR="0078333D" w:rsidRPr="0078333D" w:rsidRDefault="0078333D" w:rsidP="00B81F14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78333D">
              <w:rPr>
                <w:rFonts w:ascii="Calibri" w:eastAsia="Times New Roman" w:hAnsi="Calibri" w:cs="Calibri"/>
                <w:bCs w:val="0"/>
                <w:color w:val="000000"/>
              </w:rPr>
              <w:t>Skempton</w:t>
            </w:r>
            <w:proofErr w:type="spellEnd"/>
            <w:r w:rsidRPr="0078333D">
              <w:rPr>
                <w:rFonts w:ascii="Calibri" w:eastAsia="Times New Roman" w:hAnsi="Calibri" w:cs="Calibri"/>
                <w:bCs w:val="0"/>
                <w:color w:val="000000"/>
              </w:rPr>
              <w:t xml:space="preserve"> </w:t>
            </w:r>
          </w:p>
          <w:p w14:paraId="66241EE2" w14:textId="6FB4D8FA" w:rsidR="0078333D" w:rsidRPr="00B81F14" w:rsidRDefault="0078333D" w:rsidP="00B81F14">
            <w:pPr>
              <w:rPr>
                <w:rFonts w:ascii="Calibri" w:eastAsia="Times New Roman" w:hAnsi="Calibri" w:cs="Calibri"/>
                <w:b w:val="0"/>
                <w:bCs w:val="0"/>
                <w:color w:val="000000"/>
              </w:rPr>
            </w:pPr>
            <w:r w:rsidRPr="0078333D">
              <w:rPr>
                <w:rFonts w:ascii="Calibri" w:eastAsia="Times New Roman" w:hAnsi="Calibri" w:cs="Calibri"/>
                <w:bCs w:val="0"/>
                <w:color w:val="000000"/>
              </w:rPr>
              <w:t>ratio</w:t>
            </w:r>
          </w:p>
        </w:tc>
        <w:tc>
          <w:tcPr>
            <w:tcW w:w="1686" w:type="dxa"/>
          </w:tcPr>
          <w:p w14:paraId="12C19E9E" w14:textId="77777777" w:rsidR="0078333D" w:rsidRPr="00B81F14" w:rsidRDefault="0078333D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86" w:type="dxa"/>
          </w:tcPr>
          <w:p w14:paraId="28EED70F" w14:textId="77777777" w:rsidR="0078333D" w:rsidRPr="00B81F14" w:rsidRDefault="0078333D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11" w:type="dxa"/>
          </w:tcPr>
          <w:p w14:paraId="6DBD351C" w14:textId="77777777" w:rsidR="0078333D" w:rsidRPr="00B81F14" w:rsidRDefault="0078333D" w:rsidP="00B81F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9" w:type="dxa"/>
          </w:tcPr>
          <w:p w14:paraId="0EAB6B23" w14:textId="77777777" w:rsidR="0078333D" w:rsidRPr="00B81F14" w:rsidRDefault="0078333D" w:rsidP="0078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28" w:type="dxa"/>
          </w:tcPr>
          <w:p w14:paraId="6139C9D9" w14:textId="385C8793" w:rsidR="0078333D" w:rsidRPr="00B81F14" w:rsidRDefault="0078333D" w:rsidP="007833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</w:tbl>
    <w:p w14:paraId="41D8EF1C" w14:textId="77777777" w:rsidR="00CC0654" w:rsidRPr="007D4247" w:rsidRDefault="00CC0654" w:rsidP="00CC0654">
      <w:pPr>
        <w:pStyle w:val="Caption"/>
        <w:rPr>
          <w:color w:val="auto"/>
        </w:rPr>
      </w:pPr>
      <w:bookmarkStart w:id="6" w:name="_Hlk103874580"/>
      <w:r w:rsidRPr="007D4247">
        <w:rPr>
          <w:b/>
          <w:color w:val="auto"/>
        </w:rPr>
        <w:t xml:space="preserve">Table </w:t>
      </w:r>
      <w:r w:rsidRPr="007D4247">
        <w:rPr>
          <w:b/>
          <w:noProof/>
          <w:color w:val="auto"/>
        </w:rPr>
        <w:fldChar w:fldCharType="begin"/>
      </w:r>
      <w:r w:rsidRPr="007D4247">
        <w:rPr>
          <w:b/>
          <w:noProof/>
          <w:color w:val="auto"/>
        </w:rPr>
        <w:instrText xml:space="preserve"> SEQ Table \* ARABIC </w:instrText>
      </w:r>
      <w:r w:rsidRPr="007D4247">
        <w:rPr>
          <w:b/>
          <w:noProof/>
          <w:color w:val="auto"/>
        </w:rPr>
        <w:fldChar w:fldCharType="separate"/>
      </w:r>
      <w:r w:rsidRPr="007D4247">
        <w:rPr>
          <w:b/>
          <w:noProof/>
          <w:color w:val="auto"/>
        </w:rPr>
        <w:t>4</w:t>
      </w:r>
      <w:r w:rsidRPr="007D4247">
        <w:rPr>
          <w:b/>
          <w:noProof/>
          <w:color w:val="auto"/>
        </w:rPr>
        <w:fldChar w:fldCharType="end"/>
      </w:r>
      <w:r w:rsidRPr="007D4247">
        <w:rPr>
          <w:b/>
          <w:color w:val="auto"/>
        </w:rPr>
        <w:t>DS</w:t>
      </w:r>
      <w:r w:rsidRPr="007D4247">
        <w:rPr>
          <w:color w:val="auto"/>
        </w:rPr>
        <w:t xml:space="preserve"> Spearman’s correlation for the following parameters: slope, length, area and thickness</w:t>
      </w:r>
    </w:p>
    <w:bookmarkEnd w:id="6"/>
    <w:p w14:paraId="3A59E24F" w14:textId="65CAE856" w:rsidR="00CC0654" w:rsidRDefault="00CC0654">
      <w:r>
        <w:br w:type="page"/>
      </w:r>
    </w:p>
    <w:p w14:paraId="4065A27F" w14:textId="77777777" w:rsidR="001D01AA" w:rsidRPr="001D01AA" w:rsidRDefault="005C7C68" w:rsidP="001D01AA">
      <w:pPr>
        <w:pStyle w:val="EndNoteBibliography"/>
      </w:pPr>
      <w:r>
        <w:lastRenderedPageBreak/>
        <w:fldChar w:fldCharType="begin"/>
      </w:r>
      <w:r>
        <w:instrText xml:space="preserve"> ADDIN EN.REFLIST </w:instrText>
      </w:r>
      <w:r>
        <w:fldChar w:fldCharType="separate"/>
      </w:r>
      <w:r w:rsidR="001D01AA" w:rsidRPr="001D01AA">
        <w:t xml:space="preserve">Micallef, A., et al. (2007). "Morphology and mechanics of submarine spreading: a case study from the Storegga slide." </w:t>
      </w:r>
      <w:r w:rsidR="001D01AA" w:rsidRPr="001D01AA">
        <w:rPr>
          <w:u w:val="single"/>
        </w:rPr>
        <w:t>Journal of Geophysical Research</w:t>
      </w:r>
      <w:r w:rsidR="001D01AA" w:rsidRPr="001D01AA">
        <w:t xml:space="preserve"> </w:t>
      </w:r>
      <w:r w:rsidR="001D01AA" w:rsidRPr="001D01AA">
        <w:rPr>
          <w:b/>
        </w:rPr>
        <w:t>112</w:t>
      </w:r>
      <w:r w:rsidR="001D01AA" w:rsidRPr="001D01AA">
        <w:t>: F03023.</w:t>
      </w:r>
    </w:p>
    <w:p w14:paraId="25FDE9BB" w14:textId="77777777" w:rsidR="001D01AA" w:rsidRPr="001D01AA" w:rsidRDefault="001D01AA" w:rsidP="001D01AA">
      <w:pPr>
        <w:pStyle w:val="EndNoteBibliography"/>
        <w:spacing w:after="0"/>
        <w:ind w:left="720" w:hanging="720"/>
      </w:pPr>
      <w:r w:rsidRPr="001D01AA">
        <w:tab/>
      </w:r>
    </w:p>
    <w:p w14:paraId="7BFFBCC5" w14:textId="77777777" w:rsidR="001D01AA" w:rsidRPr="001D01AA" w:rsidRDefault="001D01AA" w:rsidP="001D01AA">
      <w:pPr>
        <w:pStyle w:val="EndNoteBibliography"/>
      </w:pPr>
      <w:r w:rsidRPr="001D01AA">
        <w:t>Skempton, A. W. and J. Hutchinson (1969). Stability of natural slopes and embankment foundations. 7th International Conference on Soil Mechanics and Foundation Engineering (Mexico).</w:t>
      </w:r>
    </w:p>
    <w:p w14:paraId="3353ADF5" w14:textId="77777777" w:rsidR="001D01AA" w:rsidRPr="001D01AA" w:rsidRDefault="001D01AA" w:rsidP="001D01AA">
      <w:pPr>
        <w:pStyle w:val="EndNoteBibliography"/>
        <w:ind w:left="720" w:hanging="720"/>
      </w:pPr>
      <w:r w:rsidRPr="001D01AA">
        <w:tab/>
      </w:r>
    </w:p>
    <w:p w14:paraId="3F833B2D" w14:textId="1CF9B9A5" w:rsidR="00B6056B" w:rsidRPr="00B6056B" w:rsidRDefault="005C7C68" w:rsidP="00B6056B">
      <w:r>
        <w:fldChar w:fldCharType="end"/>
      </w:r>
    </w:p>
    <w:sectPr w:rsidR="00B6056B" w:rsidRPr="00B6056B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5EA5B" w16cex:dateUtc="2021-11-22T09:07:00Z"/>
  <w16cex:commentExtensible w16cex:durableId="25664D9C" w16cex:dateUtc="2021-12-16T22:43:00Z"/>
  <w16cex:commentExtensible w16cex:durableId="2545E735" w16cex:dateUtc="2021-11-22T08:53:00Z"/>
  <w16cex:commentExtensible w16cex:durableId="25884388" w16cex:dateUtc="2022-01-11T16:57:00Z"/>
  <w16cex:commentExtensible w16cex:durableId="2545E777" w16cex:dateUtc="2021-11-22T08:55:00Z"/>
  <w16cex:commentExtensible w16cex:durableId="2545E796" w16cex:dateUtc="2021-11-22T08:55:00Z"/>
  <w16cex:commentExtensible w16cex:durableId="25624DE0" w16cex:dateUtc="2021-12-13T21:55:00Z"/>
  <w16cex:commentExtensible w16cex:durableId="258843AE" w16cex:dateUtc="2022-01-11T16:58:00Z"/>
  <w16cex:commentExtensible w16cex:durableId="258843F6" w16cex:dateUtc="2022-01-11T16:59:00Z"/>
  <w16cex:commentExtensible w16cex:durableId="2545E84D" w16cex:dateUtc="2021-11-22T08:58:00Z"/>
  <w16cex:commentExtensible w16cex:durableId="25884457" w16cex:dateUtc="2022-01-11T17:00:00Z"/>
  <w16cex:commentExtensible w16cex:durableId="2545E860" w16cex:dateUtc="2021-11-22T08:58:00Z"/>
  <w16cex:commentExtensible w16cex:durableId="2565E5FB" w16cex:dateUtc="2021-12-16T15:21:00Z"/>
  <w16cex:commentExtensible w16cex:durableId="2588448D" w16cex:dateUtc="2022-01-11T17:01:00Z"/>
  <w16cex:commentExtensible w16cex:durableId="2545E888" w16cex:dateUtc="2021-11-22T08:59:00Z"/>
  <w16cex:commentExtensible w16cex:durableId="2565E628" w16cex:dateUtc="2021-12-16T15:22:00Z"/>
  <w16cex:commentExtensible w16cex:durableId="2545E8A2" w16cex:dateUtc="2021-11-22T09:00:00Z"/>
  <w16cex:commentExtensible w16cex:durableId="2565E683" w16cex:dateUtc="2021-12-16T15:23:00Z"/>
  <w16cex:commentExtensible w16cex:durableId="2545E8F8" w16cex:dateUtc="2021-11-22T09:01:00Z"/>
  <w16cex:commentExtensible w16cex:durableId="258847AE" w16cex:dateUtc="2022-01-11T17:15:00Z"/>
  <w16cex:commentExtensible w16cex:durableId="25884790" w16cex:dateUtc="2022-01-11T17:14:00Z"/>
  <w16cex:commentExtensible w16cex:durableId="2545E9E5" w16cex:dateUtc="2021-11-22T09:05:00Z"/>
  <w16cex:commentExtensible w16cex:durableId="2565E7ED" w16cex:dateUtc="2021-12-16T15:29:00Z"/>
  <w16cex:commentExtensible w16cex:durableId="258848B5" w16cex:dateUtc="2022-01-11T17:19:00Z"/>
  <w16cex:commentExtensible w16cex:durableId="2545EA06" w16cex:dateUtc="2021-11-22T09:05:00Z"/>
  <w16cex:commentExtensible w16cex:durableId="258848D5" w16cex:dateUtc="2022-01-11T17:20:00Z"/>
  <w16cex:commentExtensible w16cex:durableId="2545EB6C" w16cex:dateUtc="2021-11-22T09:11:00Z"/>
  <w16cex:commentExtensible w16cex:durableId="2550B1CA" w16cex:dateUtc="2021-11-30T13:20:00Z"/>
  <w16cex:commentExtensible w16cex:durableId="258849A8" w16cex:dateUtc="2022-01-11T17:23:00Z"/>
  <w16cex:commentExtensible w16cex:durableId="2588492D" w16cex:dateUtc="2022-01-11T17:21:00Z"/>
  <w16cex:commentExtensible w16cex:durableId="2588497B" w16cex:dateUtc="2022-01-11T17:22:00Z"/>
  <w16cex:commentExtensible w16cex:durableId="25884A11" w16cex:dateUtc="2022-01-11T17:25:00Z"/>
  <w16cex:commentExtensible w16cex:durableId="2593BBE9" w16cex:dateUtc="2021-12-16T23:59:00Z"/>
  <w16cex:commentExtensible w16cex:durableId="251DB2E7" w16cex:dateUtc="2021-10-22T20:00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E731C" w14:textId="77777777" w:rsidR="00607E7D" w:rsidRDefault="00607E7D" w:rsidP="00B6056B">
      <w:pPr>
        <w:spacing w:after="0" w:line="240" w:lineRule="auto"/>
      </w:pPr>
      <w:r>
        <w:separator/>
      </w:r>
    </w:p>
  </w:endnote>
  <w:endnote w:type="continuationSeparator" w:id="0">
    <w:p w14:paraId="46EF3343" w14:textId="77777777" w:rsidR="00607E7D" w:rsidRDefault="00607E7D" w:rsidP="00B60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75363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1FA64A" w14:textId="4D740556" w:rsidR="00B6056B" w:rsidRDefault="00B6056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42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16A55D9" w14:textId="77777777" w:rsidR="00B6056B" w:rsidRDefault="00B605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183BC" w14:textId="77777777" w:rsidR="00607E7D" w:rsidRDefault="00607E7D" w:rsidP="00B6056B">
      <w:pPr>
        <w:spacing w:after="0" w:line="240" w:lineRule="auto"/>
      </w:pPr>
      <w:r>
        <w:separator/>
      </w:r>
    </w:p>
  </w:footnote>
  <w:footnote w:type="continuationSeparator" w:id="0">
    <w:p w14:paraId="04BDBC2A" w14:textId="77777777" w:rsidR="00607E7D" w:rsidRDefault="00607E7D" w:rsidP="00B605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376D"/>
    <w:multiLevelType w:val="hybridMultilevel"/>
    <w:tmpl w:val="61743A5A"/>
    <w:lvl w:ilvl="0" w:tplc="4376706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13A5A"/>
    <w:multiLevelType w:val="hybridMultilevel"/>
    <w:tmpl w:val="81F88B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74BC9"/>
    <w:multiLevelType w:val="hybridMultilevel"/>
    <w:tmpl w:val="6372AA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A79EE"/>
    <w:multiLevelType w:val="hybridMultilevel"/>
    <w:tmpl w:val="6B38C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nnotat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9xzwvfs5wdpzce0ewbvtrrxrrt2ewd02x9v&quot;&gt;Monica-Converted&lt;record-ids&gt;&lt;item&gt;642&lt;/item&gt;&lt;item&gt;1147&lt;/item&gt;&lt;/record-ids&gt;&lt;/item&gt;&lt;/Libraries&gt;"/>
  </w:docVars>
  <w:rsids>
    <w:rsidRoot w:val="002F1CF8"/>
    <w:rsid w:val="000068B7"/>
    <w:rsid w:val="00064704"/>
    <w:rsid w:val="00074154"/>
    <w:rsid w:val="000957E5"/>
    <w:rsid w:val="000B4074"/>
    <w:rsid w:val="000B51D3"/>
    <w:rsid w:val="000E5328"/>
    <w:rsid w:val="000F111D"/>
    <w:rsid w:val="000F751D"/>
    <w:rsid w:val="001134F3"/>
    <w:rsid w:val="0012559C"/>
    <w:rsid w:val="00135443"/>
    <w:rsid w:val="0014233A"/>
    <w:rsid w:val="00197625"/>
    <w:rsid w:val="001A2C61"/>
    <w:rsid w:val="001A54FE"/>
    <w:rsid w:val="001B74EB"/>
    <w:rsid w:val="001D01AA"/>
    <w:rsid w:val="00233258"/>
    <w:rsid w:val="00263418"/>
    <w:rsid w:val="00280021"/>
    <w:rsid w:val="002824CA"/>
    <w:rsid w:val="002B1866"/>
    <w:rsid w:val="002F1CF8"/>
    <w:rsid w:val="00324DA9"/>
    <w:rsid w:val="00331A6B"/>
    <w:rsid w:val="00331CAF"/>
    <w:rsid w:val="00342C76"/>
    <w:rsid w:val="00361AFC"/>
    <w:rsid w:val="003775FB"/>
    <w:rsid w:val="0039346B"/>
    <w:rsid w:val="003950ED"/>
    <w:rsid w:val="003A6FB7"/>
    <w:rsid w:val="003B1896"/>
    <w:rsid w:val="003B5D38"/>
    <w:rsid w:val="003D1A96"/>
    <w:rsid w:val="003E3D5B"/>
    <w:rsid w:val="003F1722"/>
    <w:rsid w:val="00413DB2"/>
    <w:rsid w:val="004555BB"/>
    <w:rsid w:val="004601E9"/>
    <w:rsid w:val="00472180"/>
    <w:rsid w:val="00475BB4"/>
    <w:rsid w:val="004912A0"/>
    <w:rsid w:val="004A31C6"/>
    <w:rsid w:val="004A38F2"/>
    <w:rsid w:val="004A744D"/>
    <w:rsid w:val="004B19AE"/>
    <w:rsid w:val="004F77E8"/>
    <w:rsid w:val="00506207"/>
    <w:rsid w:val="00523ECB"/>
    <w:rsid w:val="00546906"/>
    <w:rsid w:val="005A04CB"/>
    <w:rsid w:val="005C7C68"/>
    <w:rsid w:val="005D3BC2"/>
    <w:rsid w:val="005D3C0C"/>
    <w:rsid w:val="00607E7D"/>
    <w:rsid w:val="00653EBA"/>
    <w:rsid w:val="00681B37"/>
    <w:rsid w:val="00687843"/>
    <w:rsid w:val="006A041B"/>
    <w:rsid w:val="006A4B20"/>
    <w:rsid w:val="006B7AF3"/>
    <w:rsid w:val="006C123C"/>
    <w:rsid w:val="00721D46"/>
    <w:rsid w:val="007232E4"/>
    <w:rsid w:val="00733F20"/>
    <w:rsid w:val="00754490"/>
    <w:rsid w:val="007630CA"/>
    <w:rsid w:val="0078333D"/>
    <w:rsid w:val="007B77C0"/>
    <w:rsid w:val="007D4247"/>
    <w:rsid w:val="007E74C2"/>
    <w:rsid w:val="00822410"/>
    <w:rsid w:val="00846BF7"/>
    <w:rsid w:val="008641EA"/>
    <w:rsid w:val="00881C87"/>
    <w:rsid w:val="008B43C3"/>
    <w:rsid w:val="008D3CAB"/>
    <w:rsid w:val="009800B5"/>
    <w:rsid w:val="009E0C10"/>
    <w:rsid w:val="009E3030"/>
    <w:rsid w:val="009F5136"/>
    <w:rsid w:val="009F5F5F"/>
    <w:rsid w:val="00A001ED"/>
    <w:rsid w:val="00A45039"/>
    <w:rsid w:val="00A511D6"/>
    <w:rsid w:val="00A61F0F"/>
    <w:rsid w:val="00A768F8"/>
    <w:rsid w:val="00AA2D2E"/>
    <w:rsid w:val="00AB7962"/>
    <w:rsid w:val="00AD3CCC"/>
    <w:rsid w:val="00AE2600"/>
    <w:rsid w:val="00AF4308"/>
    <w:rsid w:val="00AF44D4"/>
    <w:rsid w:val="00B23070"/>
    <w:rsid w:val="00B2740E"/>
    <w:rsid w:val="00B6056B"/>
    <w:rsid w:val="00B75F8E"/>
    <w:rsid w:val="00B81F14"/>
    <w:rsid w:val="00BC0C25"/>
    <w:rsid w:val="00BE1214"/>
    <w:rsid w:val="00BF2331"/>
    <w:rsid w:val="00C116F0"/>
    <w:rsid w:val="00C21CA9"/>
    <w:rsid w:val="00C549F5"/>
    <w:rsid w:val="00C72B0C"/>
    <w:rsid w:val="00C8318E"/>
    <w:rsid w:val="00C9332B"/>
    <w:rsid w:val="00CA628E"/>
    <w:rsid w:val="00CB0C9D"/>
    <w:rsid w:val="00CB1C02"/>
    <w:rsid w:val="00CC0654"/>
    <w:rsid w:val="00CD5FCE"/>
    <w:rsid w:val="00D27199"/>
    <w:rsid w:val="00D626E7"/>
    <w:rsid w:val="00D827ED"/>
    <w:rsid w:val="00D977E3"/>
    <w:rsid w:val="00DC3C2A"/>
    <w:rsid w:val="00DC63BE"/>
    <w:rsid w:val="00E526E1"/>
    <w:rsid w:val="00E55A8F"/>
    <w:rsid w:val="00E73E0D"/>
    <w:rsid w:val="00EA3CDD"/>
    <w:rsid w:val="00EA71D5"/>
    <w:rsid w:val="00EC2406"/>
    <w:rsid w:val="00EE0ABD"/>
    <w:rsid w:val="00EE7752"/>
    <w:rsid w:val="00EF1ED9"/>
    <w:rsid w:val="00F065A4"/>
    <w:rsid w:val="00F33C2B"/>
    <w:rsid w:val="00F3557E"/>
    <w:rsid w:val="00F41C19"/>
    <w:rsid w:val="00FC7534"/>
    <w:rsid w:val="00FD13B9"/>
    <w:rsid w:val="00FE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50D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0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0C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1C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F1CF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2F1CF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F1C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1C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1CF8"/>
    <w:rPr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F1CF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4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4C2"/>
    <w:rPr>
      <w:b/>
      <w:bCs/>
      <w:sz w:val="20"/>
      <w:szCs w:val="20"/>
    </w:rPr>
  </w:style>
  <w:style w:type="table" w:customStyle="1" w:styleId="ListTable3Accent6">
    <w:name w:val="List Table 3 Accent 6"/>
    <w:basedOn w:val="TableNormal"/>
    <w:uiPriority w:val="48"/>
    <w:rsid w:val="003A6FB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9E30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9E3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B0C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B0C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84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605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56B"/>
  </w:style>
  <w:style w:type="paragraph" w:styleId="Footer">
    <w:name w:val="footer"/>
    <w:basedOn w:val="Normal"/>
    <w:link w:val="FooterChar"/>
    <w:uiPriority w:val="99"/>
    <w:unhideWhenUsed/>
    <w:rsid w:val="00B605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56B"/>
  </w:style>
  <w:style w:type="paragraph" w:customStyle="1" w:styleId="EndNoteBibliographyTitle">
    <w:name w:val="EndNote Bibliography Title"/>
    <w:basedOn w:val="Normal"/>
    <w:link w:val="EndNoteBibliographyTitleChar"/>
    <w:rsid w:val="005C7C68"/>
    <w:pPr>
      <w:spacing w:after="0"/>
      <w:jc w:val="center"/>
    </w:pPr>
    <w:rPr>
      <w:rFonts w:ascii="Calibri" w:hAnsi="Calibri" w:cs="Calibri"/>
      <w:noProof/>
    </w:rPr>
  </w:style>
  <w:style w:type="character" w:customStyle="1" w:styleId="CaptionChar">
    <w:name w:val="Caption Char"/>
    <w:basedOn w:val="DefaultParagraphFont"/>
    <w:link w:val="Caption"/>
    <w:uiPriority w:val="35"/>
    <w:rsid w:val="005C7C68"/>
    <w:rPr>
      <w:i/>
      <w:iCs/>
      <w:color w:val="44546A" w:themeColor="text2"/>
      <w:sz w:val="18"/>
      <w:szCs w:val="18"/>
    </w:rPr>
  </w:style>
  <w:style w:type="character" w:customStyle="1" w:styleId="EndNoteBibliographyTitleChar">
    <w:name w:val="EndNote Bibliography Title Char"/>
    <w:basedOn w:val="CaptionChar"/>
    <w:link w:val="EndNoteBibliographyTitle"/>
    <w:rsid w:val="005C7C68"/>
    <w:rPr>
      <w:rFonts w:ascii="Calibri" w:hAnsi="Calibri" w:cs="Calibri"/>
      <w:i w:val="0"/>
      <w:iCs w:val="0"/>
      <w:noProof/>
      <w:color w:val="44546A" w:themeColor="text2"/>
      <w:sz w:val="18"/>
      <w:szCs w:val="18"/>
    </w:rPr>
  </w:style>
  <w:style w:type="paragraph" w:customStyle="1" w:styleId="EndNoteBibliography">
    <w:name w:val="EndNote Bibliography"/>
    <w:basedOn w:val="Normal"/>
    <w:link w:val="EndNoteBibliographyChar"/>
    <w:rsid w:val="005C7C68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CaptionChar"/>
    <w:link w:val="EndNoteBibliography"/>
    <w:rsid w:val="005C7C68"/>
    <w:rPr>
      <w:rFonts w:ascii="Calibri" w:hAnsi="Calibri" w:cs="Calibri"/>
      <w:i w:val="0"/>
      <w:iCs w:val="0"/>
      <w:noProof/>
      <w:color w:val="44546A" w:themeColor="text2"/>
      <w:sz w:val="18"/>
      <w:szCs w:val="18"/>
    </w:rPr>
  </w:style>
  <w:style w:type="table" w:customStyle="1" w:styleId="PlainTable4">
    <w:name w:val="Plain Table 4"/>
    <w:basedOn w:val="TableNormal"/>
    <w:uiPriority w:val="44"/>
    <w:rsid w:val="001D01A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1D01A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EE7752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0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0C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1C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F1CF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2F1CF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F1C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1C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1CF8"/>
    <w:rPr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F1CF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4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4C2"/>
    <w:rPr>
      <w:b/>
      <w:bCs/>
      <w:sz w:val="20"/>
      <w:szCs w:val="20"/>
    </w:rPr>
  </w:style>
  <w:style w:type="table" w:customStyle="1" w:styleId="ListTable3Accent6">
    <w:name w:val="List Table 3 Accent 6"/>
    <w:basedOn w:val="TableNormal"/>
    <w:uiPriority w:val="48"/>
    <w:rsid w:val="003A6FB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9E30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9E3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B0C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B0C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84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605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56B"/>
  </w:style>
  <w:style w:type="paragraph" w:styleId="Footer">
    <w:name w:val="footer"/>
    <w:basedOn w:val="Normal"/>
    <w:link w:val="FooterChar"/>
    <w:uiPriority w:val="99"/>
    <w:unhideWhenUsed/>
    <w:rsid w:val="00B605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56B"/>
  </w:style>
  <w:style w:type="paragraph" w:customStyle="1" w:styleId="EndNoteBibliographyTitle">
    <w:name w:val="EndNote Bibliography Title"/>
    <w:basedOn w:val="Normal"/>
    <w:link w:val="EndNoteBibliographyTitleChar"/>
    <w:rsid w:val="005C7C68"/>
    <w:pPr>
      <w:spacing w:after="0"/>
      <w:jc w:val="center"/>
    </w:pPr>
    <w:rPr>
      <w:rFonts w:ascii="Calibri" w:hAnsi="Calibri" w:cs="Calibri"/>
      <w:noProof/>
    </w:rPr>
  </w:style>
  <w:style w:type="character" w:customStyle="1" w:styleId="CaptionChar">
    <w:name w:val="Caption Char"/>
    <w:basedOn w:val="DefaultParagraphFont"/>
    <w:link w:val="Caption"/>
    <w:uiPriority w:val="35"/>
    <w:rsid w:val="005C7C68"/>
    <w:rPr>
      <w:i/>
      <w:iCs/>
      <w:color w:val="44546A" w:themeColor="text2"/>
      <w:sz w:val="18"/>
      <w:szCs w:val="18"/>
    </w:rPr>
  </w:style>
  <w:style w:type="character" w:customStyle="1" w:styleId="EndNoteBibliographyTitleChar">
    <w:name w:val="EndNote Bibliography Title Char"/>
    <w:basedOn w:val="CaptionChar"/>
    <w:link w:val="EndNoteBibliographyTitle"/>
    <w:rsid w:val="005C7C68"/>
    <w:rPr>
      <w:rFonts w:ascii="Calibri" w:hAnsi="Calibri" w:cs="Calibri"/>
      <w:i w:val="0"/>
      <w:iCs w:val="0"/>
      <w:noProof/>
      <w:color w:val="44546A" w:themeColor="text2"/>
      <w:sz w:val="18"/>
      <w:szCs w:val="18"/>
    </w:rPr>
  </w:style>
  <w:style w:type="paragraph" w:customStyle="1" w:styleId="EndNoteBibliography">
    <w:name w:val="EndNote Bibliography"/>
    <w:basedOn w:val="Normal"/>
    <w:link w:val="EndNoteBibliographyChar"/>
    <w:rsid w:val="005C7C68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CaptionChar"/>
    <w:link w:val="EndNoteBibliography"/>
    <w:rsid w:val="005C7C68"/>
    <w:rPr>
      <w:rFonts w:ascii="Calibri" w:hAnsi="Calibri" w:cs="Calibri"/>
      <w:i w:val="0"/>
      <w:iCs w:val="0"/>
      <w:noProof/>
      <w:color w:val="44546A" w:themeColor="text2"/>
      <w:sz w:val="18"/>
      <w:szCs w:val="18"/>
    </w:rPr>
  </w:style>
  <w:style w:type="table" w:customStyle="1" w:styleId="PlainTable4">
    <w:name w:val="Plain Table 4"/>
    <w:basedOn w:val="TableNormal"/>
    <w:uiPriority w:val="44"/>
    <w:rsid w:val="001D01A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1D01A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EE7752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jpg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10.71.13.50\working\mgion01\SubSpread\SubSpread\DBs\May2022_DB%20subaqueous%20landslides%20-%20Cop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/>
              <a:t>Length of the slides showing spreading morphology (km)</a:t>
            </a:r>
          </a:p>
        </c:rich>
      </c:tx>
      <c:layout>
        <c:manualLayout>
          <c:xMode val="edge"/>
          <c:yMode val="edge"/>
          <c:x val="0.15527777777777779"/>
          <c:y val="6.993006993006993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7.7440049490712357E-2"/>
          <c:y val="8.9257667418020478E-2"/>
          <c:w val="0.8543655360387642"/>
          <c:h val="0.546784868674632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'Length of the deposit'!$G$1</c:f>
              <c:strCache>
                <c:ptCount val="1"/>
                <c:pt idx="0">
                  <c:v>Data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'Length of the deposit'!$F$2:$F$24</c:f>
              <c:strCache>
                <c:ptCount val="23"/>
                <c:pt idx="0">
                  <c:v>Wabush Lake, Labrador</c:v>
                </c:pt>
                <c:pt idx="1">
                  <c:v>Capo Vaticano S2</c:v>
                </c:pt>
                <c:pt idx="2">
                  <c:v>Finneidfjord</c:v>
                </c:pt>
                <c:pt idx="3">
                  <c:v>SAR-27</c:v>
                </c:pt>
                <c:pt idx="4">
                  <c:v>Capo Vaticano S1</c:v>
                </c:pt>
                <c:pt idx="5">
                  <c:v>Gaviota </c:v>
                </c:pt>
                <c:pt idx="6">
                  <c:v>Kitimat fjord debris flow</c:v>
                </c:pt>
                <c:pt idx="7">
                  <c:v>Licosa</c:v>
                </c:pt>
                <c:pt idx="8">
                  <c:v>Malta</c:v>
                </c:pt>
                <c:pt idx="9">
                  <c:v>Small MTD off Norway S1</c:v>
                </c:pt>
                <c:pt idx="10">
                  <c:v>Goleta </c:v>
                </c:pt>
                <c:pt idx="11">
                  <c:v>Tuaheni</c:v>
                </c:pt>
                <c:pt idx="12">
                  <c:v>Klamath River delta</c:v>
                </c:pt>
                <c:pt idx="13">
                  <c:v>Small MTD off Norway S2</c:v>
                </c:pt>
                <c:pt idx="14">
                  <c:v>Nyk </c:v>
                </c:pt>
                <c:pt idx="15">
                  <c:v>Rebelde </c:v>
                </c:pt>
                <c:pt idx="16">
                  <c:v>MN </c:v>
                </c:pt>
                <c:pt idx="17">
                  <c:v>Retriever</c:v>
                </c:pt>
                <c:pt idx="18">
                  <c:v>Laurentian Fan (external levee)</c:v>
                </c:pt>
                <c:pt idx="19">
                  <c:v>Tampen </c:v>
                </c:pt>
                <c:pt idx="20">
                  <c:v>Traenadjupet </c:v>
                </c:pt>
                <c:pt idx="21">
                  <c:v>Storegga </c:v>
                </c:pt>
                <c:pt idx="22">
                  <c:v>Sahara</c:v>
                </c:pt>
              </c:strCache>
            </c:strRef>
          </c:cat>
          <c:val>
            <c:numRef>
              <c:f>'Length of the deposit'!$G$2:$G$24</c:f>
              <c:numCache>
                <c:formatCode>General</c:formatCode>
                <c:ptCount val="23"/>
                <c:pt idx="0">
                  <c:v>0.4</c:v>
                </c:pt>
                <c:pt idx="1">
                  <c:v>1</c:v>
                </c:pt>
                <c:pt idx="2">
                  <c:v>1.2</c:v>
                </c:pt>
                <c:pt idx="3">
                  <c:v>1.7</c:v>
                </c:pt>
                <c:pt idx="4">
                  <c:v>2</c:v>
                </c:pt>
                <c:pt idx="5">
                  <c:v>2.6</c:v>
                </c:pt>
                <c:pt idx="6">
                  <c:v>5</c:v>
                </c:pt>
                <c:pt idx="7">
                  <c:v>6</c:v>
                </c:pt>
                <c:pt idx="8">
                  <c:v>7.7</c:v>
                </c:pt>
                <c:pt idx="9">
                  <c:v>14.5</c:v>
                </c:pt>
                <c:pt idx="10">
                  <c:v>14.6</c:v>
                </c:pt>
                <c:pt idx="11">
                  <c:v>15</c:v>
                </c:pt>
                <c:pt idx="12">
                  <c:v>20</c:v>
                </c:pt>
                <c:pt idx="13">
                  <c:v>24</c:v>
                </c:pt>
                <c:pt idx="14">
                  <c:v>25</c:v>
                </c:pt>
                <c:pt idx="15">
                  <c:v>36</c:v>
                </c:pt>
                <c:pt idx="16">
                  <c:v>60</c:v>
                </c:pt>
                <c:pt idx="17">
                  <c:v>62</c:v>
                </c:pt>
                <c:pt idx="18">
                  <c:v>100</c:v>
                </c:pt>
                <c:pt idx="19">
                  <c:v>120</c:v>
                </c:pt>
                <c:pt idx="20">
                  <c:v>200</c:v>
                </c:pt>
                <c:pt idx="21">
                  <c:v>810</c:v>
                </c:pt>
                <c:pt idx="22">
                  <c:v>900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D6D-4355-8C9B-080447869AB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238953984"/>
        <c:axId val="239272320"/>
      </c:barChart>
      <c:catAx>
        <c:axId val="238953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39272320"/>
        <c:crosses val="autoZero"/>
        <c:auto val="1"/>
        <c:lblAlgn val="ctr"/>
        <c:lblOffset val="100"/>
        <c:noMultiLvlLbl val="0"/>
      </c:catAx>
      <c:valAx>
        <c:axId val="2392723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389539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0.41458</cdr:x>
      <cdr:y>0.91901</cdr:y>
    </cdr:from>
    <cdr:to>
      <cdr:x>0.58766</cdr:x>
      <cdr:y>0.98806</cdr:y>
    </cdr:to>
    <cdr:sp macro="" textlink="">
      <cdr:nvSpPr>
        <cdr:cNvPr id="2" name="TextBox 2">
          <a:extLst xmlns:a="http://schemas.openxmlformats.org/drawingml/2006/main">
            <a:ext uri="{FF2B5EF4-FFF2-40B4-BE49-F238E27FC236}">
              <a16:creationId xmlns="" xmlns:a16="http://schemas.microsoft.com/office/drawing/2014/main" id="{A6169F88-3C0D-4E54-B94A-74F1DB260AEB}"/>
            </a:ext>
          </a:extLst>
        </cdr:cNvPr>
        <cdr:cNvSpPr txBox="1"/>
      </cdr:nvSpPr>
      <cdr:spPr>
        <a:xfrm xmlns:a="http://schemas.openxmlformats.org/drawingml/2006/main">
          <a:off x="2464121" y="3338010"/>
          <a:ext cx="1028700" cy="250825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9525" cmpd="sng">
          <a:solidFill>
            <a:schemeClr val="bg1"/>
          </a:solidFill>
        </a:ln>
      </cdr:spPr>
      <cdr:style>
        <a:lnRef xmlns:a="http://schemas.openxmlformats.org/drawingml/2006/main" idx="0">
          <a:scrgbClr r="0" g="0" b="0"/>
        </a:lnRef>
        <a:fillRef xmlns:a="http://schemas.openxmlformats.org/drawingml/2006/main" idx="0">
          <a:scrgbClr r="0" g="0" b="0"/>
        </a:fillRef>
        <a:effectRef xmlns:a="http://schemas.openxmlformats.org/drawingml/2006/main" idx="0">
          <a:scrgbClr r="0" g="0" b="0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rtlCol="0" anchor="t"/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en-GB" sz="1600"/>
            <a:t>Slide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C614E-1901-40A2-A4CC-1D0704AD1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9</Pages>
  <Words>1752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Giona Bucci</dc:creator>
  <cp:keywords/>
  <dc:description/>
  <cp:lastModifiedBy>Melodie Carcueva</cp:lastModifiedBy>
  <cp:revision>24</cp:revision>
  <dcterms:created xsi:type="dcterms:W3CDTF">2022-03-18T13:45:00Z</dcterms:created>
  <dcterms:modified xsi:type="dcterms:W3CDTF">2022-08-05T06:33:00Z</dcterms:modified>
</cp:coreProperties>
</file>