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C56" w:rsidRDefault="00D46C56" w:rsidP="00D46C56">
      <w:pPr>
        <w:spacing w:line="480" w:lineRule="auto"/>
        <w:contextualSpacing/>
        <w:rPr>
          <w:b/>
        </w:rPr>
      </w:pPr>
    </w:p>
    <w:p w:rsidR="00D46C56" w:rsidRDefault="00D46C56" w:rsidP="00D46C56">
      <w:pPr>
        <w:spacing w:line="480" w:lineRule="auto"/>
        <w:contextualSpacing/>
        <w:rPr>
          <w:b/>
        </w:rPr>
      </w:pPr>
    </w:p>
    <w:p w:rsidR="00D46C56" w:rsidRDefault="00D46C56" w:rsidP="00D46C56">
      <w:pPr>
        <w:spacing w:line="480" w:lineRule="auto"/>
        <w:contextualSpacing/>
        <w:rPr>
          <w:b/>
        </w:rPr>
      </w:pPr>
    </w:p>
    <w:p w:rsidR="00D46C56" w:rsidRDefault="00D46C56" w:rsidP="00D46C56">
      <w:pPr>
        <w:spacing w:line="480" w:lineRule="auto"/>
        <w:contextualSpacing/>
        <w:rPr>
          <w:b/>
        </w:rPr>
      </w:pPr>
    </w:p>
    <w:p w:rsidR="00D01614" w:rsidRPr="00F27625" w:rsidRDefault="002270BD" w:rsidP="00D46C56">
      <w:pPr>
        <w:spacing w:line="480" w:lineRule="auto"/>
        <w:contextualSpacing/>
        <w:jc w:val="center"/>
        <w:rPr>
          <w:b/>
        </w:rPr>
      </w:pPr>
      <w:r>
        <w:rPr>
          <w:b/>
        </w:rPr>
        <w:t xml:space="preserve">Effects of </w:t>
      </w:r>
      <w:r w:rsidR="00D01614" w:rsidRPr="00F27625">
        <w:rPr>
          <w:b/>
        </w:rPr>
        <w:t xml:space="preserve">Salinity and </w:t>
      </w:r>
      <w:r w:rsidR="00F27625" w:rsidRPr="00F27625">
        <w:rPr>
          <w:b/>
        </w:rPr>
        <w:t>T</w:t>
      </w:r>
      <w:r w:rsidR="00D01614" w:rsidRPr="00F27625">
        <w:rPr>
          <w:b/>
        </w:rPr>
        <w:t xml:space="preserve">emperature on </w:t>
      </w:r>
      <w:r w:rsidR="00B77FC9">
        <w:rPr>
          <w:b/>
        </w:rPr>
        <w:t xml:space="preserve">seawater </w:t>
      </w:r>
      <w:r w:rsidR="00D01614" w:rsidRPr="00F27625">
        <w:rPr>
          <w:b/>
        </w:rPr>
        <w:t xml:space="preserve">dissolution rate of </w:t>
      </w:r>
      <w:r w:rsidR="00C4199D">
        <w:rPr>
          <w:b/>
        </w:rPr>
        <w:t>initial detonation agent</w:t>
      </w:r>
      <w:r w:rsidR="00D10784">
        <w:rPr>
          <w:b/>
        </w:rPr>
        <w:t xml:space="preserve"> </w:t>
      </w:r>
      <w:r w:rsidR="00F27625" w:rsidRPr="00F27625">
        <w:rPr>
          <w:b/>
        </w:rPr>
        <w:t>M</w:t>
      </w:r>
      <w:r w:rsidR="00D01614" w:rsidRPr="00F27625">
        <w:rPr>
          <w:b/>
        </w:rPr>
        <w:t xml:space="preserve">ercury </w:t>
      </w:r>
      <w:r w:rsidR="00F27625" w:rsidRPr="00F27625">
        <w:rPr>
          <w:b/>
        </w:rPr>
        <w:t>F</w:t>
      </w:r>
      <w:r w:rsidR="00D01614" w:rsidRPr="00F27625">
        <w:rPr>
          <w:b/>
        </w:rPr>
        <w:t>ulminate</w:t>
      </w:r>
    </w:p>
    <w:p w:rsidR="00D01614" w:rsidRPr="00D01614" w:rsidRDefault="00D01614" w:rsidP="00D46C56">
      <w:pPr>
        <w:spacing w:line="480" w:lineRule="auto"/>
        <w:contextualSpacing/>
        <w:jc w:val="center"/>
      </w:pPr>
    </w:p>
    <w:p w:rsidR="00D46C56" w:rsidRDefault="00D46C56" w:rsidP="00D46C56">
      <w:pPr>
        <w:spacing w:line="480" w:lineRule="auto"/>
        <w:contextualSpacing/>
      </w:pPr>
    </w:p>
    <w:p w:rsidR="00D46C56" w:rsidRPr="00D01614" w:rsidRDefault="00D46C56" w:rsidP="00D46C56">
      <w:pPr>
        <w:spacing w:line="480" w:lineRule="auto"/>
        <w:contextualSpacing/>
        <w:jc w:val="center"/>
      </w:pPr>
    </w:p>
    <w:p w:rsidR="002270BD" w:rsidRPr="002270BD" w:rsidRDefault="0059060C" w:rsidP="00D46C56">
      <w:pPr>
        <w:spacing w:line="480" w:lineRule="auto"/>
        <w:contextualSpacing/>
        <w:jc w:val="center"/>
        <w:rPr>
          <w:lang w:val="de-DE"/>
        </w:rPr>
      </w:pPr>
      <w:r w:rsidRPr="00DB75AB">
        <w:rPr>
          <w:lang w:val="de-DE"/>
        </w:rPr>
        <w:t xml:space="preserve">Kathleen </w:t>
      </w:r>
      <w:r w:rsidR="00A10B63">
        <w:rPr>
          <w:lang w:val="de-DE"/>
        </w:rPr>
        <w:t xml:space="preserve">J. </w:t>
      </w:r>
      <w:r w:rsidRPr="00DB75AB">
        <w:rPr>
          <w:lang w:val="de-DE"/>
        </w:rPr>
        <w:t>Gosnell</w:t>
      </w:r>
      <w:r w:rsidR="002270BD" w:rsidRPr="002270BD">
        <w:rPr>
          <w:vertAlign w:val="superscript"/>
          <w:lang w:val="de-DE"/>
        </w:rPr>
        <w:t>1</w:t>
      </w:r>
      <w:r w:rsidR="004C551F">
        <w:rPr>
          <w:vertAlign w:val="superscript"/>
          <w:lang w:val="de-DE"/>
        </w:rPr>
        <w:t>*</w:t>
      </w:r>
      <w:r w:rsidRPr="00DB75AB">
        <w:rPr>
          <w:lang w:val="de-DE"/>
        </w:rPr>
        <w:t xml:space="preserve">, </w:t>
      </w:r>
      <w:r w:rsidR="003077D2" w:rsidRPr="00DB75AB">
        <w:rPr>
          <w:lang w:val="de-DE"/>
        </w:rPr>
        <w:t xml:space="preserve">Aaron </w:t>
      </w:r>
      <w:r w:rsidR="00A10B63">
        <w:rPr>
          <w:lang w:val="de-DE"/>
        </w:rPr>
        <w:t xml:space="preserve">J. </w:t>
      </w:r>
      <w:r w:rsidR="003077D2" w:rsidRPr="00DB75AB">
        <w:rPr>
          <w:lang w:val="de-DE"/>
        </w:rPr>
        <w:t>Beck</w:t>
      </w:r>
      <w:r w:rsidR="002270BD" w:rsidRPr="002270BD">
        <w:rPr>
          <w:vertAlign w:val="superscript"/>
          <w:lang w:val="de-DE"/>
        </w:rPr>
        <w:t>1</w:t>
      </w:r>
      <w:r w:rsidR="002270BD">
        <w:rPr>
          <w:lang w:val="de-DE"/>
        </w:rPr>
        <w:t xml:space="preserve">, </w:t>
      </w:r>
      <w:r w:rsidR="003077D2" w:rsidRPr="005F5AF8">
        <w:rPr>
          <w:lang w:val="de-DE"/>
        </w:rPr>
        <w:t>Paul Müller</w:t>
      </w:r>
      <w:r w:rsidR="002270BD" w:rsidRPr="005F5AF8">
        <w:rPr>
          <w:vertAlign w:val="superscript"/>
          <w:lang w:val="de-DE"/>
        </w:rPr>
        <w:t>2</w:t>
      </w:r>
      <w:r w:rsidR="002270BD" w:rsidRPr="00DB75AB">
        <w:rPr>
          <w:lang w:val="de-DE"/>
        </w:rPr>
        <w:t xml:space="preserve">, </w:t>
      </w:r>
      <w:r w:rsidR="003B571A" w:rsidRPr="005F5AF8">
        <w:rPr>
          <w:lang w:val="de-DE"/>
        </w:rPr>
        <w:t>Armin Ke</w:t>
      </w:r>
      <w:r w:rsidR="00C139B5">
        <w:rPr>
          <w:lang w:val="en-DE"/>
        </w:rPr>
        <w:t>ß</w:t>
      </w:r>
      <w:r w:rsidR="003B571A" w:rsidRPr="005F5AF8">
        <w:rPr>
          <w:lang w:val="de-DE"/>
        </w:rPr>
        <w:t>ler</w:t>
      </w:r>
      <w:r w:rsidR="003B571A" w:rsidRPr="005F5AF8">
        <w:rPr>
          <w:vertAlign w:val="superscript"/>
          <w:lang w:val="de-DE"/>
        </w:rPr>
        <w:t>2</w:t>
      </w:r>
      <w:r w:rsidR="003B571A" w:rsidRPr="005F5AF8">
        <w:rPr>
          <w:lang w:val="de-DE"/>
        </w:rPr>
        <w:t xml:space="preserve">, </w:t>
      </w:r>
      <w:r w:rsidR="002270BD" w:rsidRPr="00DB75AB">
        <w:rPr>
          <w:lang w:val="de-DE"/>
        </w:rPr>
        <w:t xml:space="preserve">Eric </w:t>
      </w:r>
      <w:r w:rsidR="00A10B63">
        <w:rPr>
          <w:lang w:val="de-DE"/>
        </w:rPr>
        <w:t xml:space="preserve">P. </w:t>
      </w:r>
      <w:r w:rsidR="002270BD" w:rsidRPr="00DB75AB">
        <w:rPr>
          <w:lang w:val="de-DE"/>
        </w:rPr>
        <w:t>Achterberg</w:t>
      </w:r>
      <w:r w:rsidR="002270BD" w:rsidRPr="002270BD">
        <w:rPr>
          <w:vertAlign w:val="superscript"/>
          <w:lang w:val="de-DE"/>
        </w:rPr>
        <w:t>1</w:t>
      </w:r>
    </w:p>
    <w:p w:rsidR="002270BD" w:rsidRDefault="002270BD" w:rsidP="00D46C56">
      <w:pPr>
        <w:spacing w:line="480" w:lineRule="auto"/>
        <w:contextualSpacing/>
        <w:jc w:val="center"/>
        <w:rPr>
          <w:lang w:val="de-DE"/>
        </w:rPr>
      </w:pPr>
    </w:p>
    <w:p w:rsidR="00D46C56" w:rsidRDefault="00D46C56" w:rsidP="00D46C56">
      <w:pPr>
        <w:spacing w:line="480" w:lineRule="auto"/>
        <w:contextualSpacing/>
        <w:jc w:val="center"/>
        <w:rPr>
          <w:lang w:val="de-DE"/>
        </w:rPr>
      </w:pPr>
    </w:p>
    <w:p w:rsidR="00D46C56" w:rsidRDefault="00D46C56" w:rsidP="00D46C56">
      <w:pPr>
        <w:spacing w:line="480" w:lineRule="auto"/>
        <w:contextualSpacing/>
        <w:rPr>
          <w:lang w:val="de-DE"/>
        </w:rPr>
      </w:pPr>
    </w:p>
    <w:p w:rsidR="00D46C56" w:rsidRPr="005F5AF8" w:rsidRDefault="00D46C56" w:rsidP="00D46C56">
      <w:pPr>
        <w:spacing w:line="480" w:lineRule="auto"/>
        <w:contextualSpacing/>
        <w:jc w:val="center"/>
        <w:rPr>
          <w:lang w:val="de-DE"/>
        </w:rPr>
      </w:pPr>
    </w:p>
    <w:p w:rsidR="002270BD" w:rsidRDefault="002270BD" w:rsidP="00D46C56">
      <w:pPr>
        <w:spacing w:line="480" w:lineRule="auto"/>
        <w:contextualSpacing/>
        <w:jc w:val="center"/>
      </w:pPr>
      <w:r w:rsidRPr="002270BD">
        <w:rPr>
          <w:vertAlign w:val="superscript"/>
        </w:rPr>
        <w:t>1</w:t>
      </w:r>
      <w:r>
        <w:t>GEOMAR Helmholtz Centre for Ocean Research Kiel, Kiel, Germany.</w:t>
      </w:r>
    </w:p>
    <w:p w:rsidR="00D46C56" w:rsidRDefault="00D46C56" w:rsidP="00D46C56">
      <w:pPr>
        <w:spacing w:line="480" w:lineRule="auto"/>
        <w:contextualSpacing/>
        <w:jc w:val="center"/>
      </w:pPr>
    </w:p>
    <w:p w:rsidR="003077D2" w:rsidRDefault="002270BD" w:rsidP="00D46C56">
      <w:pPr>
        <w:spacing w:line="480" w:lineRule="auto"/>
        <w:contextualSpacing/>
        <w:jc w:val="center"/>
      </w:pPr>
      <w:r w:rsidRPr="002270BD">
        <w:rPr>
          <w:vertAlign w:val="superscript"/>
        </w:rPr>
        <w:t>2</w:t>
      </w:r>
      <w:r w:rsidR="003077D2">
        <w:t xml:space="preserve">Fraunhofer Institute for Chemical Technology, </w:t>
      </w:r>
      <w:proofErr w:type="spellStart"/>
      <w:r w:rsidR="00005C62">
        <w:t>Pfinztal</w:t>
      </w:r>
      <w:proofErr w:type="spellEnd"/>
      <w:r>
        <w:t>, Germany</w:t>
      </w:r>
      <w:r w:rsidR="003077D2" w:rsidRPr="00574492">
        <w:t>.</w:t>
      </w:r>
    </w:p>
    <w:p w:rsidR="003077D2" w:rsidRDefault="003077D2" w:rsidP="00D46C56">
      <w:pPr>
        <w:spacing w:line="480" w:lineRule="auto"/>
        <w:contextualSpacing/>
        <w:jc w:val="center"/>
      </w:pPr>
    </w:p>
    <w:p w:rsidR="003077D2" w:rsidRDefault="003077D2" w:rsidP="00D46C56">
      <w:pPr>
        <w:spacing w:line="480" w:lineRule="auto"/>
        <w:contextualSpacing/>
        <w:jc w:val="center"/>
      </w:pPr>
    </w:p>
    <w:p w:rsidR="00D46C56" w:rsidRDefault="00D46C56" w:rsidP="00D46C56">
      <w:pPr>
        <w:spacing w:line="480" w:lineRule="auto"/>
        <w:contextualSpacing/>
      </w:pPr>
    </w:p>
    <w:p w:rsidR="004C551F" w:rsidRDefault="004C551F" w:rsidP="00D46C56">
      <w:pPr>
        <w:spacing w:line="480" w:lineRule="auto"/>
        <w:contextualSpacing/>
      </w:pPr>
    </w:p>
    <w:p w:rsidR="004C551F" w:rsidRDefault="004C551F" w:rsidP="00D46C56">
      <w:pPr>
        <w:spacing w:line="480" w:lineRule="auto"/>
        <w:contextualSpacing/>
      </w:pPr>
    </w:p>
    <w:p w:rsidR="00D46C56" w:rsidRDefault="004C551F" w:rsidP="00D46C56">
      <w:pPr>
        <w:spacing w:line="480" w:lineRule="auto"/>
        <w:contextualSpacing/>
      </w:pPr>
      <w:r>
        <w:rPr>
          <w:vertAlign w:val="superscript"/>
        </w:rPr>
        <w:t>*</w:t>
      </w:r>
      <w:r w:rsidRPr="007819F9">
        <w:t>Correspond</w:t>
      </w:r>
      <w:r>
        <w:t>ing author</w:t>
      </w:r>
      <w:r w:rsidRPr="007819F9">
        <w:t>:  Kathleen Gosnell (</w:t>
      </w:r>
      <w:r w:rsidRPr="004C551F">
        <w:t>kgosnell@geomar.de</w:t>
      </w:r>
      <w:r>
        <w:t xml:space="preserve">; </w:t>
      </w:r>
      <w:r w:rsidRPr="007F65D8">
        <w:t>kati.gosnell@gmail.com</w:t>
      </w:r>
      <w:r>
        <w:t>)</w:t>
      </w:r>
    </w:p>
    <w:p w:rsidR="004C551F" w:rsidRDefault="004C551F" w:rsidP="00D46C56">
      <w:pPr>
        <w:spacing w:line="480" w:lineRule="auto"/>
        <w:contextualSpacing/>
      </w:pPr>
    </w:p>
    <w:p w:rsidR="00A75960" w:rsidRPr="00F27625" w:rsidRDefault="00675783" w:rsidP="00D46C56">
      <w:pPr>
        <w:spacing w:line="480" w:lineRule="auto"/>
        <w:contextualSpacing/>
        <w:rPr>
          <w:b/>
        </w:rPr>
      </w:pPr>
      <w:r w:rsidRPr="00F27625">
        <w:rPr>
          <w:b/>
        </w:rPr>
        <w:lastRenderedPageBreak/>
        <w:t>Abstract</w:t>
      </w:r>
    </w:p>
    <w:p w:rsidR="00675783" w:rsidRDefault="00675783" w:rsidP="00D46C56">
      <w:pPr>
        <w:spacing w:line="480" w:lineRule="auto"/>
        <w:contextualSpacing/>
      </w:pPr>
    </w:p>
    <w:p w:rsidR="00675783" w:rsidRDefault="00C22272" w:rsidP="004059B3">
      <w:pPr>
        <w:spacing w:line="480" w:lineRule="auto"/>
        <w:ind w:firstLine="720"/>
        <w:contextualSpacing/>
      </w:pPr>
      <w:r>
        <w:t>Mercury fulminate (</w:t>
      </w:r>
      <w:proofErr w:type="spellStart"/>
      <w:r>
        <w:t>HgFu</w:t>
      </w:r>
      <w:proofErr w:type="spellEnd"/>
      <w:r>
        <w:t xml:space="preserve">) was used as an initial detonator </w:t>
      </w:r>
      <w:r w:rsidR="00FE73AF">
        <w:t>for</w:t>
      </w:r>
      <w:r>
        <w:t xml:space="preserve"> World War I and II munitions</w:t>
      </w:r>
      <w:r w:rsidR="00E76440">
        <w:t>.  I</w:t>
      </w:r>
      <w:r>
        <w:t xml:space="preserve">ts presence in previously discarded and dumped munitions </w:t>
      </w:r>
      <w:r w:rsidR="0077214E">
        <w:t>could</w:t>
      </w:r>
      <w:r w:rsidR="00BA2579">
        <w:t xml:space="preserve"> potential</w:t>
      </w:r>
      <w:r w:rsidR="0077214E">
        <w:t>ly</w:t>
      </w:r>
      <w:r w:rsidR="00BA2579">
        <w:t xml:space="preserve"> </w:t>
      </w:r>
      <w:r w:rsidR="00AE3D26">
        <w:t xml:space="preserve">supply mercury </w:t>
      </w:r>
      <w:r>
        <w:t>pollution in</w:t>
      </w:r>
      <w:r w:rsidR="00AE3D26">
        <w:t xml:space="preserve">to coastal </w:t>
      </w:r>
      <w:r w:rsidR="00672590">
        <w:t>ecosystems</w:t>
      </w:r>
      <w:r>
        <w:t xml:space="preserve"> where bygone </w:t>
      </w:r>
      <w:r w:rsidR="00844983">
        <w:t xml:space="preserve">weaponries </w:t>
      </w:r>
      <w:r>
        <w:t>reside</w:t>
      </w:r>
      <w:r w:rsidR="00AE3D26">
        <w:t xml:space="preserve">.  </w:t>
      </w:r>
      <w:r w:rsidR="008319BE">
        <w:t>There is evidence that historical munitions have already contributed mercury pollution in coastal environments</w:t>
      </w:r>
      <w:r w:rsidR="005901B1">
        <w:t>, and m</w:t>
      </w:r>
      <w:r w:rsidR="008319BE">
        <w:t xml:space="preserve">illions remain embedded in sediments and subjected to further weakening via corrosion under environmental conditions.  </w:t>
      </w:r>
      <w:r w:rsidR="00FE73AF">
        <w:t>E</w:t>
      </w:r>
      <w:r w:rsidR="0077214E">
        <w:t xml:space="preserve">xperiments </w:t>
      </w:r>
      <w:r w:rsidR="00FE73AF">
        <w:t xml:space="preserve">were undertaken </w:t>
      </w:r>
      <w:r w:rsidR="00056B86">
        <w:t>assess</w:t>
      </w:r>
      <w:r w:rsidR="00E76440">
        <w:t>ing</w:t>
      </w:r>
      <w:r w:rsidR="00056B86">
        <w:t xml:space="preserve"> </w:t>
      </w:r>
      <w:proofErr w:type="spellStart"/>
      <w:r w:rsidR="00056B86">
        <w:t>HgFu</w:t>
      </w:r>
      <w:proofErr w:type="spellEnd"/>
      <w:r w:rsidR="00056B86">
        <w:t xml:space="preserve"> </w:t>
      </w:r>
      <w:r w:rsidR="0077214E">
        <w:t xml:space="preserve">dissolution </w:t>
      </w:r>
      <w:r w:rsidR="00056B86">
        <w:t>under</w:t>
      </w:r>
      <w:r w:rsidR="00AE3D26">
        <w:t xml:space="preserve"> varying temperature and salinity</w:t>
      </w:r>
      <w:r w:rsidR="00CA04F6">
        <w:t xml:space="preserve"> conditions</w:t>
      </w:r>
      <w:r w:rsidR="00056B86">
        <w:t xml:space="preserve"> to </w:t>
      </w:r>
      <w:r w:rsidR="00CA04F6">
        <w:t>constrain</w:t>
      </w:r>
      <w:r w:rsidR="00056B86">
        <w:t xml:space="preserve"> controls on </w:t>
      </w:r>
      <w:r w:rsidR="0077214E">
        <w:t>mercury</w:t>
      </w:r>
      <w:r w:rsidR="00056B86">
        <w:t xml:space="preserve"> release into marine environment</w:t>
      </w:r>
      <w:r>
        <w:t>s</w:t>
      </w:r>
      <w:r w:rsidR="00AE3D26">
        <w:t xml:space="preserve">.  </w:t>
      </w:r>
      <w:r>
        <w:t>Our</w:t>
      </w:r>
      <w:r w:rsidR="00774C55">
        <w:t xml:space="preserve"> results </w:t>
      </w:r>
      <w:r w:rsidR="00056B86">
        <w:t>show</w:t>
      </w:r>
      <w:r w:rsidR="00774C55">
        <w:t xml:space="preserve"> that </w:t>
      </w:r>
      <w:proofErr w:type="spellStart"/>
      <w:r w:rsidR="00056B86">
        <w:t>HgFu</w:t>
      </w:r>
      <w:proofErr w:type="spellEnd"/>
      <w:r w:rsidR="00056B86">
        <w:t xml:space="preserve"> </w:t>
      </w:r>
      <w:r w:rsidR="003338C2">
        <w:t xml:space="preserve">discharge </w:t>
      </w:r>
      <w:r w:rsidR="00056B86">
        <w:t>is strongly temperature dependent, with dissolution rate constant</w:t>
      </w:r>
      <w:r w:rsidR="003338C2">
        <w:t>s</w:t>
      </w:r>
      <w:r w:rsidR="00056B86">
        <w:t xml:space="preserve"> increasing from ~0.</w:t>
      </w:r>
      <w:r w:rsidR="00A97B1F">
        <w:t>4</w:t>
      </w:r>
      <w:r w:rsidR="00056B86">
        <w:t xml:space="preserve"> </w:t>
      </w:r>
      <w:r w:rsidR="00A97B1F">
        <w:t>mg cm</w:t>
      </w:r>
      <w:r w:rsidR="00A97B1F" w:rsidRPr="00C04569">
        <w:rPr>
          <w:vertAlign w:val="superscript"/>
        </w:rPr>
        <w:t>-2</w:t>
      </w:r>
      <w:r w:rsidR="00A97B1F">
        <w:t xml:space="preserve"> d</w:t>
      </w:r>
      <w:r w:rsidR="00A97B1F" w:rsidRPr="00C04569">
        <w:rPr>
          <w:vertAlign w:val="superscript"/>
        </w:rPr>
        <w:t>-1</w:t>
      </w:r>
      <w:r w:rsidR="00A97B1F">
        <w:t xml:space="preserve"> </w:t>
      </w:r>
      <w:r w:rsidR="00056B86">
        <w:t>at 5</w:t>
      </w:r>
      <w:r w:rsidR="00056B86" w:rsidRPr="00056B86">
        <w:rPr>
          <w:vertAlign w:val="superscript"/>
        </w:rPr>
        <w:t>o</w:t>
      </w:r>
      <w:r w:rsidR="00056B86">
        <w:t>C to ~</w:t>
      </w:r>
      <w:r w:rsidR="00A97B1F">
        <w:t>2</w:t>
      </w:r>
      <w:r w:rsidR="00056B86">
        <w:t>.</w:t>
      </w:r>
      <w:r w:rsidR="00A97B1F">
        <w:t>7</w:t>
      </w:r>
      <w:r w:rsidR="00056B86">
        <w:t xml:space="preserve"> </w:t>
      </w:r>
      <w:r w:rsidR="00A97B1F">
        <w:t>mg cm</w:t>
      </w:r>
      <w:r w:rsidR="00A97B1F" w:rsidRPr="00C04569">
        <w:rPr>
          <w:vertAlign w:val="superscript"/>
        </w:rPr>
        <w:t>-2</w:t>
      </w:r>
      <w:r w:rsidR="00A97B1F">
        <w:t xml:space="preserve"> d</w:t>
      </w:r>
      <w:r w:rsidR="00A97B1F" w:rsidRPr="00C04569">
        <w:rPr>
          <w:vertAlign w:val="superscript"/>
        </w:rPr>
        <w:t>-1</w:t>
      </w:r>
      <w:r w:rsidR="00A97B1F">
        <w:t xml:space="preserve"> </w:t>
      </w:r>
      <w:r w:rsidR="00056B86">
        <w:t>at 30</w:t>
      </w:r>
      <w:r w:rsidR="00056B86" w:rsidRPr="00056B86">
        <w:rPr>
          <w:vertAlign w:val="superscript"/>
        </w:rPr>
        <w:t>o</w:t>
      </w:r>
      <w:r w:rsidR="00056B86">
        <w:t xml:space="preserve">C.  </w:t>
      </w:r>
      <w:r w:rsidR="00E76440">
        <w:t>No</w:t>
      </w:r>
      <w:r w:rsidR="00056B86">
        <w:t xml:space="preserve"> significant difference</w:t>
      </w:r>
      <w:r w:rsidR="0077214E">
        <w:t xml:space="preserve">s </w:t>
      </w:r>
      <w:r w:rsidR="00056B86">
        <w:t>w</w:t>
      </w:r>
      <w:r w:rsidR="003338C2">
        <w:t>ere</w:t>
      </w:r>
      <w:r w:rsidR="00056B86">
        <w:t xml:space="preserve"> observed between freshwater and seawater</w:t>
      </w:r>
      <w:r w:rsidR="00641277">
        <w:t>s up to</w:t>
      </w:r>
      <w:r w:rsidR="00056B86">
        <w:t xml:space="preserve"> 36 </w:t>
      </w:r>
      <w:proofErr w:type="spellStart"/>
      <w:r w:rsidR="00056B86">
        <w:t>psu</w:t>
      </w:r>
      <w:proofErr w:type="spellEnd"/>
      <w:r w:rsidR="00606C16">
        <w:t xml:space="preserve">, except at </w:t>
      </w:r>
      <w:r w:rsidR="00E76440">
        <w:t>5</w:t>
      </w:r>
      <w:r w:rsidR="00E76440" w:rsidRPr="002829BA">
        <w:rPr>
          <w:vertAlign w:val="superscript"/>
        </w:rPr>
        <w:t>o</w:t>
      </w:r>
      <w:r w:rsidR="00E76440">
        <w:t>C</w:t>
      </w:r>
      <w:r w:rsidR="00056B86">
        <w:t xml:space="preserve">.  </w:t>
      </w:r>
      <w:r w:rsidR="00CA04F6">
        <w:t>These</w:t>
      </w:r>
      <w:r w:rsidR="006621A5">
        <w:t xml:space="preserve"> </w:t>
      </w:r>
      <w:r w:rsidR="00AE3D26">
        <w:t xml:space="preserve">experiments </w:t>
      </w:r>
      <w:r w:rsidR="00642798">
        <w:t>provi</w:t>
      </w:r>
      <w:r w:rsidR="006621A5">
        <w:t xml:space="preserve">de </w:t>
      </w:r>
      <w:r w:rsidR="002711E7">
        <w:t xml:space="preserve">a </w:t>
      </w:r>
      <w:r w:rsidR="006621A5">
        <w:t xml:space="preserve">basis </w:t>
      </w:r>
      <w:r w:rsidR="00BA2579">
        <w:t>for</w:t>
      </w:r>
      <w:r w:rsidR="00AE3D26">
        <w:t xml:space="preserve"> modeling </w:t>
      </w:r>
      <w:proofErr w:type="spellStart"/>
      <w:r w:rsidR="007C1E1D">
        <w:t>HgFu</w:t>
      </w:r>
      <w:proofErr w:type="spellEnd"/>
      <w:r w:rsidR="00AE3D26">
        <w:t xml:space="preserve"> </w:t>
      </w:r>
      <w:r w:rsidR="006621A5">
        <w:t xml:space="preserve">release from underwater munitions and </w:t>
      </w:r>
      <w:r w:rsidR="002711E7">
        <w:t>its</w:t>
      </w:r>
      <w:r w:rsidR="00CA04F6">
        <w:t xml:space="preserve"> </w:t>
      </w:r>
      <w:r w:rsidR="00672590">
        <w:t>dynamics</w:t>
      </w:r>
      <w:r w:rsidR="00E44172">
        <w:t xml:space="preserve"> in coastal environments</w:t>
      </w:r>
      <w:r w:rsidR="00AE3D26">
        <w:t xml:space="preserve">.  </w:t>
      </w:r>
    </w:p>
    <w:p w:rsidR="00C22272" w:rsidRDefault="00C22272" w:rsidP="004059B3">
      <w:pPr>
        <w:spacing w:line="480" w:lineRule="auto"/>
        <w:ind w:firstLine="720"/>
        <w:contextualSpacing/>
      </w:pPr>
    </w:p>
    <w:p w:rsidR="003338C2" w:rsidRDefault="003338C2" w:rsidP="004059B3">
      <w:pPr>
        <w:spacing w:line="480" w:lineRule="auto"/>
        <w:ind w:firstLine="720"/>
        <w:contextualSpacing/>
      </w:pPr>
    </w:p>
    <w:p w:rsidR="003338C2" w:rsidRDefault="003338C2" w:rsidP="004059B3">
      <w:pPr>
        <w:spacing w:line="480" w:lineRule="auto"/>
        <w:ind w:firstLine="720"/>
        <w:contextualSpacing/>
      </w:pPr>
    </w:p>
    <w:p w:rsidR="003338C2" w:rsidRDefault="003338C2" w:rsidP="004059B3">
      <w:pPr>
        <w:spacing w:line="480" w:lineRule="auto"/>
        <w:ind w:firstLine="720"/>
        <w:contextualSpacing/>
      </w:pPr>
    </w:p>
    <w:p w:rsidR="003338C2" w:rsidRDefault="003338C2" w:rsidP="004059B3">
      <w:pPr>
        <w:spacing w:line="480" w:lineRule="auto"/>
        <w:ind w:firstLine="720"/>
        <w:contextualSpacing/>
      </w:pPr>
    </w:p>
    <w:p w:rsidR="003338C2" w:rsidRDefault="003338C2" w:rsidP="004059B3">
      <w:pPr>
        <w:spacing w:line="480" w:lineRule="auto"/>
        <w:ind w:firstLine="720"/>
        <w:contextualSpacing/>
      </w:pPr>
    </w:p>
    <w:p w:rsidR="003338C2" w:rsidRDefault="003338C2" w:rsidP="004059B3">
      <w:pPr>
        <w:spacing w:line="480" w:lineRule="auto"/>
        <w:ind w:firstLine="720"/>
        <w:contextualSpacing/>
      </w:pPr>
    </w:p>
    <w:p w:rsidR="003338C2" w:rsidRDefault="003338C2" w:rsidP="004059B3">
      <w:pPr>
        <w:spacing w:line="480" w:lineRule="auto"/>
        <w:ind w:firstLine="720"/>
        <w:contextualSpacing/>
      </w:pPr>
    </w:p>
    <w:p w:rsidR="0081768B" w:rsidRDefault="00544DA8" w:rsidP="008E7E10">
      <w:pPr>
        <w:spacing w:line="480" w:lineRule="auto"/>
        <w:contextualSpacing/>
      </w:pPr>
      <w:r w:rsidRPr="00544DA8">
        <w:rPr>
          <w:b/>
        </w:rPr>
        <w:t>Keywords:</w:t>
      </w:r>
      <w:r>
        <w:t xml:space="preserve">  Mercury fulminate, munitions, dissolution</w:t>
      </w:r>
      <w:r w:rsidR="00456462">
        <w:t xml:space="preserve"> rates</w:t>
      </w:r>
      <w:r w:rsidR="0095322B">
        <w:t>, temperature, salinity</w:t>
      </w:r>
    </w:p>
    <w:p w:rsidR="00D46C56" w:rsidRDefault="00D46C56" w:rsidP="008E7E10">
      <w:pPr>
        <w:spacing w:line="480" w:lineRule="auto"/>
        <w:contextualSpacing/>
      </w:pPr>
    </w:p>
    <w:p w:rsidR="00A6158E" w:rsidRDefault="003077D2" w:rsidP="008E7E10">
      <w:pPr>
        <w:spacing w:line="480" w:lineRule="auto"/>
        <w:contextualSpacing/>
        <w:rPr>
          <w:b/>
        </w:rPr>
      </w:pPr>
      <w:r w:rsidRPr="00F27625">
        <w:rPr>
          <w:b/>
        </w:rPr>
        <w:lastRenderedPageBreak/>
        <w:t>Introduction</w:t>
      </w:r>
    </w:p>
    <w:p w:rsidR="0079468B" w:rsidRPr="002C40E9" w:rsidRDefault="0079468B" w:rsidP="008E7E10">
      <w:pPr>
        <w:spacing w:line="480" w:lineRule="auto"/>
        <w:contextualSpacing/>
        <w:rPr>
          <w:b/>
        </w:rPr>
      </w:pPr>
    </w:p>
    <w:p w:rsidR="00B90E5C" w:rsidRDefault="00A6158E" w:rsidP="008E7E10">
      <w:pPr>
        <w:spacing w:line="480" w:lineRule="auto"/>
        <w:ind w:firstLine="720"/>
        <w:contextualSpacing/>
      </w:pPr>
      <w:r>
        <w:t xml:space="preserve">Mercury </w:t>
      </w:r>
      <w:r w:rsidR="00E44172">
        <w:t>f</w:t>
      </w:r>
      <w:r>
        <w:t>ulminate (</w:t>
      </w:r>
      <w:proofErr w:type="spellStart"/>
      <w:r w:rsidR="007C1E1D">
        <w:t>HgFu</w:t>
      </w:r>
      <w:proofErr w:type="spellEnd"/>
      <w:r w:rsidR="00B90E5C">
        <w:t xml:space="preserve">; </w:t>
      </w:r>
      <w:proofErr w:type="gramStart"/>
      <w:r w:rsidR="00B90E5C">
        <w:t>Hg(</w:t>
      </w:r>
      <w:proofErr w:type="gramEnd"/>
      <w:r w:rsidR="00B90E5C">
        <w:t>CNO)</w:t>
      </w:r>
      <w:r w:rsidR="00B90E5C" w:rsidRPr="00086FAD">
        <w:rPr>
          <w:vertAlign w:val="subscript"/>
        </w:rPr>
        <w:t>2</w:t>
      </w:r>
      <w:r>
        <w:t xml:space="preserve">) was discovered by alchemists in the second half of the seventeenth century, likely by treating mercury </w:t>
      </w:r>
      <w:r w:rsidR="00AC5F9A">
        <w:t xml:space="preserve">(Hg) </w:t>
      </w:r>
      <w:r>
        <w:t xml:space="preserve">with nitric acid and alcohol under the ancient quest to transform </w:t>
      </w:r>
      <w:r w:rsidR="00AC5F9A">
        <w:t>Hg</w:t>
      </w:r>
      <w:r>
        <w:t xml:space="preserve"> into gold.  </w:t>
      </w:r>
      <w:r w:rsidR="00286A6A">
        <w:t xml:space="preserve">The devised </w:t>
      </w:r>
      <w:proofErr w:type="spellStart"/>
      <w:r w:rsidR="007C1E1D">
        <w:t>HgFu</w:t>
      </w:r>
      <w:proofErr w:type="spellEnd"/>
      <w:r w:rsidR="00286A6A">
        <w:t xml:space="preserve"> crystals are</w:t>
      </w:r>
      <w:r w:rsidR="00174EF9">
        <w:t xml:space="preserve"> stable</w:t>
      </w:r>
      <w:r w:rsidR="00286A6A">
        <w:t xml:space="preserve">, </w:t>
      </w:r>
      <w:r w:rsidR="00675783">
        <w:t xml:space="preserve">non-corrosive, </w:t>
      </w:r>
      <w:r w:rsidR="00286A6A">
        <w:t xml:space="preserve">and endothermic, </w:t>
      </w:r>
      <w:r w:rsidR="000E4719">
        <w:t>but</w:t>
      </w:r>
      <w:r w:rsidR="003913D6">
        <w:t xml:space="preserve"> </w:t>
      </w:r>
      <w:r w:rsidR="00286A6A">
        <w:t xml:space="preserve">also </w:t>
      </w:r>
      <w:r w:rsidR="003913D6">
        <w:t>highly</w:t>
      </w:r>
      <w:r w:rsidR="00675783">
        <w:t xml:space="preserve"> responsive to friction, heat and shock.  </w:t>
      </w:r>
      <w:r>
        <w:t xml:space="preserve">The original alchemists </w:t>
      </w:r>
      <w:r w:rsidR="00DA3411">
        <w:t>had</w:t>
      </w:r>
      <w:r>
        <w:t xml:space="preserve"> no </w:t>
      </w:r>
      <w:r w:rsidR="00D043FE">
        <w:t xml:space="preserve">purpose </w:t>
      </w:r>
      <w:r>
        <w:t xml:space="preserve">for </w:t>
      </w:r>
      <w:r w:rsidR="00286A6A">
        <w:t>the resulting</w:t>
      </w:r>
      <w:r w:rsidR="009552E9">
        <w:t xml:space="preserve"> toxic and</w:t>
      </w:r>
      <w:r>
        <w:t xml:space="preserve"> explosive material, </w:t>
      </w:r>
      <w:r w:rsidR="002270BD">
        <w:t xml:space="preserve">but </w:t>
      </w:r>
      <w:r>
        <w:t xml:space="preserve">it eventually found broad use in military applications, and became a preferred </w:t>
      </w:r>
      <w:r w:rsidR="00B90E5C">
        <w:t xml:space="preserve">primary </w:t>
      </w:r>
      <w:r w:rsidR="004059B3">
        <w:t xml:space="preserve">explosive for </w:t>
      </w:r>
      <w:proofErr w:type="spellStart"/>
      <w:r w:rsidR="00286A6A">
        <w:t>fu</w:t>
      </w:r>
      <w:r w:rsidR="004059B3">
        <w:t>z</w:t>
      </w:r>
      <w:r w:rsidR="00286A6A">
        <w:t>e</w:t>
      </w:r>
      <w:r w:rsidR="004059B3">
        <w:t>s</w:t>
      </w:r>
      <w:proofErr w:type="spellEnd"/>
      <w:r>
        <w:t xml:space="preserve"> </w:t>
      </w:r>
      <w:r w:rsidR="004059B3">
        <w:t>in</w:t>
      </w:r>
      <w:r w:rsidR="00B90E5C">
        <w:t xml:space="preserve"> ancient and modern weaponry. </w:t>
      </w:r>
    </w:p>
    <w:p w:rsidR="00E40C9D" w:rsidRDefault="00E40C9D" w:rsidP="008E7E10">
      <w:pPr>
        <w:spacing w:line="480" w:lineRule="auto"/>
        <w:ind w:firstLine="720"/>
        <w:contextualSpacing/>
      </w:pPr>
      <w:r>
        <w:rPr>
          <w:color w:val="212438"/>
          <w:shd w:val="clear" w:color="auto" w:fill="FFFFFF"/>
        </w:rPr>
        <w:t xml:space="preserve">Alfred Nobel </w:t>
      </w:r>
      <w:r w:rsidR="005038CE">
        <w:rPr>
          <w:color w:val="212438"/>
          <w:shd w:val="clear" w:color="auto" w:fill="FFFFFF"/>
        </w:rPr>
        <w:t>was credited as</w:t>
      </w:r>
      <w:r w:rsidR="00FC4CC7">
        <w:rPr>
          <w:color w:val="212438"/>
          <w:shd w:val="clear" w:color="auto" w:fill="FFFFFF"/>
        </w:rPr>
        <w:t xml:space="preserve"> being</w:t>
      </w:r>
      <w:r w:rsidR="005038CE">
        <w:rPr>
          <w:color w:val="212438"/>
          <w:shd w:val="clear" w:color="auto" w:fill="FFFFFF"/>
        </w:rPr>
        <w:t xml:space="preserve"> the </w:t>
      </w:r>
      <w:r>
        <w:rPr>
          <w:color w:val="212438"/>
          <w:shd w:val="clear" w:color="auto" w:fill="FFFFFF"/>
        </w:rPr>
        <w:t xml:space="preserve">first </w:t>
      </w:r>
      <w:r w:rsidR="005038CE">
        <w:rPr>
          <w:color w:val="212438"/>
          <w:shd w:val="clear" w:color="auto" w:fill="FFFFFF"/>
        </w:rPr>
        <w:t xml:space="preserve">to </w:t>
      </w:r>
      <w:r>
        <w:rPr>
          <w:color w:val="212438"/>
          <w:shd w:val="clear" w:color="auto" w:fill="FFFFFF"/>
        </w:rPr>
        <w:t xml:space="preserve">put </w:t>
      </w:r>
      <w:proofErr w:type="spellStart"/>
      <w:r w:rsidR="007C1E1D">
        <w:rPr>
          <w:color w:val="212438"/>
          <w:shd w:val="clear" w:color="auto" w:fill="FFFFFF"/>
        </w:rPr>
        <w:t>HgFu</w:t>
      </w:r>
      <w:proofErr w:type="spellEnd"/>
      <w:r>
        <w:rPr>
          <w:color w:val="212438"/>
          <w:shd w:val="clear" w:color="auto" w:fill="FFFFFF"/>
        </w:rPr>
        <w:t xml:space="preserve"> into blasting caps for dynamite detonation, which </w:t>
      </w:r>
      <w:r w:rsidR="005038CE">
        <w:rPr>
          <w:color w:val="212438"/>
          <w:shd w:val="clear" w:color="auto" w:fill="FFFFFF"/>
        </w:rPr>
        <w:t>in turn</w:t>
      </w:r>
      <w:r>
        <w:rPr>
          <w:color w:val="212438"/>
          <w:shd w:val="clear" w:color="auto" w:fill="FFFFFF"/>
        </w:rPr>
        <w:t xml:space="preserve"> </w:t>
      </w:r>
      <w:r w:rsidR="00D34529">
        <w:rPr>
          <w:color w:val="212438"/>
          <w:shd w:val="clear" w:color="auto" w:fill="FFFFFF"/>
        </w:rPr>
        <w:t>contributed to</w:t>
      </w:r>
      <w:r>
        <w:rPr>
          <w:color w:val="212438"/>
          <w:shd w:val="clear" w:color="auto" w:fill="FFFFFF"/>
        </w:rPr>
        <w:t xml:space="preserve"> </w:t>
      </w:r>
      <w:r w:rsidR="00D34529">
        <w:rPr>
          <w:color w:val="212438"/>
          <w:shd w:val="clear" w:color="auto" w:fill="FFFFFF"/>
        </w:rPr>
        <w:t>its</w:t>
      </w:r>
      <w:r>
        <w:rPr>
          <w:color w:val="212438"/>
          <w:shd w:val="clear" w:color="auto" w:fill="FFFFFF"/>
        </w:rPr>
        <w:t xml:space="preserve"> </w:t>
      </w:r>
      <w:r w:rsidR="002270BD">
        <w:rPr>
          <w:color w:val="212438"/>
          <w:shd w:val="clear" w:color="auto" w:fill="FFFFFF"/>
        </w:rPr>
        <w:t>widespread use</w:t>
      </w:r>
      <w:r>
        <w:rPr>
          <w:color w:val="212438"/>
          <w:shd w:val="clear" w:color="auto" w:fill="FFFFFF"/>
        </w:rPr>
        <w:t xml:space="preserve"> </w:t>
      </w:r>
      <w:r w:rsidR="00D34529">
        <w:rPr>
          <w:color w:val="212438"/>
          <w:shd w:val="clear" w:color="auto" w:fill="FFFFFF"/>
        </w:rPr>
        <w:t>in mining</w:t>
      </w:r>
      <w:r w:rsidR="003077D2">
        <w:rPr>
          <w:color w:val="212438"/>
          <w:shd w:val="clear" w:color="auto" w:fill="FFFFFF"/>
        </w:rPr>
        <w:t xml:space="preserve">, </w:t>
      </w:r>
      <w:r w:rsidR="00D34529">
        <w:rPr>
          <w:color w:val="212438"/>
          <w:shd w:val="clear" w:color="auto" w:fill="FFFFFF"/>
        </w:rPr>
        <w:t>demolition</w:t>
      </w:r>
      <w:r w:rsidR="003077D2">
        <w:rPr>
          <w:color w:val="212438"/>
          <w:shd w:val="clear" w:color="auto" w:fill="FFFFFF"/>
        </w:rPr>
        <w:t xml:space="preserve"> and </w:t>
      </w:r>
      <w:r w:rsidR="00D84FC8">
        <w:rPr>
          <w:color w:val="212438"/>
          <w:shd w:val="clear" w:color="auto" w:fill="FFFFFF"/>
        </w:rPr>
        <w:t>eventually</w:t>
      </w:r>
      <w:r w:rsidR="003077D2">
        <w:rPr>
          <w:color w:val="212438"/>
          <w:shd w:val="clear" w:color="auto" w:fill="FFFFFF"/>
        </w:rPr>
        <w:t xml:space="preserve"> as a</w:t>
      </w:r>
      <w:r w:rsidR="005038CE">
        <w:rPr>
          <w:color w:val="212438"/>
          <w:shd w:val="clear" w:color="auto" w:fill="FFFFFF"/>
        </w:rPr>
        <w:t>n ignition</w:t>
      </w:r>
      <w:r w:rsidR="003077D2">
        <w:rPr>
          <w:color w:val="212438"/>
          <w:shd w:val="clear" w:color="auto" w:fill="FFFFFF"/>
        </w:rPr>
        <w:t xml:space="preserve"> trigger </w:t>
      </w:r>
      <w:r w:rsidR="005038CE">
        <w:rPr>
          <w:color w:val="212438"/>
          <w:shd w:val="clear" w:color="auto" w:fill="FFFFFF"/>
        </w:rPr>
        <w:t>for</w:t>
      </w:r>
      <w:r w:rsidR="003077D2">
        <w:rPr>
          <w:color w:val="212438"/>
          <w:shd w:val="clear" w:color="auto" w:fill="FFFFFF"/>
        </w:rPr>
        <w:t xml:space="preserve"> </w:t>
      </w:r>
      <w:r w:rsidR="00CA106A">
        <w:rPr>
          <w:color w:val="212438"/>
          <w:shd w:val="clear" w:color="auto" w:fill="FFFFFF"/>
        </w:rPr>
        <w:t>bombs</w:t>
      </w:r>
      <w:r>
        <w:rPr>
          <w:color w:val="212438"/>
          <w:shd w:val="clear" w:color="auto" w:fill="FFFFFF"/>
        </w:rPr>
        <w:t xml:space="preserve">.  </w:t>
      </w:r>
      <w:r w:rsidR="00DE15EF">
        <w:t>M</w:t>
      </w:r>
      <w:r w:rsidR="005038CE" w:rsidRPr="00574492">
        <w:t>unition</w:t>
      </w:r>
      <w:r w:rsidR="00DE15EF">
        <w:t>s</w:t>
      </w:r>
      <w:r w:rsidR="00571F7C">
        <w:t xml:space="preserve"> </w:t>
      </w:r>
      <w:r w:rsidR="005038CE">
        <w:t>including</w:t>
      </w:r>
      <w:r w:rsidR="005038CE" w:rsidRPr="00574492">
        <w:t xml:space="preserve"> anti-aircraft grenades, </w:t>
      </w:r>
      <w:r w:rsidR="003913D6">
        <w:t xml:space="preserve">mines and torpedoes, </w:t>
      </w:r>
      <w:r w:rsidR="005038CE" w:rsidRPr="00574492">
        <w:t>w</w:t>
      </w:r>
      <w:r w:rsidR="003913D6">
        <w:t>ere</w:t>
      </w:r>
      <w:r w:rsidR="005038CE" w:rsidRPr="00574492">
        <w:t xml:space="preserve"> used extensively during </w:t>
      </w:r>
      <w:r w:rsidR="003913D6">
        <w:t xml:space="preserve">World War I (WWI) and </w:t>
      </w:r>
      <w:r w:rsidR="005038CE" w:rsidRPr="00574492">
        <w:t>World War</w:t>
      </w:r>
      <w:r w:rsidR="005038CE">
        <w:t xml:space="preserve"> II</w:t>
      </w:r>
      <w:r w:rsidR="005E31F8">
        <w:t xml:space="preserve"> (WWII)</w:t>
      </w:r>
      <w:r w:rsidR="005038CE">
        <w:t xml:space="preserve">.  </w:t>
      </w:r>
      <w:r w:rsidR="003913D6">
        <w:t xml:space="preserve">During </w:t>
      </w:r>
      <w:r w:rsidR="00E44172">
        <w:t>this period in the early 20</w:t>
      </w:r>
      <w:r w:rsidR="00E44172" w:rsidRPr="00E44172">
        <w:rPr>
          <w:vertAlign w:val="superscript"/>
        </w:rPr>
        <w:t>th</w:t>
      </w:r>
      <w:r w:rsidR="00E44172">
        <w:t xml:space="preserve"> century</w:t>
      </w:r>
      <w:r w:rsidR="003913D6">
        <w:t xml:space="preserve"> t</w:t>
      </w:r>
      <w:r w:rsidR="00675783">
        <w:t xml:space="preserve">he annual production of </w:t>
      </w:r>
      <w:proofErr w:type="spellStart"/>
      <w:r w:rsidR="007C1E1D">
        <w:t>HgFu</w:t>
      </w:r>
      <w:proofErr w:type="spellEnd"/>
      <w:r w:rsidR="00675783">
        <w:t xml:space="preserve"> in Germany reached ~100,000 </w:t>
      </w:r>
      <w:r w:rsidR="002270BD">
        <w:t>k</w:t>
      </w:r>
      <w:r w:rsidR="00675783">
        <w:t xml:space="preserve">g </w:t>
      </w:r>
      <w:r w:rsidR="000E4719">
        <w:t xml:space="preserve">during the war periods </w:t>
      </w:r>
      <w:r w:rsidR="00675783">
        <w:t>(</w:t>
      </w:r>
      <w:proofErr w:type="spellStart"/>
      <w:r w:rsidR="005F5AF8">
        <w:t>Kurzer</w:t>
      </w:r>
      <w:proofErr w:type="spellEnd"/>
      <w:r w:rsidR="005F5AF8">
        <w:t xml:space="preserve">, 2000; </w:t>
      </w:r>
      <w:r w:rsidR="00112D23">
        <w:t xml:space="preserve">Matyas and </w:t>
      </w:r>
      <w:proofErr w:type="spellStart"/>
      <w:r w:rsidR="00112D23">
        <w:t>Pachman</w:t>
      </w:r>
      <w:proofErr w:type="spellEnd"/>
      <w:r w:rsidR="00112D23">
        <w:t>, 2013</w:t>
      </w:r>
      <w:r w:rsidR="00675783">
        <w:t xml:space="preserve">).  </w:t>
      </w:r>
      <w:r w:rsidR="00CA0B49">
        <w:t>Some 20-30%</w:t>
      </w:r>
      <w:r w:rsidR="005F5AF8">
        <w:t xml:space="preserve"> </w:t>
      </w:r>
      <w:r w:rsidR="002270BD">
        <w:t>of the munition</w:t>
      </w:r>
      <w:r w:rsidR="00DE15EF">
        <w:t>s</w:t>
      </w:r>
      <w:r w:rsidR="002270BD">
        <w:t xml:space="preserve"> deployed during the </w:t>
      </w:r>
      <w:r w:rsidR="00E44172">
        <w:t>WWs</w:t>
      </w:r>
      <w:r w:rsidR="002270BD">
        <w:t xml:space="preserve"> did not explode</w:t>
      </w:r>
      <w:r w:rsidR="00CA0B49">
        <w:t xml:space="preserve"> (</w:t>
      </w:r>
      <w:r w:rsidR="000E544D">
        <w:t>Demining</w:t>
      </w:r>
      <w:r w:rsidR="00CA0B49">
        <w:t>, 2016)</w:t>
      </w:r>
      <w:r w:rsidR="000E4719">
        <w:t>.  S</w:t>
      </w:r>
      <w:r w:rsidR="00CA0B49">
        <w:t>hipwrecks with munition cargo</w:t>
      </w:r>
      <w:r w:rsidR="000E4719">
        <w:t>,</w:t>
      </w:r>
      <w:r w:rsidR="00CA0B49">
        <w:t xml:space="preserve"> and intentional jettisoning of munition</w:t>
      </w:r>
      <w:r w:rsidR="00DE15EF">
        <w:t>s</w:t>
      </w:r>
      <w:r w:rsidR="00CA0B49">
        <w:t xml:space="preserve"> during wartime</w:t>
      </w:r>
      <w:r w:rsidR="000E4719">
        <w:t xml:space="preserve"> further added </w:t>
      </w:r>
      <w:r w:rsidR="002270BD">
        <w:t xml:space="preserve">unexploded ordnance (UXO) </w:t>
      </w:r>
      <w:r w:rsidR="000E4719">
        <w:t>to</w:t>
      </w:r>
      <w:r w:rsidR="002270BD">
        <w:t xml:space="preserve"> coastal waters.  </w:t>
      </w:r>
      <w:r w:rsidR="000E4719">
        <w:t>Moreover</w:t>
      </w:r>
      <w:r w:rsidR="002270BD">
        <w:t xml:space="preserve">, after </w:t>
      </w:r>
      <w:r w:rsidR="005038CE">
        <w:t xml:space="preserve">the surrender of </w:t>
      </w:r>
      <w:r w:rsidR="000E4719">
        <w:t xml:space="preserve">the </w:t>
      </w:r>
      <w:r w:rsidR="00571F7C">
        <w:t>A</w:t>
      </w:r>
      <w:r w:rsidR="005038CE">
        <w:t>xis powers</w:t>
      </w:r>
      <w:r w:rsidR="000E4719">
        <w:t xml:space="preserve"> </w:t>
      </w:r>
      <w:r w:rsidR="009E52CA">
        <w:t>concluding</w:t>
      </w:r>
      <w:r w:rsidR="000E4719">
        <w:t xml:space="preserve"> WWII</w:t>
      </w:r>
      <w:r w:rsidR="005038CE">
        <w:t>,</w:t>
      </w:r>
      <w:r w:rsidR="005038CE" w:rsidRPr="00574492">
        <w:t xml:space="preserve"> large quantities </w:t>
      </w:r>
      <w:r w:rsidR="005038CE">
        <w:t xml:space="preserve">of munitions were deposited </w:t>
      </w:r>
      <w:r w:rsidR="005038CE" w:rsidRPr="00574492">
        <w:t xml:space="preserve">in the coastal </w:t>
      </w:r>
      <w:r w:rsidR="00E04860">
        <w:t xml:space="preserve">North and </w:t>
      </w:r>
      <w:r w:rsidR="005038CE" w:rsidRPr="00574492">
        <w:t>Baltic Sea</w:t>
      </w:r>
      <w:r w:rsidR="00E04860">
        <w:t>s</w:t>
      </w:r>
      <w:r w:rsidR="005038CE">
        <w:t xml:space="preserve"> during and after the war period</w:t>
      </w:r>
      <w:r w:rsidR="005038CE" w:rsidRPr="00574492">
        <w:t xml:space="preserve">. </w:t>
      </w:r>
      <w:r w:rsidR="005038CE">
        <w:t xml:space="preserve"> </w:t>
      </w:r>
      <w:r w:rsidR="00E04860">
        <w:t>M</w:t>
      </w:r>
      <w:r w:rsidR="005038CE" w:rsidRPr="00574492">
        <w:t xml:space="preserve">any </w:t>
      </w:r>
      <w:r w:rsidR="005E31F8">
        <w:t xml:space="preserve">of these </w:t>
      </w:r>
      <w:r w:rsidR="00CA0B49">
        <w:t>munitions</w:t>
      </w:r>
      <w:r w:rsidR="005038CE" w:rsidRPr="00574492">
        <w:t xml:space="preserve"> contained </w:t>
      </w:r>
      <w:proofErr w:type="spellStart"/>
      <w:r w:rsidR="007C1E1D">
        <w:t>HgFu</w:t>
      </w:r>
      <w:proofErr w:type="spellEnd"/>
      <w:r w:rsidR="005038CE" w:rsidRPr="00574492">
        <w:t xml:space="preserve"> as </w:t>
      </w:r>
      <w:r w:rsidR="005038CE">
        <w:t>the</w:t>
      </w:r>
      <w:r w:rsidR="005038CE" w:rsidRPr="00574492">
        <w:t xml:space="preserve"> initial ignition</w:t>
      </w:r>
      <w:r w:rsidR="00E04860">
        <w:t xml:space="preserve"> </w:t>
      </w:r>
      <w:r w:rsidR="002270BD">
        <w:t xml:space="preserve">agent </w:t>
      </w:r>
      <w:r w:rsidR="00E04860">
        <w:t>i</w:t>
      </w:r>
      <w:r w:rsidR="00E04860" w:rsidRPr="00574492">
        <w:t xml:space="preserve">n addition to the </w:t>
      </w:r>
      <w:r w:rsidR="004059B3">
        <w:t>main</w:t>
      </w:r>
      <w:r w:rsidR="00E04860" w:rsidRPr="00574492">
        <w:t xml:space="preserve"> charge of </w:t>
      </w:r>
      <w:r w:rsidR="00E42E5F">
        <w:t>secondary</w:t>
      </w:r>
      <w:r w:rsidR="00CA0B49">
        <w:t xml:space="preserve"> explosives such as </w:t>
      </w:r>
      <w:r w:rsidR="00E04860" w:rsidRPr="00574492">
        <w:t>trinitrotoluene (TNT)</w:t>
      </w:r>
      <w:r w:rsidR="005038CE" w:rsidRPr="00574492">
        <w:t>.</w:t>
      </w:r>
      <w:r w:rsidR="005038CE">
        <w:t xml:space="preserve"> </w:t>
      </w:r>
      <w:r w:rsidR="00EE18F4">
        <w:t xml:space="preserve"> </w:t>
      </w:r>
      <w:r w:rsidR="000E4719">
        <w:t>In</w:t>
      </w:r>
      <w:r w:rsidR="005038CE">
        <w:t xml:space="preserve"> </w:t>
      </w:r>
      <w:r w:rsidR="000E4719">
        <w:t>recent years</w:t>
      </w:r>
      <w:r w:rsidR="005038CE">
        <w:t xml:space="preserve"> there has been </w:t>
      </w:r>
      <w:r w:rsidR="000E4719">
        <w:t>growing</w:t>
      </w:r>
      <w:r w:rsidR="005038CE">
        <w:t xml:space="preserve"> interest in the environmental impact</w:t>
      </w:r>
      <w:r w:rsidR="000E4719">
        <w:t>s</w:t>
      </w:r>
      <w:r w:rsidR="005038CE">
        <w:t xml:space="preserve"> of legacy </w:t>
      </w:r>
      <w:r w:rsidR="00F85B5B">
        <w:t xml:space="preserve">warfare </w:t>
      </w:r>
      <w:r w:rsidR="0059060C">
        <w:t xml:space="preserve">chemicals and compounds, </w:t>
      </w:r>
      <w:r w:rsidR="009552E9">
        <w:t>including</w:t>
      </w:r>
      <w:r w:rsidR="0059060C">
        <w:t xml:space="preserve"> Hg</w:t>
      </w:r>
      <w:r w:rsidR="009552E9">
        <w:t>, TNT</w:t>
      </w:r>
      <w:r w:rsidR="0059060C">
        <w:t xml:space="preserve"> and other munition</w:t>
      </w:r>
      <w:r w:rsidR="00CA0B49">
        <w:t xml:space="preserve">-related chemicals </w:t>
      </w:r>
      <w:r w:rsidR="0059060C">
        <w:t>(</w:t>
      </w:r>
      <w:r w:rsidR="00093514">
        <w:t xml:space="preserve">Carton and </w:t>
      </w:r>
      <w:proofErr w:type="spellStart"/>
      <w:r w:rsidR="00093514">
        <w:t>Jagusiewicz</w:t>
      </w:r>
      <w:proofErr w:type="spellEnd"/>
      <w:r w:rsidR="00093514">
        <w:t xml:space="preserve">, 2009; </w:t>
      </w:r>
      <w:r w:rsidR="00D552C3">
        <w:t xml:space="preserve">HELCOM, 2013; </w:t>
      </w:r>
      <w:r w:rsidR="00F27625">
        <w:t xml:space="preserve">Beck et al., 2018; </w:t>
      </w:r>
      <w:proofErr w:type="spellStart"/>
      <w:r w:rsidR="00F27625">
        <w:t>Kampmeier</w:t>
      </w:r>
      <w:proofErr w:type="spellEnd"/>
      <w:r w:rsidR="00F27625">
        <w:t xml:space="preserve"> et al., 2020</w:t>
      </w:r>
      <w:r w:rsidR="0059060C">
        <w:t xml:space="preserve">).  </w:t>
      </w:r>
      <w:r w:rsidR="00213BD8">
        <w:lastRenderedPageBreak/>
        <w:t xml:space="preserve">Mercury fulminate in </w:t>
      </w:r>
      <w:r w:rsidR="00D44D36">
        <w:t xml:space="preserve">munition </w:t>
      </w:r>
      <w:r w:rsidR="00A5329B">
        <w:t>detonators</w:t>
      </w:r>
      <w:r w:rsidR="00213BD8">
        <w:t xml:space="preserve"> is of particular concern given the high toxicity and mobility of Hg.  </w:t>
      </w:r>
      <w:r w:rsidR="00453FA6">
        <w:t xml:space="preserve">Due to this </w:t>
      </w:r>
      <w:r w:rsidR="001B742B">
        <w:t>effect,</w:t>
      </w:r>
      <w:r w:rsidR="00BD0E78">
        <w:t xml:space="preserve"> </w:t>
      </w:r>
      <w:proofErr w:type="spellStart"/>
      <w:r w:rsidR="000F7D65">
        <w:t>HgFu</w:t>
      </w:r>
      <w:proofErr w:type="spellEnd"/>
      <w:r w:rsidR="000F7D65">
        <w:t xml:space="preserve"> </w:t>
      </w:r>
      <w:r w:rsidR="00BD0E78">
        <w:t xml:space="preserve">has </w:t>
      </w:r>
      <w:r w:rsidR="0032538C">
        <w:t xml:space="preserve">largely </w:t>
      </w:r>
      <w:r w:rsidR="00BD0E78">
        <w:t>not been</w:t>
      </w:r>
      <w:r w:rsidR="000F7D65">
        <w:t xml:space="preserve"> </w:t>
      </w:r>
      <w:r w:rsidR="00F54D39">
        <w:t xml:space="preserve">applied </w:t>
      </w:r>
      <w:r w:rsidR="000F7D65">
        <w:t>as a primer</w:t>
      </w:r>
      <w:r w:rsidR="00BD0E78">
        <w:t xml:space="preserve"> since around the 1950s</w:t>
      </w:r>
      <w:r w:rsidR="000F7D65">
        <w:t xml:space="preserve">, and replaced by less </w:t>
      </w:r>
      <w:r w:rsidR="00BD0E78">
        <w:t xml:space="preserve">detrimental and more efficient </w:t>
      </w:r>
      <w:r w:rsidR="000F7D65">
        <w:t xml:space="preserve">alternatives such as lead </w:t>
      </w:r>
      <w:proofErr w:type="spellStart"/>
      <w:r w:rsidR="000F7D65">
        <w:t>azide</w:t>
      </w:r>
      <w:proofErr w:type="spellEnd"/>
      <w:r w:rsidR="000F7D65">
        <w:t xml:space="preserve">.  </w:t>
      </w:r>
      <w:r w:rsidR="0032538C">
        <w:t xml:space="preserve">Reportedly China and Russia could still be using </w:t>
      </w:r>
      <w:proofErr w:type="spellStart"/>
      <w:r w:rsidR="0032538C">
        <w:t>HgFu</w:t>
      </w:r>
      <w:proofErr w:type="spellEnd"/>
      <w:r w:rsidR="0032538C">
        <w:t xml:space="preserve"> </w:t>
      </w:r>
      <w:r w:rsidR="00E1349F">
        <w:t xml:space="preserve">in </w:t>
      </w:r>
      <w:r w:rsidR="00DE73F5">
        <w:t xml:space="preserve">some function </w:t>
      </w:r>
      <w:r w:rsidR="0032538C">
        <w:t xml:space="preserve">(Matyas and </w:t>
      </w:r>
      <w:proofErr w:type="spellStart"/>
      <w:r w:rsidR="0032538C">
        <w:t>Pachman</w:t>
      </w:r>
      <w:proofErr w:type="spellEnd"/>
      <w:r w:rsidR="0032538C">
        <w:t xml:space="preserve">, 2013), thus its incidence has not completely disappeared.  </w:t>
      </w:r>
      <w:r w:rsidR="00213BD8">
        <w:t xml:space="preserve">Dissolution </w:t>
      </w:r>
      <w:r w:rsidR="00A5329B">
        <w:t>rate</w:t>
      </w:r>
      <w:r w:rsidR="00213BD8">
        <w:t xml:space="preserve"> is the initial control </w:t>
      </w:r>
      <w:r w:rsidR="00A5329B">
        <w:t xml:space="preserve">on </w:t>
      </w:r>
      <w:r w:rsidR="00213BD8">
        <w:t xml:space="preserve">release of </w:t>
      </w:r>
      <w:proofErr w:type="spellStart"/>
      <w:r w:rsidR="007C1E1D">
        <w:t>HgFu</w:t>
      </w:r>
      <w:proofErr w:type="spellEnd"/>
      <w:r w:rsidR="00FC4CC7">
        <w:t xml:space="preserve"> </w:t>
      </w:r>
      <w:r w:rsidR="00A5329B">
        <w:t>into</w:t>
      </w:r>
      <w:r w:rsidR="00641277">
        <w:t xml:space="preserve"> </w:t>
      </w:r>
      <w:r w:rsidR="00F85B5B">
        <w:t>marine</w:t>
      </w:r>
      <w:r w:rsidR="0059060C">
        <w:t xml:space="preserve"> environments.  </w:t>
      </w:r>
      <w:r w:rsidR="00213BD8">
        <w:t>P</w:t>
      </w:r>
      <w:r w:rsidR="005E31F8">
        <w:t xml:space="preserve">hysical factors </w:t>
      </w:r>
      <w:r w:rsidR="00213BD8">
        <w:t>such as</w:t>
      </w:r>
      <w:r w:rsidR="005E31F8">
        <w:t xml:space="preserve"> temperature and salinity </w:t>
      </w:r>
      <w:r w:rsidR="00213BD8">
        <w:t>can vary widely in munition</w:t>
      </w:r>
      <w:r w:rsidR="0079468B">
        <w:t>-</w:t>
      </w:r>
      <w:r w:rsidR="00180F5F">
        <w:t>occupied</w:t>
      </w:r>
      <w:r w:rsidR="00213BD8">
        <w:t xml:space="preserve"> coastal waters and likely </w:t>
      </w:r>
      <w:r w:rsidR="005E31F8">
        <w:t xml:space="preserve">influence </w:t>
      </w:r>
      <w:proofErr w:type="spellStart"/>
      <w:r w:rsidR="007C1E1D">
        <w:t>HgFu</w:t>
      </w:r>
      <w:proofErr w:type="spellEnd"/>
      <w:r w:rsidR="005E31F8">
        <w:t xml:space="preserve"> </w:t>
      </w:r>
      <w:r w:rsidR="00F85B5B">
        <w:t xml:space="preserve">stability and </w:t>
      </w:r>
      <w:r w:rsidR="005E31F8">
        <w:t xml:space="preserve">dissolution rates.  To our knowledge dissolution rates </w:t>
      </w:r>
      <w:r w:rsidR="007345B9">
        <w:t xml:space="preserve">of </w:t>
      </w:r>
      <w:proofErr w:type="spellStart"/>
      <w:r w:rsidR="007C1E1D">
        <w:t>HgFu</w:t>
      </w:r>
      <w:proofErr w:type="spellEnd"/>
      <w:r w:rsidR="00213BD8">
        <w:t xml:space="preserve"> in seawater</w:t>
      </w:r>
      <w:r w:rsidR="007345B9">
        <w:t xml:space="preserve"> </w:t>
      </w:r>
      <w:r w:rsidR="005E31F8">
        <w:t>ha</w:t>
      </w:r>
      <w:r w:rsidR="000E02E3">
        <w:t>ve</w:t>
      </w:r>
      <w:r w:rsidR="005E31F8">
        <w:t xml:space="preserve"> not previously been </w:t>
      </w:r>
      <w:r w:rsidR="00213BD8">
        <w:t>investigated</w:t>
      </w:r>
      <w:r w:rsidR="005E31F8">
        <w:t>.</w:t>
      </w:r>
    </w:p>
    <w:p w:rsidR="00286A6A" w:rsidRDefault="00286A6A" w:rsidP="008E7E10">
      <w:pPr>
        <w:spacing w:line="480" w:lineRule="auto"/>
        <w:ind w:firstLine="720"/>
        <w:contextualSpacing/>
      </w:pPr>
      <w:r>
        <w:t>Mercury is</w:t>
      </w:r>
      <w:r w:rsidR="00FC4CC7">
        <w:t xml:space="preserve"> a</w:t>
      </w:r>
      <w:r w:rsidR="006F2FB1" w:rsidRPr="006F2FB1">
        <w:t xml:space="preserve"> </w:t>
      </w:r>
      <w:r w:rsidR="00D44D36">
        <w:t>noxious</w:t>
      </w:r>
      <w:r w:rsidR="00FC4CC7">
        <w:t xml:space="preserve">, yet </w:t>
      </w:r>
      <w:r>
        <w:t xml:space="preserve">naturally occurring </w:t>
      </w:r>
      <w:r w:rsidR="00FC4CC7">
        <w:t>element</w:t>
      </w:r>
      <w:r>
        <w:t xml:space="preserve">, and is prominently released </w:t>
      </w:r>
      <w:r w:rsidR="00FC4CC7">
        <w:t xml:space="preserve">from geological reservoirs such as volcanoes and hydrothermal vents </w:t>
      </w:r>
      <w:r w:rsidR="003D1B6E">
        <w:t>(</w:t>
      </w:r>
      <w:proofErr w:type="spellStart"/>
      <w:r w:rsidR="007F0F41">
        <w:t>Nriagu</w:t>
      </w:r>
      <w:proofErr w:type="spellEnd"/>
      <w:r w:rsidR="007F0F41">
        <w:t xml:space="preserve"> and Becker, 2003; </w:t>
      </w:r>
      <w:r w:rsidR="006207BF">
        <w:t>Edwards et al., 2021</w:t>
      </w:r>
      <w:r w:rsidR="003D1B6E">
        <w:t>)</w:t>
      </w:r>
      <w:r>
        <w:t xml:space="preserve">.  </w:t>
      </w:r>
      <w:r w:rsidR="00FC4CC7">
        <w:t>T</w:t>
      </w:r>
      <w:r>
        <w:t xml:space="preserve">he amount of Hg input into the natural environment has </w:t>
      </w:r>
      <w:r w:rsidR="00D44D36">
        <w:t xml:space="preserve">furthermore </w:t>
      </w:r>
      <w:r>
        <w:t xml:space="preserve">increased significantly through </w:t>
      </w:r>
      <w:r w:rsidR="00E44172">
        <w:t>anthropogenic</w:t>
      </w:r>
      <w:r>
        <w:t xml:space="preserve"> </w:t>
      </w:r>
      <w:r w:rsidR="003D1B6E">
        <w:t>practices</w:t>
      </w:r>
      <w:r w:rsidR="00A5329B">
        <w:t xml:space="preserve">, </w:t>
      </w:r>
      <w:r w:rsidR="00D44D36">
        <w:t xml:space="preserve">including gold mining, and </w:t>
      </w:r>
      <w:r w:rsidR="00A5329B">
        <w:t xml:space="preserve">the combustion of coal and </w:t>
      </w:r>
      <w:r w:rsidR="00D44D36">
        <w:t xml:space="preserve">other </w:t>
      </w:r>
      <w:r w:rsidR="00A5329B">
        <w:t>fossil fuels</w:t>
      </w:r>
      <w:r w:rsidR="00EE18F4">
        <w:t xml:space="preserve"> </w:t>
      </w:r>
      <w:r w:rsidR="00B6520C">
        <w:t>(</w:t>
      </w:r>
      <w:proofErr w:type="spellStart"/>
      <w:r w:rsidR="00B6520C">
        <w:t>Lamborg</w:t>
      </w:r>
      <w:proofErr w:type="spellEnd"/>
      <w:r w:rsidR="00B6520C">
        <w:t xml:space="preserve"> et al., 2002; </w:t>
      </w:r>
      <w:r w:rsidR="00B6520C" w:rsidRPr="007F0F41">
        <w:rPr>
          <w:snapToGrid w:val="0"/>
        </w:rPr>
        <w:t>Obrist</w:t>
      </w:r>
      <w:r w:rsidR="00B6520C">
        <w:rPr>
          <w:snapToGrid w:val="0"/>
        </w:rPr>
        <w:t xml:space="preserve"> et al., 2018; </w:t>
      </w:r>
      <w:proofErr w:type="spellStart"/>
      <w:r w:rsidR="00B6520C">
        <w:t>Outridge</w:t>
      </w:r>
      <w:proofErr w:type="spellEnd"/>
      <w:r w:rsidR="00B6520C">
        <w:t xml:space="preserve"> et al., 2018)</w:t>
      </w:r>
      <w:r>
        <w:t xml:space="preserve">.  </w:t>
      </w:r>
      <w:r w:rsidR="00A5329B">
        <w:t>Mercury</w:t>
      </w:r>
      <w:r w:rsidR="006E298A">
        <w:t xml:space="preserve"> </w:t>
      </w:r>
      <w:r w:rsidR="00BA4AE6">
        <w:t>is</w:t>
      </w:r>
      <w:r w:rsidR="006E298A">
        <w:t xml:space="preserve"> </w:t>
      </w:r>
      <w:r w:rsidR="00BA4AE6">
        <w:t xml:space="preserve">moreover </w:t>
      </w:r>
      <w:r w:rsidR="006E298A">
        <w:t>transformed into methylmercury</w:t>
      </w:r>
      <w:r w:rsidR="00A5329B">
        <w:t xml:space="preserve"> in aquatic environments</w:t>
      </w:r>
      <w:r w:rsidR="006E298A">
        <w:t>, which is a prominent neurotoxin and health concern for humans and wildlife (</w:t>
      </w:r>
      <w:r w:rsidR="007A493B">
        <w:t xml:space="preserve">Ullrich et al., 2001; </w:t>
      </w:r>
      <w:proofErr w:type="spellStart"/>
      <w:r w:rsidR="00A1306D">
        <w:t>Beckers</w:t>
      </w:r>
      <w:proofErr w:type="spellEnd"/>
      <w:r w:rsidR="00A1306D">
        <w:t xml:space="preserve"> and </w:t>
      </w:r>
      <w:proofErr w:type="spellStart"/>
      <w:r w:rsidR="00A1306D">
        <w:t>Rinklebe</w:t>
      </w:r>
      <w:proofErr w:type="spellEnd"/>
      <w:r w:rsidR="00A1306D">
        <w:t xml:space="preserve">, 2017; </w:t>
      </w:r>
      <w:r w:rsidR="007F0F41">
        <w:t>Obrist et al., 2018</w:t>
      </w:r>
      <w:r w:rsidR="006E298A">
        <w:t xml:space="preserve">).  </w:t>
      </w:r>
      <w:r w:rsidR="00A16E4C">
        <w:t>Therefore</w:t>
      </w:r>
      <w:r w:rsidR="00E44172">
        <w:t>,</w:t>
      </w:r>
      <w:r w:rsidR="006E298A">
        <w:t xml:space="preserve"> it is important to trace and </w:t>
      </w:r>
      <w:r w:rsidR="00FC4CC7">
        <w:t xml:space="preserve">recognize </w:t>
      </w:r>
      <w:r w:rsidR="007A6259">
        <w:t xml:space="preserve">latent </w:t>
      </w:r>
      <w:r w:rsidR="00BA4AE6">
        <w:t>point sources</w:t>
      </w:r>
      <w:r w:rsidR="006E298A">
        <w:t xml:space="preserve"> </w:t>
      </w:r>
      <w:r w:rsidR="00BA4AE6">
        <w:t xml:space="preserve">of </w:t>
      </w:r>
      <w:r w:rsidR="006E298A">
        <w:t xml:space="preserve">Hg, such as the </w:t>
      </w:r>
      <w:proofErr w:type="spellStart"/>
      <w:r w:rsidR="007C1E1D">
        <w:t>HgFu</w:t>
      </w:r>
      <w:proofErr w:type="spellEnd"/>
      <w:r w:rsidR="006E298A">
        <w:t xml:space="preserve"> used in </w:t>
      </w:r>
      <w:r w:rsidR="00DE15EF">
        <w:t xml:space="preserve">munition </w:t>
      </w:r>
      <w:r w:rsidR="000E02E3">
        <w:t>detonators</w:t>
      </w:r>
      <w:r w:rsidR="006E298A">
        <w:t xml:space="preserve">, and its potential pathway into </w:t>
      </w:r>
      <w:r w:rsidR="003C5E7E">
        <w:t>marine</w:t>
      </w:r>
      <w:r w:rsidR="006E298A">
        <w:t xml:space="preserve"> environments.</w:t>
      </w:r>
    </w:p>
    <w:p w:rsidR="00CB6E7F" w:rsidRDefault="00D34529" w:rsidP="008E7E10">
      <w:pPr>
        <w:spacing w:line="480" w:lineRule="auto"/>
        <w:ind w:firstLine="720"/>
        <w:contextualSpacing/>
        <w:rPr>
          <w:color w:val="212438"/>
          <w:shd w:val="clear" w:color="auto" w:fill="FFFFFF"/>
        </w:rPr>
      </w:pPr>
      <w:r>
        <w:t xml:space="preserve">The </w:t>
      </w:r>
      <w:r w:rsidR="00920828">
        <w:t>properties</w:t>
      </w:r>
      <w:r w:rsidR="0010027E">
        <w:t xml:space="preserve"> </w:t>
      </w:r>
      <w:r w:rsidR="0059060C">
        <w:t xml:space="preserve">which contribute to </w:t>
      </w:r>
      <w:r w:rsidR="003C5E7E">
        <w:t>the functional</w:t>
      </w:r>
      <w:r w:rsidR="0059060C">
        <w:t xml:space="preserve"> </w:t>
      </w:r>
      <w:r w:rsidR="003C5E7E">
        <w:t xml:space="preserve">success of </w:t>
      </w:r>
      <w:proofErr w:type="spellStart"/>
      <w:r w:rsidR="007C1E1D">
        <w:t>HgFu</w:t>
      </w:r>
      <w:proofErr w:type="spellEnd"/>
      <w:r w:rsidR="0059060C">
        <w:t xml:space="preserve"> </w:t>
      </w:r>
      <w:r w:rsidR="0010027E">
        <w:t xml:space="preserve">also </w:t>
      </w:r>
      <w:r w:rsidR="00E40C9D">
        <w:t xml:space="preserve">make </w:t>
      </w:r>
      <w:r w:rsidR="0059060C">
        <w:t>it</w:t>
      </w:r>
      <w:r w:rsidR="00E40C9D">
        <w:t xml:space="preserve"> </w:t>
      </w:r>
      <w:r w:rsidR="0010027E">
        <w:t>dangerous to prepare</w:t>
      </w:r>
      <w:r w:rsidR="00114BCC">
        <w:t xml:space="preserve"> and investigate</w:t>
      </w:r>
      <w:r w:rsidR="0010027E">
        <w:t xml:space="preserve">.  </w:t>
      </w:r>
      <w:r w:rsidR="00A5329B">
        <w:t>For example</w:t>
      </w:r>
      <w:r w:rsidR="009653B0">
        <w:t xml:space="preserve">, </w:t>
      </w:r>
      <w:r w:rsidR="003C5E7E">
        <w:t>whilst</w:t>
      </w:r>
      <w:r w:rsidR="009653B0">
        <w:t xml:space="preserve"> </w:t>
      </w:r>
      <w:proofErr w:type="spellStart"/>
      <w:r w:rsidR="007C1E1D">
        <w:t>HgFu</w:t>
      </w:r>
      <w:proofErr w:type="spellEnd"/>
      <w:r w:rsidR="009653B0">
        <w:t xml:space="preserve"> has been known </w:t>
      </w:r>
      <w:r w:rsidR="00A16E4C">
        <w:t xml:space="preserve">about </w:t>
      </w:r>
      <w:r w:rsidR="009653B0">
        <w:t xml:space="preserve">and used </w:t>
      </w:r>
      <w:r w:rsidR="00FC4CC7">
        <w:t>for centuries</w:t>
      </w:r>
      <w:r w:rsidR="009653B0">
        <w:t xml:space="preserve">, </w:t>
      </w:r>
      <w:r w:rsidR="00114BCC">
        <w:t>its</w:t>
      </w:r>
      <w:r w:rsidR="009653B0">
        <w:t xml:space="preserve"> </w:t>
      </w:r>
      <w:r w:rsidR="00A5329B">
        <w:t>chemical</w:t>
      </w:r>
      <w:r w:rsidR="009653B0">
        <w:t xml:space="preserve"> structure was </w:t>
      </w:r>
      <w:r w:rsidR="00467BA2">
        <w:t>only</w:t>
      </w:r>
      <w:r w:rsidR="003A1615">
        <w:t xml:space="preserve"> confirmed 300 years after its creation</w:t>
      </w:r>
      <w:r w:rsidR="009653B0">
        <w:t xml:space="preserve"> </w:t>
      </w:r>
      <w:r w:rsidR="00F76D99">
        <w:t>(</w:t>
      </w:r>
      <w:r w:rsidR="009653B0">
        <w:t>Beck et al</w:t>
      </w:r>
      <w:r w:rsidR="00F76D99">
        <w:t xml:space="preserve">., </w:t>
      </w:r>
      <w:r w:rsidR="009653B0">
        <w:t xml:space="preserve">2007).  </w:t>
      </w:r>
      <w:r w:rsidR="003C110F">
        <w:t xml:space="preserve">By irradiating </w:t>
      </w:r>
      <w:proofErr w:type="spellStart"/>
      <w:r w:rsidR="003C110F">
        <w:t>HgFu</w:t>
      </w:r>
      <w:proofErr w:type="spellEnd"/>
      <w:r w:rsidR="003C110F">
        <w:t xml:space="preserve"> crystals with X-rays it was possible to </w:t>
      </w:r>
      <w:r w:rsidR="0079468B">
        <w:t xml:space="preserve">corroborate </w:t>
      </w:r>
      <w:r w:rsidR="009653B0">
        <w:t>that each Hg atom is surrounded by 2 carbon atom</w:t>
      </w:r>
      <w:r w:rsidR="001C1544">
        <w:t xml:space="preserve"> complexes</w:t>
      </w:r>
      <w:r w:rsidR="009653B0">
        <w:t xml:space="preserve">, </w:t>
      </w:r>
      <w:r w:rsidR="003A1615">
        <w:t>according a</w:t>
      </w:r>
      <w:r w:rsidR="00CB6E7F">
        <w:t xml:space="preserve"> stretch</w:t>
      </w:r>
      <w:r w:rsidR="00B90D1B">
        <w:t>ed</w:t>
      </w:r>
      <w:r w:rsidR="00CB6E7F">
        <w:t xml:space="preserve"> out, nearly linear,</w:t>
      </w:r>
      <w:r w:rsidR="009653B0">
        <w:t xml:space="preserve"> </w:t>
      </w:r>
      <w:r w:rsidR="003A1615">
        <w:t xml:space="preserve">orthorhombic </w:t>
      </w:r>
      <w:r w:rsidR="009653B0">
        <w:lastRenderedPageBreak/>
        <w:t xml:space="preserve">molecular structure </w:t>
      </w:r>
      <w:r w:rsidR="003A1615">
        <w:t>of</w:t>
      </w:r>
      <w:r w:rsidR="009653B0" w:rsidRPr="009653B0">
        <w:t xml:space="preserve"> </w:t>
      </w:r>
      <w:r w:rsidR="009653B0" w:rsidRPr="009653B0">
        <w:rPr>
          <w:color w:val="212438"/>
          <w:shd w:val="clear" w:color="auto" w:fill="FFFFFF"/>
        </w:rPr>
        <w:t>O−N≡C−Hg−C≡N−O</w:t>
      </w:r>
      <w:r w:rsidR="003A1615">
        <w:rPr>
          <w:color w:val="212438"/>
          <w:shd w:val="clear" w:color="auto" w:fill="FFFFFF"/>
        </w:rPr>
        <w:t xml:space="preserve"> </w:t>
      </w:r>
      <w:r w:rsidR="003A1615">
        <w:t>(Beck et al</w:t>
      </w:r>
      <w:r w:rsidR="008A09DD">
        <w:t>.</w:t>
      </w:r>
      <w:r w:rsidR="003A1615">
        <w:t>, 2007)</w:t>
      </w:r>
      <w:r w:rsidR="003A1615">
        <w:rPr>
          <w:color w:val="212438"/>
          <w:shd w:val="clear" w:color="auto" w:fill="FFFFFF"/>
        </w:rPr>
        <w:t xml:space="preserve">.  </w:t>
      </w:r>
      <w:r w:rsidR="005221E2">
        <w:rPr>
          <w:color w:val="212438"/>
          <w:shd w:val="clear" w:color="auto" w:fill="FFFFFF"/>
        </w:rPr>
        <w:t xml:space="preserve">Within this </w:t>
      </w:r>
      <w:r w:rsidR="00F777FF">
        <w:rPr>
          <w:color w:val="212438"/>
          <w:shd w:val="clear" w:color="auto" w:fill="FFFFFF"/>
        </w:rPr>
        <w:t xml:space="preserve">simple </w:t>
      </w:r>
      <w:r w:rsidR="005221E2">
        <w:rPr>
          <w:color w:val="212438"/>
          <w:shd w:val="clear" w:color="auto" w:fill="FFFFFF"/>
        </w:rPr>
        <w:t xml:space="preserve">structure bond distances </w:t>
      </w:r>
      <w:r w:rsidR="00B77FC9">
        <w:rPr>
          <w:color w:val="212438"/>
          <w:shd w:val="clear" w:color="auto" w:fill="FFFFFF"/>
        </w:rPr>
        <w:t xml:space="preserve">were determined </w:t>
      </w:r>
      <w:r w:rsidR="00523762">
        <w:rPr>
          <w:color w:val="212438"/>
          <w:shd w:val="clear" w:color="auto" w:fill="FFFFFF"/>
        </w:rPr>
        <w:t>as</w:t>
      </w:r>
      <w:r w:rsidR="005221E2">
        <w:rPr>
          <w:color w:val="212438"/>
          <w:shd w:val="clear" w:color="auto" w:fill="FFFFFF"/>
        </w:rPr>
        <w:t xml:space="preserve"> 2.029(6) Å for </w:t>
      </w:r>
      <w:r w:rsidR="005221E2" w:rsidRPr="009653B0">
        <w:rPr>
          <w:color w:val="212438"/>
          <w:shd w:val="clear" w:color="auto" w:fill="FFFFFF"/>
        </w:rPr>
        <w:t>Hg−C</w:t>
      </w:r>
      <w:r w:rsidR="005221E2">
        <w:rPr>
          <w:color w:val="212438"/>
          <w:shd w:val="clear" w:color="auto" w:fill="FFFFFF"/>
        </w:rPr>
        <w:t xml:space="preserve">, 1.143(8) Å for </w:t>
      </w:r>
      <w:r w:rsidR="005221E2" w:rsidRPr="009653B0">
        <w:rPr>
          <w:color w:val="212438"/>
          <w:shd w:val="clear" w:color="auto" w:fill="FFFFFF"/>
        </w:rPr>
        <w:t>C≡N</w:t>
      </w:r>
      <w:r w:rsidR="005221E2">
        <w:rPr>
          <w:color w:val="212438"/>
          <w:shd w:val="clear" w:color="auto" w:fill="FFFFFF"/>
        </w:rPr>
        <w:t xml:space="preserve">, and 1.248(6) Å for </w:t>
      </w:r>
      <w:r w:rsidR="005221E2" w:rsidRPr="009653B0">
        <w:rPr>
          <w:color w:val="212438"/>
          <w:shd w:val="clear" w:color="auto" w:fill="FFFFFF"/>
        </w:rPr>
        <w:t>N−O</w:t>
      </w:r>
      <w:r w:rsidR="00B77FC9">
        <w:rPr>
          <w:color w:val="212438"/>
          <w:shd w:val="clear" w:color="auto" w:fill="FFFFFF"/>
        </w:rPr>
        <w:t xml:space="preserve">.  </w:t>
      </w:r>
      <w:r w:rsidR="00F777FF">
        <w:rPr>
          <w:color w:val="212438"/>
          <w:shd w:val="clear" w:color="auto" w:fill="FFFFFF"/>
        </w:rPr>
        <w:t>The</w:t>
      </w:r>
      <w:r w:rsidR="005221E2">
        <w:rPr>
          <w:color w:val="212438"/>
          <w:shd w:val="clear" w:color="auto" w:fill="FFFFFF"/>
        </w:rPr>
        <w:t xml:space="preserve"> structure angles are 179.7(6)</w:t>
      </w:r>
      <w:r w:rsidR="005221E2" w:rsidRPr="005221E2">
        <w:rPr>
          <w:color w:val="212438"/>
          <w:shd w:val="clear" w:color="auto" w:fill="FFFFFF"/>
          <w:vertAlign w:val="superscript"/>
        </w:rPr>
        <w:t>o</w:t>
      </w:r>
      <w:r w:rsidR="005221E2">
        <w:rPr>
          <w:color w:val="212438"/>
          <w:shd w:val="clear" w:color="auto" w:fill="FFFFFF"/>
        </w:rPr>
        <w:t xml:space="preserve"> for </w:t>
      </w:r>
      <w:r w:rsidR="005221E2" w:rsidRPr="009653B0">
        <w:rPr>
          <w:color w:val="212438"/>
          <w:shd w:val="clear" w:color="auto" w:fill="FFFFFF"/>
        </w:rPr>
        <w:t>C≡N−O</w:t>
      </w:r>
      <w:r w:rsidR="005221E2">
        <w:rPr>
          <w:color w:val="212438"/>
          <w:shd w:val="clear" w:color="auto" w:fill="FFFFFF"/>
        </w:rPr>
        <w:t>, 169.1(5)</w:t>
      </w:r>
      <w:r w:rsidR="005221E2" w:rsidRPr="008222FF">
        <w:rPr>
          <w:color w:val="212438"/>
          <w:shd w:val="clear" w:color="auto" w:fill="FFFFFF"/>
          <w:vertAlign w:val="superscript"/>
        </w:rPr>
        <w:t>o</w:t>
      </w:r>
      <w:r w:rsidR="005221E2">
        <w:rPr>
          <w:color w:val="212438"/>
          <w:shd w:val="clear" w:color="auto" w:fill="FFFFFF"/>
        </w:rPr>
        <w:t xml:space="preserve"> for </w:t>
      </w:r>
      <w:r w:rsidR="008222FF" w:rsidRPr="009653B0">
        <w:rPr>
          <w:color w:val="212438"/>
          <w:shd w:val="clear" w:color="auto" w:fill="FFFFFF"/>
        </w:rPr>
        <w:t>Hg−C≡N</w:t>
      </w:r>
      <w:r w:rsidR="008222FF">
        <w:rPr>
          <w:color w:val="212438"/>
          <w:shd w:val="clear" w:color="auto" w:fill="FFFFFF"/>
        </w:rPr>
        <w:t>, and a level 180(1)</w:t>
      </w:r>
      <w:r w:rsidR="008222FF" w:rsidRPr="008222FF">
        <w:rPr>
          <w:color w:val="212438"/>
          <w:shd w:val="clear" w:color="auto" w:fill="FFFFFF"/>
          <w:vertAlign w:val="superscript"/>
        </w:rPr>
        <w:t>o</w:t>
      </w:r>
      <w:r w:rsidR="008222FF">
        <w:rPr>
          <w:color w:val="212438"/>
          <w:shd w:val="clear" w:color="auto" w:fill="FFFFFF"/>
        </w:rPr>
        <w:t xml:space="preserve"> for the central </w:t>
      </w:r>
      <w:r w:rsidR="008222FF" w:rsidRPr="009653B0">
        <w:rPr>
          <w:color w:val="212438"/>
          <w:shd w:val="clear" w:color="auto" w:fill="FFFFFF"/>
        </w:rPr>
        <w:t>C−Hg−C</w:t>
      </w:r>
      <w:r w:rsidR="008222FF">
        <w:rPr>
          <w:color w:val="212438"/>
          <w:shd w:val="clear" w:color="auto" w:fill="FFFFFF"/>
        </w:rPr>
        <w:t xml:space="preserve"> </w:t>
      </w:r>
      <w:r w:rsidR="005221E2">
        <w:rPr>
          <w:color w:val="212438"/>
          <w:shd w:val="clear" w:color="auto" w:fill="FFFFFF"/>
        </w:rPr>
        <w:t xml:space="preserve">(Beck </w:t>
      </w:r>
      <w:r w:rsidR="005221E2">
        <w:t>et al</w:t>
      </w:r>
      <w:r w:rsidR="008A09DD">
        <w:t>.</w:t>
      </w:r>
      <w:r w:rsidR="005221E2">
        <w:t>, 2007</w:t>
      </w:r>
      <w:r w:rsidR="005221E2">
        <w:rPr>
          <w:color w:val="212438"/>
          <w:shd w:val="clear" w:color="auto" w:fill="FFFFFF"/>
        </w:rPr>
        <w:t>)</w:t>
      </w:r>
      <w:r w:rsidR="00F74004">
        <w:rPr>
          <w:color w:val="212438"/>
          <w:shd w:val="clear" w:color="auto" w:fill="FFFFFF"/>
        </w:rPr>
        <w:t>.</w:t>
      </w:r>
    </w:p>
    <w:p w:rsidR="005109E0" w:rsidRDefault="00502B7B" w:rsidP="00600F06">
      <w:pPr>
        <w:spacing w:line="480" w:lineRule="auto"/>
        <w:ind w:firstLine="720"/>
        <w:contextualSpacing/>
      </w:pPr>
      <w:r>
        <w:t xml:space="preserve">Pure </w:t>
      </w:r>
      <w:proofErr w:type="spellStart"/>
      <w:r w:rsidR="007C1E1D">
        <w:t>HgFu</w:t>
      </w:r>
      <w:proofErr w:type="spellEnd"/>
      <w:r>
        <w:t xml:space="preserve"> is </w:t>
      </w:r>
      <w:r w:rsidR="00523762">
        <w:t xml:space="preserve">a </w:t>
      </w:r>
      <w:r>
        <w:t xml:space="preserve">photosensitive </w:t>
      </w:r>
      <w:r w:rsidR="00523762">
        <w:t>substance which</w:t>
      </w:r>
      <w:r>
        <w:t xml:space="preserve"> decomposes rapidly under UV light</w:t>
      </w:r>
      <w:r w:rsidR="001605C3">
        <w:t xml:space="preserve"> </w:t>
      </w:r>
      <w:r>
        <w:t xml:space="preserve">(Matyas and </w:t>
      </w:r>
      <w:proofErr w:type="spellStart"/>
      <w:r>
        <w:t>Pachman</w:t>
      </w:r>
      <w:proofErr w:type="spellEnd"/>
      <w:r>
        <w:t xml:space="preserve">, 2013).  </w:t>
      </w:r>
      <w:r w:rsidR="00133EFC">
        <w:t xml:space="preserve">Mercury fulminate has a </w:t>
      </w:r>
      <w:r w:rsidR="00472781">
        <w:t>density of 4.467 g cm</w:t>
      </w:r>
      <w:r w:rsidR="00472781" w:rsidRPr="00472781">
        <w:rPr>
          <w:vertAlign w:val="superscript"/>
        </w:rPr>
        <w:t>-3</w:t>
      </w:r>
      <w:r w:rsidR="00472781">
        <w:t xml:space="preserve"> (</w:t>
      </w:r>
      <w:r w:rsidR="00472781">
        <w:rPr>
          <w:color w:val="212438"/>
          <w:shd w:val="clear" w:color="auto" w:fill="FFFFFF"/>
        </w:rPr>
        <w:t xml:space="preserve">Beck </w:t>
      </w:r>
      <w:r w:rsidR="00472781">
        <w:t>et al</w:t>
      </w:r>
      <w:r w:rsidR="008A09DD">
        <w:t>.</w:t>
      </w:r>
      <w:r w:rsidR="00472781">
        <w:t>, 2007</w:t>
      </w:r>
      <w:r w:rsidR="00472781">
        <w:rPr>
          <w:color w:val="212438"/>
          <w:shd w:val="clear" w:color="auto" w:fill="FFFFFF"/>
        </w:rPr>
        <w:t xml:space="preserve">) and </w:t>
      </w:r>
      <w:r w:rsidR="00133EFC">
        <w:t xml:space="preserve">temperature dependent water solubility (Matyas and </w:t>
      </w:r>
      <w:proofErr w:type="spellStart"/>
      <w:r w:rsidR="00133EFC">
        <w:t>Pachman</w:t>
      </w:r>
      <w:proofErr w:type="spellEnd"/>
      <w:r w:rsidR="00133EFC">
        <w:t xml:space="preserve">, 2013).  </w:t>
      </w:r>
      <w:r w:rsidR="009B7DCA">
        <w:t xml:space="preserve">There is a low explosion risk of </w:t>
      </w:r>
      <w:proofErr w:type="spellStart"/>
      <w:r w:rsidR="009B7DCA">
        <w:t>HgFu</w:t>
      </w:r>
      <w:proofErr w:type="spellEnd"/>
      <w:r w:rsidR="009B7DCA">
        <w:t xml:space="preserve"> at </w:t>
      </w:r>
      <w:r w:rsidR="008F7B56">
        <w:t>typical</w:t>
      </w:r>
      <w:r w:rsidR="009B7DCA">
        <w:t xml:space="preserve"> </w:t>
      </w:r>
      <w:r w:rsidR="00400CC8">
        <w:t xml:space="preserve">storage </w:t>
      </w:r>
      <w:r w:rsidR="009B7DCA">
        <w:t>temperatures (</w:t>
      </w:r>
      <w:r w:rsidR="00D53DE0">
        <w:t xml:space="preserve">Garner and </w:t>
      </w:r>
      <w:proofErr w:type="spellStart"/>
      <w:r w:rsidR="00D53DE0">
        <w:t>Hailes</w:t>
      </w:r>
      <w:proofErr w:type="spellEnd"/>
      <w:r w:rsidR="00D53DE0">
        <w:t xml:space="preserve">, 1933; </w:t>
      </w:r>
      <w:r w:rsidR="009B7DCA">
        <w:t xml:space="preserve">Bartlett et al., 1956; Matyas and </w:t>
      </w:r>
      <w:proofErr w:type="spellStart"/>
      <w:r w:rsidR="009B7DCA">
        <w:t>Pachman</w:t>
      </w:r>
      <w:proofErr w:type="spellEnd"/>
      <w:r w:rsidR="009B7DCA">
        <w:t xml:space="preserve">, 2013).  </w:t>
      </w:r>
      <w:r w:rsidR="00A6158E">
        <w:t xml:space="preserve">Decomposition of </w:t>
      </w:r>
      <w:proofErr w:type="spellStart"/>
      <w:r w:rsidR="007C1E1D">
        <w:t>HgFu</w:t>
      </w:r>
      <w:proofErr w:type="spellEnd"/>
      <w:r w:rsidR="00A6158E">
        <w:t xml:space="preserve"> proceeds </w:t>
      </w:r>
      <w:r w:rsidR="002448E6">
        <w:t xml:space="preserve">slowly </w:t>
      </w:r>
      <w:r w:rsidR="00050A14">
        <w:t xml:space="preserve">(&gt;20 months) </w:t>
      </w:r>
      <w:r w:rsidR="002448E6">
        <w:t xml:space="preserve">and </w:t>
      </w:r>
      <w:r w:rsidR="00A6158E">
        <w:t xml:space="preserve">without explosive </w:t>
      </w:r>
      <w:r>
        <w:t>feedback up to 85</w:t>
      </w:r>
      <w:r w:rsidRPr="00CA79FD">
        <w:rPr>
          <w:vertAlign w:val="superscript"/>
        </w:rPr>
        <w:t>o</w:t>
      </w:r>
      <w:r>
        <w:t>C (</w:t>
      </w:r>
      <w:r w:rsidR="00523762">
        <w:t xml:space="preserve">Ingraham, 1929; </w:t>
      </w:r>
      <w:r w:rsidR="003E5A6C">
        <w:t xml:space="preserve">Narayana, 1944; </w:t>
      </w:r>
      <w:r w:rsidR="00437746">
        <w:t xml:space="preserve">Bartlett et al., 1956; </w:t>
      </w:r>
      <w:proofErr w:type="spellStart"/>
      <w:r>
        <w:t>Fendoroff</w:t>
      </w:r>
      <w:proofErr w:type="spellEnd"/>
      <w:r>
        <w:t xml:space="preserve"> et al</w:t>
      </w:r>
      <w:r w:rsidR="008A09DD">
        <w:t>.</w:t>
      </w:r>
      <w:r>
        <w:t xml:space="preserve">, </w:t>
      </w:r>
      <w:r w:rsidR="003C5E7E">
        <w:t xml:space="preserve">1960; Matyas and </w:t>
      </w:r>
      <w:proofErr w:type="spellStart"/>
      <w:r w:rsidR="003C5E7E">
        <w:t>Pachman</w:t>
      </w:r>
      <w:proofErr w:type="spellEnd"/>
      <w:r w:rsidR="003C5E7E">
        <w:t>, 2013</w:t>
      </w:r>
      <w:r>
        <w:t>)</w:t>
      </w:r>
      <w:r w:rsidR="00A6158E">
        <w:t>.  Increasing temperature</w:t>
      </w:r>
      <w:r w:rsidR="00050A14">
        <w:t>s</w:t>
      </w:r>
      <w:r w:rsidR="00A6158E">
        <w:t xml:space="preserve"> </w:t>
      </w:r>
      <w:r w:rsidR="00114BCC">
        <w:t>cause</w:t>
      </w:r>
      <w:r w:rsidR="00050A14">
        <w:t xml:space="preserve"> a</w:t>
      </w:r>
      <w:r w:rsidR="00114BCC">
        <w:t xml:space="preserve"> volatile reaction to </w:t>
      </w:r>
      <w:r>
        <w:t>occur</w:t>
      </w:r>
      <w:r w:rsidR="00114BCC">
        <w:t xml:space="preserve"> faster</w:t>
      </w:r>
      <w:r w:rsidR="00A6158E">
        <w:t xml:space="preserve">, </w:t>
      </w:r>
      <w:r w:rsidR="002A5BDD">
        <w:t>and</w:t>
      </w:r>
      <w:r w:rsidR="00A6158E">
        <w:t xml:space="preserve"> </w:t>
      </w:r>
      <w:r w:rsidR="00114BCC">
        <w:t>auto</w:t>
      </w:r>
      <w:r w:rsidR="00050A14">
        <w:t>-</w:t>
      </w:r>
      <w:r w:rsidR="00114BCC">
        <w:t xml:space="preserve">ignition is </w:t>
      </w:r>
      <w:r w:rsidR="00600F06">
        <w:t xml:space="preserve">at </w:t>
      </w:r>
      <w:r w:rsidR="00114BCC">
        <w:t>170</w:t>
      </w:r>
      <w:r w:rsidR="00114BCC" w:rsidRPr="00CA79FD">
        <w:rPr>
          <w:vertAlign w:val="superscript"/>
        </w:rPr>
        <w:t>o</w:t>
      </w:r>
      <w:r w:rsidR="00114BCC">
        <w:t>C (</w:t>
      </w:r>
      <w:r w:rsidR="003E5A6C">
        <w:t xml:space="preserve">Narayana, 1944; </w:t>
      </w:r>
      <w:r w:rsidR="00437746">
        <w:t xml:space="preserve">Bartlett et al., 1956; </w:t>
      </w:r>
      <w:proofErr w:type="spellStart"/>
      <w:r w:rsidR="00CD5264">
        <w:t>Fendoroff</w:t>
      </w:r>
      <w:proofErr w:type="spellEnd"/>
      <w:r w:rsidR="00CD5264">
        <w:t xml:space="preserve"> et al., 1960; </w:t>
      </w:r>
      <w:r w:rsidR="003C5E7E">
        <w:t xml:space="preserve">Matyas and </w:t>
      </w:r>
      <w:proofErr w:type="spellStart"/>
      <w:r w:rsidR="003C5E7E">
        <w:t>Pachman</w:t>
      </w:r>
      <w:proofErr w:type="spellEnd"/>
      <w:r w:rsidR="003C5E7E">
        <w:t>, 2013</w:t>
      </w:r>
      <w:r w:rsidR="00114BCC">
        <w:t xml:space="preserve">).  Accordingly, </w:t>
      </w:r>
      <w:r w:rsidR="003C5E7E">
        <w:t xml:space="preserve">experiments with </w:t>
      </w:r>
      <w:proofErr w:type="spellStart"/>
      <w:r w:rsidR="007C1E1D">
        <w:t>HgFu</w:t>
      </w:r>
      <w:proofErr w:type="spellEnd"/>
      <w:r w:rsidR="003C5E7E">
        <w:t xml:space="preserve"> need to be </w:t>
      </w:r>
      <w:r w:rsidR="00114BCC">
        <w:t xml:space="preserve">undertaken carefully and in a highly controlled manner in order to not accidentally </w:t>
      </w:r>
      <w:r w:rsidR="00C80D3C">
        <w:t>trigger</w:t>
      </w:r>
      <w:r w:rsidR="00114BCC">
        <w:t xml:space="preserve"> </w:t>
      </w:r>
      <w:r w:rsidR="001F650F">
        <w:t>an</w:t>
      </w:r>
      <w:r w:rsidR="00114BCC">
        <w:t xml:space="preserve"> </w:t>
      </w:r>
      <w:r w:rsidR="002A5BDD">
        <w:t>explosive</w:t>
      </w:r>
      <w:r w:rsidR="006F2FB1" w:rsidRPr="006F2FB1">
        <w:t xml:space="preserve"> </w:t>
      </w:r>
      <w:r w:rsidR="006F2FB1">
        <w:t>response</w:t>
      </w:r>
      <w:r w:rsidR="00114BCC">
        <w:t xml:space="preserve">.  </w:t>
      </w:r>
    </w:p>
    <w:p w:rsidR="005109E0" w:rsidRDefault="00F3228E" w:rsidP="00592F35">
      <w:pPr>
        <w:spacing w:line="480" w:lineRule="auto"/>
        <w:ind w:firstLine="720"/>
        <w:contextualSpacing/>
      </w:pPr>
      <w:r>
        <w:t>D</w:t>
      </w:r>
      <w:r w:rsidR="00502B7B">
        <w:t>ecomposition reaction</w:t>
      </w:r>
      <w:r>
        <w:t>s</w:t>
      </w:r>
      <w:r w:rsidR="00502B7B">
        <w:t xml:space="preserve"> of </w:t>
      </w:r>
      <w:proofErr w:type="spellStart"/>
      <w:r w:rsidR="007C1E1D">
        <w:t>HgFu</w:t>
      </w:r>
      <w:proofErr w:type="spellEnd"/>
      <w:r w:rsidR="00502B7B">
        <w:t xml:space="preserve"> </w:t>
      </w:r>
      <w:r w:rsidR="00EB078B">
        <w:t>likely</w:t>
      </w:r>
      <w:r w:rsidR="00502B7B">
        <w:t xml:space="preserve"> produce some combination of Hg salts and either carbon dioxide (CO</w:t>
      </w:r>
      <w:r w:rsidR="00502B7B" w:rsidRPr="00CA79FD">
        <w:rPr>
          <w:vertAlign w:val="subscript"/>
        </w:rPr>
        <w:t>2</w:t>
      </w:r>
      <w:r w:rsidR="00502B7B">
        <w:t>) or carbon monoxide (CO) and nitrogen (N</w:t>
      </w:r>
      <w:r w:rsidR="00502B7B" w:rsidRPr="00CA79FD">
        <w:rPr>
          <w:vertAlign w:val="subscript"/>
        </w:rPr>
        <w:t>2</w:t>
      </w:r>
      <w:r w:rsidR="00502B7B">
        <w:t>) gasses</w:t>
      </w:r>
      <w:r w:rsidR="00050A14">
        <w:t xml:space="preserve"> [</w:t>
      </w:r>
      <w:r w:rsidR="00592F35">
        <w:t>1, 2</w:t>
      </w:r>
      <w:r w:rsidR="00050A14">
        <w:t>]</w:t>
      </w:r>
      <w:r w:rsidR="00502B7B">
        <w:t xml:space="preserve">.  </w:t>
      </w:r>
      <w:r w:rsidR="00C137E0">
        <w:t xml:space="preserve">Deterioration </w:t>
      </w:r>
      <w:r w:rsidR="00882065">
        <w:t>can</w:t>
      </w:r>
      <w:r w:rsidR="00502B7B">
        <w:t xml:space="preserve"> also produce </w:t>
      </w:r>
      <w:proofErr w:type="gramStart"/>
      <w:r w:rsidR="00502B7B">
        <w:t>Hg(</w:t>
      </w:r>
      <w:proofErr w:type="gramEnd"/>
      <w:r w:rsidR="00502B7B">
        <w:t>II) cyanate</w:t>
      </w:r>
      <w:r w:rsidR="00050A14">
        <w:t xml:space="preserve"> [</w:t>
      </w:r>
      <w:r w:rsidR="00C137E0">
        <w:t>3</w:t>
      </w:r>
      <w:r w:rsidR="00050A14">
        <w:t>]</w:t>
      </w:r>
      <w:r w:rsidR="00502B7B">
        <w:t xml:space="preserve">, </w:t>
      </w:r>
      <w:r w:rsidR="000F1FB4">
        <w:t>an</w:t>
      </w:r>
      <w:r w:rsidR="00502B7B">
        <w:t xml:space="preserve"> isomer of </w:t>
      </w:r>
      <w:proofErr w:type="spellStart"/>
      <w:r w:rsidR="008A09DD">
        <w:t>HgFu</w:t>
      </w:r>
      <w:proofErr w:type="spellEnd"/>
      <w:r w:rsidR="00502B7B">
        <w:t xml:space="preserve">, thus yielding </w:t>
      </w:r>
      <w:r w:rsidR="00050A14">
        <w:t>an</w:t>
      </w:r>
      <w:r w:rsidR="00502B7B">
        <w:t xml:space="preserve"> identical chemical formula with a different atomic arrangement (</w:t>
      </w:r>
      <w:r w:rsidR="00A33EC1">
        <w:t xml:space="preserve">Garner and </w:t>
      </w:r>
      <w:proofErr w:type="spellStart"/>
      <w:r w:rsidR="00A33EC1">
        <w:t>Hailes</w:t>
      </w:r>
      <w:proofErr w:type="spellEnd"/>
      <w:r w:rsidR="00A33EC1">
        <w:t xml:space="preserve">, 1933; Bartlett et al., 1956; </w:t>
      </w:r>
      <w:r w:rsidR="00AD7A41">
        <w:t xml:space="preserve">Matyas and </w:t>
      </w:r>
      <w:proofErr w:type="spellStart"/>
      <w:r w:rsidR="00AD7A41">
        <w:t>Pachman</w:t>
      </w:r>
      <w:proofErr w:type="spellEnd"/>
      <w:r w:rsidR="00AD7A41">
        <w:t>, 2013</w:t>
      </w:r>
      <w:r w:rsidR="00502B7B">
        <w:t xml:space="preserve">).  </w:t>
      </w:r>
    </w:p>
    <w:p w:rsidR="00502B7B" w:rsidRDefault="00502B7B" w:rsidP="00D46C56">
      <w:pPr>
        <w:spacing w:line="480" w:lineRule="auto"/>
        <w:contextualSpacing/>
      </w:pPr>
    </w:p>
    <w:p w:rsidR="005109E0" w:rsidRDefault="00050A14" w:rsidP="00592F35">
      <w:pPr>
        <w:spacing w:line="480" w:lineRule="auto"/>
        <w:contextualSpacing/>
        <w:jc w:val="center"/>
      </w:pPr>
      <w:r>
        <w:t xml:space="preserve">[1] </w:t>
      </w:r>
      <w:r w:rsidR="005109E0">
        <w:t xml:space="preserve">4 </w:t>
      </w:r>
      <w:proofErr w:type="gramStart"/>
      <w:r w:rsidR="005109E0">
        <w:t>Hg(</w:t>
      </w:r>
      <w:proofErr w:type="gramEnd"/>
      <w:r w:rsidR="005109E0">
        <w:t>CNO)</w:t>
      </w:r>
      <w:r w:rsidR="005109E0" w:rsidRPr="00050A14">
        <w:rPr>
          <w:vertAlign w:val="subscript"/>
        </w:rPr>
        <w:t>2</w:t>
      </w:r>
      <w:r w:rsidR="005109E0">
        <w:t xml:space="preserve">  →  2 CO</w:t>
      </w:r>
      <w:r w:rsidR="005109E0" w:rsidRPr="00050A14">
        <w:rPr>
          <w:vertAlign w:val="subscript"/>
        </w:rPr>
        <w:t>2</w:t>
      </w:r>
      <w:r w:rsidR="005109E0">
        <w:t xml:space="preserve"> + N</w:t>
      </w:r>
      <w:r w:rsidR="005109E0" w:rsidRPr="00050A14">
        <w:rPr>
          <w:vertAlign w:val="subscript"/>
        </w:rPr>
        <w:t>2</w:t>
      </w:r>
      <w:r w:rsidR="005109E0">
        <w:t xml:space="preserve"> + </w:t>
      </w:r>
      <w:proofErr w:type="spellStart"/>
      <w:r w:rsidR="005109E0">
        <w:t>HgO</w:t>
      </w:r>
      <w:proofErr w:type="spellEnd"/>
      <w:r w:rsidR="005109E0">
        <w:t xml:space="preserve"> + 3 Hg(OCN)CN</w:t>
      </w:r>
    </w:p>
    <w:p w:rsidR="00592F35" w:rsidRDefault="00592F35" w:rsidP="00C137E0">
      <w:pPr>
        <w:spacing w:line="480" w:lineRule="auto"/>
        <w:contextualSpacing/>
        <w:jc w:val="center"/>
      </w:pPr>
      <w:r>
        <w:t xml:space="preserve">[2] 2 </w:t>
      </w:r>
      <w:proofErr w:type="gramStart"/>
      <w:r>
        <w:t>Hg(</w:t>
      </w:r>
      <w:proofErr w:type="gramEnd"/>
      <w:r>
        <w:t>CNO)</w:t>
      </w:r>
      <w:r w:rsidRPr="00050A14">
        <w:rPr>
          <w:vertAlign w:val="subscript"/>
        </w:rPr>
        <w:t>2</w:t>
      </w:r>
      <w:r>
        <w:t xml:space="preserve">  →  2 CO</w:t>
      </w:r>
      <w:r w:rsidRPr="00050A14">
        <w:rPr>
          <w:vertAlign w:val="subscript"/>
        </w:rPr>
        <w:t>2</w:t>
      </w:r>
      <w:r>
        <w:t xml:space="preserve"> + N</w:t>
      </w:r>
      <w:r w:rsidRPr="00050A14">
        <w:rPr>
          <w:vertAlign w:val="subscript"/>
        </w:rPr>
        <w:t>2</w:t>
      </w:r>
      <w:r>
        <w:t xml:space="preserve"> + Hg + Hg(CN)</w:t>
      </w:r>
      <w:r w:rsidRPr="00050A14">
        <w:rPr>
          <w:vertAlign w:val="subscript"/>
        </w:rPr>
        <w:t>2</w:t>
      </w:r>
      <w:r>
        <w:t xml:space="preserve"> (cyanide)</w:t>
      </w:r>
    </w:p>
    <w:p w:rsidR="00C137E0" w:rsidRDefault="00C137E0" w:rsidP="00C137E0">
      <w:pPr>
        <w:spacing w:line="480" w:lineRule="auto"/>
        <w:ind w:left="360"/>
        <w:contextualSpacing/>
        <w:jc w:val="center"/>
      </w:pPr>
      <w:r>
        <w:t>[</w:t>
      </w:r>
      <w:r w:rsidR="008F7B56">
        <w:t>3</w:t>
      </w:r>
      <w:r>
        <w:t xml:space="preserve">] </w:t>
      </w:r>
      <w:proofErr w:type="gramStart"/>
      <w:r>
        <w:t>Hg(</w:t>
      </w:r>
      <w:proofErr w:type="gramEnd"/>
      <w:r>
        <w:t>CNO)</w:t>
      </w:r>
      <w:r w:rsidRPr="00050A14">
        <w:rPr>
          <w:vertAlign w:val="subscript"/>
        </w:rPr>
        <w:t>2</w:t>
      </w:r>
      <w:r>
        <w:t xml:space="preserve">  →  :Hg(CNO)</w:t>
      </w:r>
      <w:r w:rsidRPr="00050A14">
        <w:rPr>
          <w:vertAlign w:val="subscript"/>
        </w:rPr>
        <w:t>2</w:t>
      </w:r>
      <w:r>
        <w:t xml:space="preserve"> (cyanate)</w:t>
      </w:r>
    </w:p>
    <w:p w:rsidR="005109E0" w:rsidRDefault="00050A14" w:rsidP="00050A14">
      <w:pPr>
        <w:spacing w:line="480" w:lineRule="auto"/>
        <w:ind w:left="360"/>
        <w:contextualSpacing/>
        <w:jc w:val="center"/>
      </w:pPr>
      <w:r>
        <w:lastRenderedPageBreak/>
        <w:t>[</w:t>
      </w:r>
      <w:r w:rsidR="00C137E0">
        <w:t>4</w:t>
      </w:r>
      <w:r>
        <w:t xml:space="preserve">] </w:t>
      </w:r>
      <w:proofErr w:type="gramStart"/>
      <w:r w:rsidR="005109E0">
        <w:t>Hg(</w:t>
      </w:r>
      <w:proofErr w:type="gramEnd"/>
      <w:r w:rsidR="005109E0">
        <w:t>CNO)</w:t>
      </w:r>
      <w:r w:rsidR="005109E0" w:rsidRPr="00050A14">
        <w:rPr>
          <w:vertAlign w:val="subscript"/>
        </w:rPr>
        <w:t>2</w:t>
      </w:r>
      <w:r w:rsidR="005109E0">
        <w:t xml:space="preserve">  →  2 CO + N</w:t>
      </w:r>
      <w:r w:rsidR="005109E0" w:rsidRPr="00050A14">
        <w:rPr>
          <w:vertAlign w:val="subscript"/>
        </w:rPr>
        <w:t>2</w:t>
      </w:r>
      <w:r w:rsidR="005109E0">
        <w:t xml:space="preserve"> + Hg</w:t>
      </w:r>
      <w:r w:rsidR="0002028B">
        <w:t>(</w:t>
      </w:r>
      <w:r w:rsidR="00DB40D2">
        <w:t>0</w:t>
      </w:r>
      <w:r w:rsidR="0002028B">
        <w:t>)</w:t>
      </w:r>
    </w:p>
    <w:p w:rsidR="00CA79FD" w:rsidRDefault="00CA79FD" w:rsidP="00D46C56">
      <w:pPr>
        <w:spacing w:line="480" w:lineRule="auto"/>
        <w:contextualSpacing/>
      </w:pPr>
    </w:p>
    <w:p w:rsidR="00502B7B" w:rsidRDefault="00C137E0" w:rsidP="00D46C56">
      <w:pPr>
        <w:spacing w:line="480" w:lineRule="auto"/>
        <w:ind w:firstLine="720"/>
        <w:contextualSpacing/>
      </w:pPr>
      <w:r>
        <w:t xml:space="preserve">Mercury fulminate </w:t>
      </w:r>
      <w:r w:rsidR="00F3228E">
        <w:t>can</w:t>
      </w:r>
      <w:r>
        <w:t xml:space="preserve"> </w:t>
      </w:r>
      <w:r w:rsidR="00F3228E">
        <w:t xml:space="preserve">disintegrate </w:t>
      </w:r>
      <w:r w:rsidR="004A1EAF">
        <w:t>to</w:t>
      </w:r>
      <w:r w:rsidR="00F3228E">
        <w:t xml:space="preserve"> yield elemental Hg (</w:t>
      </w:r>
      <w:proofErr w:type="gramStart"/>
      <w:r w:rsidR="00F3228E">
        <w:t>Hg(</w:t>
      </w:r>
      <w:proofErr w:type="gramEnd"/>
      <w:r w:rsidR="00F3228E">
        <w:t xml:space="preserve">0)) [4] (Matyas and </w:t>
      </w:r>
      <w:proofErr w:type="spellStart"/>
      <w:r w:rsidR="00F3228E">
        <w:t>Pachman</w:t>
      </w:r>
      <w:proofErr w:type="spellEnd"/>
      <w:r w:rsidR="00F3228E">
        <w:t xml:space="preserve">, 2013), or </w:t>
      </w:r>
      <w:r>
        <w:t xml:space="preserve">react and form fulminates with several other metals, which </w:t>
      </w:r>
      <w:r w:rsidR="00F3228E">
        <w:t>c</w:t>
      </w:r>
      <w:r w:rsidR="006D0282">
        <w:t xml:space="preserve">an then </w:t>
      </w:r>
      <w:r>
        <w:t xml:space="preserve">trigger further decomposition products.  </w:t>
      </w:r>
      <w:r w:rsidR="002C2A84">
        <w:t>Mercury fulminate reacts violently under all conditions with aluminum and magnesium, while zinc</w:t>
      </w:r>
      <w:r w:rsidR="00A16E4C">
        <w:t xml:space="preserve"> and </w:t>
      </w:r>
      <w:r w:rsidR="002C2A84">
        <w:t>copper ensue a slower reaction (</w:t>
      </w:r>
      <w:proofErr w:type="spellStart"/>
      <w:r w:rsidR="00B36EEB">
        <w:t>Fendoroff</w:t>
      </w:r>
      <w:proofErr w:type="spellEnd"/>
      <w:r w:rsidR="00B36EEB">
        <w:t xml:space="preserve"> et al., 1960; </w:t>
      </w:r>
      <w:r w:rsidR="00A16E4C">
        <w:t xml:space="preserve">Matyas and </w:t>
      </w:r>
      <w:proofErr w:type="spellStart"/>
      <w:r w:rsidR="00A16E4C">
        <w:t>Pachman</w:t>
      </w:r>
      <w:proofErr w:type="spellEnd"/>
      <w:r w:rsidR="00A16E4C">
        <w:t xml:space="preserve">, 2013).  </w:t>
      </w:r>
      <w:r w:rsidR="00502B7B">
        <w:t xml:space="preserve">Any </w:t>
      </w:r>
      <w:proofErr w:type="gramStart"/>
      <w:r w:rsidR="00502B7B">
        <w:t>Hg</w:t>
      </w:r>
      <w:r w:rsidR="0002028B">
        <w:t>(</w:t>
      </w:r>
      <w:proofErr w:type="gramEnd"/>
      <w:r w:rsidR="00502B7B">
        <w:t>0</w:t>
      </w:r>
      <w:r w:rsidR="0002028B">
        <w:t>)</w:t>
      </w:r>
      <w:r w:rsidR="00502B7B">
        <w:t xml:space="preserve"> ensuing from </w:t>
      </w:r>
      <w:proofErr w:type="spellStart"/>
      <w:r w:rsidR="007C1E1D">
        <w:t>HgFu</w:t>
      </w:r>
      <w:proofErr w:type="spellEnd"/>
      <w:r w:rsidR="00502B7B">
        <w:t xml:space="preserve"> decomposition can also form amalgams with brass (a</w:t>
      </w:r>
      <w:r w:rsidR="003C110F">
        <w:t xml:space="preserve"> </w:t>
      </w:r>
      <w:r w:rsidR="00502B7B">
        <w:t>copper and zinc</w:t>
      </w:r>
      <w:r w:rsidR="003C110F">
        <w:t xml:space="preserve"> alloy</w:t>
      </w:r>
      <w:r w:rsidR="00502B7B">
        <w:t xml:space="preserve">), which </w:t>
      </w:r>
      <w:r w:rsidR="00B36EEB">
        <w:t>in turn</w:t>
      </w:r>
      <w:r w:rsidR="002A5BDD">
        <w:t xml:space="preserve"> </w:t>
      </w:r>
      <w:r w:rsidR="002C2A84">
        <w:t>corrode</w:t>
      </w:r>
      <w:r w:rsidR="00B36EEB">
        <w:t>s</w:t>
      </w:r>
      <w:r w:rsidR="002C2A84">
        <w:t xml:space="preserve"> </w:t>
      </w:r>
      <w:r w:rsidR="00A16E4C">
        <w:t xml:space="preserve">nearby </w:t>
      </w:r>
      <w:r w:rsidR="002C2A84">
        <w:t>metals</w:t>
      </w:r>
      <w:r w:rsidR="00502B7B">
        <w:t xml:space="preserve">.  Brass and other metal alloys are typically used as </w:t>
      </w:r>
      <w:r w:rsidR="003D1B6E">
        <w:t xml:space="preserve">ammunition </w:t>
      </w:r>
      <w:r w:rsidR="00502B7B">
        <w:t>cartridge</w:t>
      </w:r>
      <w:r w:rsidR="003D1B6E">
        <w:t>s</w:t>
      </w:r>
      <w:r w:rsidR="00502B7B">
        <w:t xml:space="preserve"> or military casings, therefore </w:t>
      </w:r>
      <w:r w:rsidR="00C80D3C">
        <w:t xml:space="preserve">any initial </w:t>
      </w:r>
      <w:proofErr w:type="spellStart"/>
      <w:r w:rsidR="007C1E1D">
        <w:t>HgFu</w:t>
      </w:r>
      <w:proofErr w:type="spellEnd"/>
      <w:r w:rsidR="002A5BDD">
        <w:t xml:space="preserve"> </w:t>
      </w:r>
      <w:r w:rsidR="00C80D3C">
        <w:t xml:space="preserve">decomposition </w:t>
      </w:r>
      <w:r w:rsidR="00502B7B">
        <w:t xml:space="preserve">could lead to additional weakening </w:t>
      </w:r>
      <w:r w:rsidR="001F650F">
        <w:t>of</w:t>
      </w:r>
      <w:r w:rsidR="00502B7B">
        <w:t xml:space="preserve"> </w:t>
      </w:r>
      <w:r w:rsidR="00C80D3C">
        <w:t>neighboring</w:t>
      </w:r>
      <w:r w:rsidR="00502B7B">
        <w:t xml:space="preserve"> bomb</w:t>
      </w:r>
      <w:r w:rsidR="002A5BDD" w:rsidRPr="002A5BDD">
        <w:t xml:space="preserve"> </w:t>
      </w:r>
      <w:r w:rsidR="002A5BDD">
        <w:t>exteriors</w:t>
      </w:r>
      <w:r w:rsidR="00502B7B">
        <w:t>.</w:t>
      </w:r>
      <w:r w:rsidR="00CA113B">
        <w:t xml:space="preserve">  The aim of this study was to access the dissolution of </w:t>
      </w:r>
      <w:proofErr w:type="spellStart"/>
      <w:r w:rsidR="007C1E1D">
        <w:t>HgFu</w:t>
      </w:r>
      <w:proofErr w:type="spellEnd"/>
      <w:r w:rsidR="00CA113B">
        <w:t xml:space="preserve"> in seawaters under varying conditions of temperature and salinity.  The obtained data </w:t>
      </w:r>
      <w:r w:rsidR="001C1544">
        <w:t>can thus</w:t>
      </w:r>
      <w:r w:rsidR="00CA113B">
        <w:t xml:space="preserve"> be used for modeling of release and distribution of Hg from relict munitions in coastal waters.</w:t>
      </w:r>
    </w:p>
    <w:p w:rsidR="0010027E" w:rsidRDefault="0010027E" w:rsidP="00D46C56">
      <w:pPr>
        <w:spacing w:line="480" w:lineRule="auto"/>
        <w:contextualSpacing/>
      </w:pPr>
    </w:p>
    <w:p w:rsidR="003D1B6E" w:rsidRDefault="003D1B6E" w:rsidP="00D46C56">
      <w:pPr>
        <w:spacing w:line="480" w:lineRule="auto"/>
        <w:contextualSpacing/>
      </w:pPr>
    </w:p>
    <w:p w:rsidR="003077D2" w:rsidRDefault="00BA10CB" w:rsidP="00D46C56">
      <w:pPr>
        <w:spacing w:line="480" w:lineRule="auto"/>
        <w:contextualSpacing/>
        <w:rPr>
          <w:b/>
        </w:rPr>
      </w:pPr>
      <w:r w:rsidRPr="00F27625">
        <w:rPr>
          <w:b/>
        </w:rPr>
        <w:t>Methods</w:t>
      </w:r>
    </w:p>
    <w:p w:rsidR="0079468B" w:rsidRPr="002C40E9" w:rsidRDefault="0079468B" w:rsidP="00D46C56">
      <w:pPr>
        <w:spacing w:line="480" w:lineRule="auto"/>
        <w:contextualSpacing/>
        <w:rPr>
          <w:b/>
        </w:rPr>
      </w:pPr>
    </w:p>
    <w:p w:rsidR="00781D71" w:rsidRDefault="00050A14" w:rsidP="00600F06">
      <w:pPr>
        <w:spacing w:line="480" w:lineRule="auto"/>
        <w:ind w:firstLine="720"/>
        <w:contextualSpacing/>
      </w:pPr>
      <w:r>
        <w:t>Mercury fulminate</w:t>
      </w:r>
      <w:r w:rsidR="003E7FA3" w:rsidRPr="00574492">
        <w:t xml:space="preserve"> was </w:t>
      </w:r>
      <w:r w:rsidR="003E7FA3">
        <w:t xml:space="preserve">synthesized </w:t>
      </w:r>
      <w:r>
        <w:t xml:space="preserve">as described in Tomlinson et al (1971) </w:t>
      </w:r>
      <w:r w:rsidR="00117331">
        <w:t>at Fraunhofer Institute for Chemical Technology (Frau</w:t>
      </w:r>
      <w:r w:rsidR="003D7E93">
        <w:t>n</w:t>
      </w:r>
      <w:r w:rsidR="00117331">
        <w:t>hofer ICT)</w:t>
      </w:r>
      <w:r w:rsidR="003E7FA3">
        <w:t xml:space="preserve">. </w:t>
      </w:r>
      <w:r w:rsidR="00502B7B">
        <w:t xml:space="preserve"> </w:t>
      </w:r>
      <w:r w:rsidR="003077D2">
        <w:t xml:space="preserve">The </w:t>
      </w:r>
      <w:proofErr w:type="spellStart"/>
      <w:r w:rsidR="007C1E1D">
        <w:t>HgFu</w:t>
      </w:r>
      <w:proofErr w:type="spellEnd"/>
      <w:r w:rsidR="003077D2">
        <w:t xml:space="preserve"> </w:t>
      </w:r>
      <w:r w:rsidR="00117331">
        <w:t>product</w:t>
      </w:r>
      <w:r w:rsidR="003077D2">
        <w:t xml:space="preserve"> </w:t>
      </w:r>
      <w:r>
        <w:t>was in the form of</w:t>
      </w:r>
      <w:r w:rsidR="003077D2">
        <w:t xml:space="preserve"> brown-colored crystals</w:t>
      </w:r>
      <w:r>
        <w:t xml:space="preserve">, </w:t>
      </w:r>
      <w:r w:rsidR="003077D2">
        <w:t xml:space="preserve">which </w:t>
      </w:r>
      <w:r w:rsidR="00117331">
        <w:t>is</w:t>
      </w:r>
      <w:r w:rsidR="003077D2">
        <w:t xml:space="preserve"> consistent with a highly pure composition (&gt;99.5%) </w:t>
      </w:r>
      <w:r>
        <w:t>with</w:t>
      </w:r>
      <w:r w:rsidR="003077D2">
        <w:t xml:space="preserve"> </w:t>
      </w:r>
      <w:r w:rsidR="00117331">
        <w:t>no</w:t>
      </w:r>
      <w:r w:rsidR="005E31F8">
        <w:t xml:space="preserve"> </w:t>
      </w:r>
      <w:r w:rsidR="003077D2">
        <w:t xml:space="preserve">metallic Hg (Matyas and </w:t>
      </w:r>
      <w:proofErr w:type="spellStart"/>
      <w:r w:rsidR="003077D2">
        <w:t>Pachman</w:t>
      </w:r>
      <w:proofErr w:type="spellEnd"/>
      <w:r w:rsidR="003077D2">
        <w:t xml:space="preserve">, 2013).  </w:t>
      </w:r>
      <w:r w:rsidR="00F50490">
        <w:t>D</w:t>
      </w:r>
      <w:r w:rsidR="00117331">
        <w:t>etonation sensitivity was tested according to DIN EN 13631-3 and DIN EN 13631-4, and indicated an impact sensitivity of 4 Nm with a friction sensitivity of &lt;5 N.</w:t>
      </w:r>
    </w:p>
    <w:p w:rsidR="00792FE7" w:rsidRDefault="00B90944" w:rsidP="004D3245">
      <w:pPr>
        <w:spacing w:line="480" w:lineRule="auto"/>
        <w:ind w:firstLine="720"/>
        <w:contextualSpacing/>
      </w:pPr>
      <w:r>
        <w:lastRenderedPageBreak/>
        <w:t xml:space="preserve">The </w:t>
      </w:r>
      <w:proofErr w:type="spellStart"/>
      <w:r w:rsidR="007C1E1D">
        <w:t>HgFu</w:t>
      </w:r>
      <w:proofErr w:type="spellEnd"/>
      <w:r>
        <w:t xml:space="preserve"> dissolution was d</w:t>
      </w:r>
      <w:r w:rsidRPr="00574492">
        <w:t>etermine</w:t>
      </w:r>
      <w:r>
        <w:t>d</w:t>
      </w:r>
      <w:r w:rsidRPr="00574492">
        <w:t xml:space="preserve"> </w:t>
      </w:r>
      <w:r w:rsidR="00CB24A9">
        <w:t>at 6</w:t>
      </w:r>
      <w:r w:rsidR="00AD613C">
        <w:t xml:space="preserve"> to </w:t>
      </w:r>
      <w:r w:rsidR="00BF6B06">
        <w:t>24-hour</w:t>
      </w:r>
      <w:r w:rsidR="00CB24A9">
        <w:t xml:space="preserve"> intervals </w:t>
      </w:r>
      <w:r w:rsidRPr="00574492">
        <w:t xml:space="preserve">under </w:t>
      </w:r>
      <w:r w:rsidR="001F650F">
        <w:t>a range of</w:t>
      </w:r>
      <w:r>
        <w:t xml:space="preserve"> salinit</w:t>
      </w:r>
      <w:r w:rsidR="001F650F">
        <w:t>y</w:t>
      </w:r>
      <w:r>
        <w:t xml:space="preserve"> and temperature</w:t>
      </w:r>
      <w:r w:rsidR="001F650F">
        <w:t xml:space="preserve"> conditions</w:t>
      </w:r>
      <w:r>
        <w:t>.</w:t>
      </w:r>
      <w:r w:rsidR="00CB24A9">
        <w:t xml:space="preserve">  </w:t>
      </w:r>
      <w:r w:rsidR="00792FE7">
        <w:t xml:space="preserve">All incubations were </w:t>
      </w:r>
      <w:r w:rsidR="00821B00">
        <w:t>performed</w:t>
      </w:r>
      <w:r w:rsidR="00792FE7">
        <w:t xml:space="preserve"> in artificial seawater made</w:t>
      </w:r>
      <w:r w:rsidR="00CB24A9">
        <w:t xml:space="preserve"> </w:t>
      </w:r>
      <w:r w:rsidR="00117331">
        <w:t>according to the recipe of</w:t>
      </w:r>
      <w:r w:rsidR="00792FE7">
        <w:t xml:space="preserve"> </w:t>
      </w:r>
      <w:proofErr w:type="spellStart"/>
      <w:r w:rsidR="00792FE7">
        <w:t>Sunda</w:t>
      </w:r>
      <w:proofErr w:type="spellEnd"/>
      <w:r w:rsidR="00792FE7">
        <w:t xml:space="preserve"> </w:t>
      </w:r>
      <w:r w:rsidR="00117331">
        <w:t>et al.</w:t>
      </w:r>
      <w:r w:rsidR="00792FE7">
        <w:t xml:space="preserve"> (</w:t>
      </w:r>
      <w:r w:rsidR="00117331">
        <w:t>200</w:t>
      </w:r>
      <w:r w:rsidR="00525298">
        <w:t>5</w:t>
      </w:r>
      <w:r w:rsidR="00792FE7">
        <w:t>).</w:t>
      </w:r>
      <w:r w:rsidR="006B351D">
        <w:t xml:space="preserve">  The primary solution was 36 </w:t>
      </w:r>
      <w:proofErr w:type="spellStart"/>
      <w:r w:rsidR="006B351D">
        <w:t>psu</w:t>
      </w:r>
      <w:proofErr w:type="spellEnd"/>
      <w:r w:rsidR="006B351D">
        <w:t xml:space="preserve">, and intermediate salinities (0.1, 9, 18, 27 </w:t>
      </w:r>
      <w:proofErr w:type="spellStart"/>
      <w:r w:rsidR="006B351D">
        <w:t>psu</w:t>
      </w:r>
      <w:proofErr w:type="spellEnd"/>
      <w:r w:rsidR="006B351D">
        <w:t xml:space="preserve">) were </w:t>
      </w:r>
      <w:r w:rsidR="00E40C9D">
        <w:t xml:space="preserve">prepared </w:t>
      </w:r>
      <w:r w:rsidR="00AD7A41">
        <w:t>via</w:t>
      </w:r>
      <w:r w:rsidR="006B351D">
        <w:t xml:space="preserve"> dilution </w:t>
      </w:r>
      <w:r w:rsidR="007C2943">
        <w:t>with</w:t>
      </w:r>
      <w:r w:rsidR="006B351D">
        <w:t xml:space="preserve"> </w:t>
      </w:r>
      <w:r w:rsidR="00ED2B5D">
        <w:t>ultrapure</w:t>
      </w:r>
      <w:r w:rsidR="006B351D">
        <w:t xml:space="preserve"> water</w:t>
      </w:r>
      <w:r w:rsidR="001F650F">
        <w:t xml:space="preserve"> (</w:t>
      </w:r>
      <w:proofErr w:type="spellStart"/>
      <w:r w:rsidR="001F650F">
        <w:t>MilliQ</w:t>
      </w:r>
      <w:proofErr w:type="spellEnd"/>
      <w:r w:rsidR="001F650F">
        <w:t>, Millipore, 18.2 MΩ cm)</w:t>
      </w:r>
      <w:r w:rsidR="006B351D">
        <w:t xml:space="preserve">.  </w:t>
      </w:r>
      <w:r w:rsidR="00CB24A9">
        <w:t>Experimental</w:t>
      </w:r>
      <w:r w:rsidR="006B351D">
        <w:t xml:space="preserve"> temperatures were </w:t>
      </w:r>
      <w:r w:rsidR="00ED2B5D">
        <w:t>held to</w:t>
      </w:r>
      <w:r w:rsidR="006B351D">
        <w:t xml:space="preserve"> 5, 20 and 30</w:t>
      </w:r>
      <w:r w:rsidR="006B351D" w:rsidRPr="00E40C9D">
        <w:rPr>
          <w:vertAlign w:val="superscript"/>
        </w:rPr>
        <w:t>o</w:t>
      </w:r>
      <w:r w:rsidR="006B351D">
        <w:t>C</w:t>
      </w:r>
      <w:r w:rsidR="00904B84">
        <w:t xml:space="preserve"> </w:t>
      </w:r>
      <w:r w:rsidR="005821BB">
        <w:t>using</w:t>
      </w:r>
      <w:r w:rsidR="00904B84">
        <w:t xml:space="preserve"> stirred water baths</w:t>
      </w:r>
      <w:r w:rsidR="006B351D">
        <w:t xml:space="preserve">.  </w:t>
      </w:r>
      <w:r w:rsidR="00CE6FB6">
        <w:t xml:space="preserve">The </w:t>
      </w:r>
      <w:r w:rsidR="00904B84">
        <w:t xml:space="preserve">initial </w:t>
      </w:r>
      <w:r w:rsidR="007C2943">
        <w:t xml:space="preserve">incubation </w:t>
      </w:r>
      <w:r w:rsidR="00CE6FB6">
        <w:t xml:space="preserve">concentration comprised </w:t>
      </w:r>
      <w:r w:rsidR="007C2943">
        <w:t xml:space="preserve">approximately 20 mg of </w:t>
      </w:r>
      <w:proofErr w:type="spellStart"/>
      <w:r w:rsidR="007C1E1D">
        <w:t>HgFu</w:t>
      </w:r>
      <w:proofErr w:type="spellEnd"/>
      <w:r w:rsidR="007C2943">
        <w:t xml:space="preserve"> placed in </w:t>
      </w:r>
      <w:r w:rsidR="00CE6FB6">
        <w:t xml:space="preserve">100 mL of solution (200 mg/L).  </w:t>
      </w:r>
      <w:r w:rsidR="00904B84">
        <w:t>Complete dissolution was observed in several treatments within 24</w:t>
      </w:r>
      <w:r w:rsidR="008472A7">
        <w:t xml:space="preserve"> </w:t>
      </w:r>
      <w:r w:rsidR="00904B84">
        <w:t xml:space="preserve">h, </w:t>
      </w:r>
      <w:r w:rsidR="005821BB">
        <w:t xml:space="preserve">and </w:t>
      </w:r>
      <w:r w:rsidR="00904B84">
        <w:t xml:space="preserve">these treatments were repeated at a higher </w:t>
      </w:r>
      <w:proofErr w:type="spellStart"/>
      <w:r w:rsidR="007C1E1D">
        <w:t>HgFu</w:t>
      </w:r>
      <w:r w:rsidR="00904B84">
        <w:t>:solution</w:t>
      </w:r>
      <w:proofErr w:type="spellEnd"/>
      <w:r w:rsidR="00904B84">
        <w:t xml:space="preserve"> ratio of </w:t>
      </w:r>
      <w:r w:rsidR="009B7DCA">
        <w:t>100 mg</w:t>
      </w:r>
      <w:r w:rsidR="00AC3125">
        <w:t xml:space="preserve"> per 100 m</w:t>
      </w:r>
      <w:r w:rsidR="009B7DCA">
        <w:t>L (</w:t>
      </w:r>
      <w:r w:rsidR="006B2230">
        <w:t>1 g/L</w:t>
      </w:r>
      <w:r w:rsidR="009B7DCA">
        <w:t>)</w:t>
      </w:r>
      <w:r w:rsidR="00904B84">
        <w:t xml:space="preserve">.  </w:t>
      </w:r>
      <w:r w:rsidR="004D3245">
        <w:t xml:space="preserve">However, given the limited available mass of </w:t>
      </w:r>
      <w:proofErr w:type="spellStart"/>
      <w:r w:rsidR="007C1E1D">
        <w:t>HgFu</w:t>
      </w:r>
      <w:proofErr w:type="spellEnd"/>
      <w:r w:rsidR="004D3245">
        <w:t xml:space="preserve">, not all treatments could be repeated.  </w:t>
      </w:r>
      <w:r w:rsidR="006B351D">
        <w:t>All incubation treatments were performed in triplicate in acid cleaned borosilicate glass bottles.  Samples (0.5 m</w:t>
      </w:r>
      <w:r w:rsidR="00CD4989">
        <w:t>l</w:t>
      </w:r>
      <w:r w:rsidR="006B351D">
        <w:t xml:space="preserve">) were collected </w:t>
      </w:r>
      <w:r w:rsidR="00904B84">
        <w:t xml:space="preserve">at five intervals over a </w:t>
      </w:r>
      <w:r w:rsidR="00BF6B06">
        <w:t>60-h</w:t>
      </w:r>
      <w:r w:rsidR="00904B84">
        <w:t xml:space="preserve"> period, </w:t>
      </w:r>
      <w:r w:rsidR="006B351D">
        <w:t xml:space="preserve">and acidified </w:t>
      </w:r>
      <w:r w:rsidR="00904B84">
        <w:t>to</w:t>
      </w:r>
      <w:r w:rsidR="006B351D">
        <w:t xml:space="preserve"> 4% (20 </w:t>
      </w:r>
      <w:r w:rsidR="002A5BDD">
        <w:t>µ</w:t>
      </w:r>
      <w:r w:rsidR="005B0D72">
        <w:t>l</w:t>
      </w:r>
      <w:r w:rsidR="006B351D">
        <w:t xml:space="preserve">) </w:t>
      </w:r>
      <w:r w:rsidR="00904B84">
        <w:t xml:space="preserve">with </w:t>
      </w:r>
      <w:r w:rsidR="006B351D">
        <w:t>ultrapure HCl</w:t>
      </w:r>
      <w:r w:rsidR="005821BB">
        <w:t xml:space="preserve"> (</w:t>
      </w:r>
      <w:proofErr w:type="spellStart"/>
      <w:r w:rsidR="005821BB">
        <w:t>Romil</w:t>
      </w:r>
      <w:proofErr w:type="spellEnd"/>
      <w:r w:rsidR="005821BB">
        <w:t>, UPA)</w:t>
      </w:r>
      <w:r w:rsidR="006B351D">
        <w:t>.</w:t>
      </w:r>
      <w:r w:rsidR="00AD7A41">
        <w:t xml:space="preserve">  Dissolved </w:t>
      </w:r>
      <w:proofErr w:type="spellStart"/>
      <w:r w:rsidR="007C1E1D">
        <w:t>HgFu</w:t>
      </w:r>
      <w:proofErr w:type="spellEnd"/>
      <w:r w:rsidR="00904B84">
        <w:t xml:space="preserve"> was measured as total Hg</w:t>
      </w:r>
      <w:r w:rsidR="00AD7A41">
        <w:t xml:space="preserve"> </w:t>
      </w:r>
      <w:r w:rsidR="00904B84">
        <w:t>by</w:t>
      </w:r>
      <w:r w:rsidR="00CB24A9">
        <w:t xml:space="preserve"> high resolution inductively co</w:t>
      </w:r>
      <w:r w:rsidR="00DD0169">
        <w:t>u</w:t>
      </w:r>
      <w:r w:rsidR="00CB24A9">
        <w:t>pled plasma mass spectrometry (HR-</w:t>
      </w:r>
      <w:r w:rsidR="00AD7A41">
        <w:t>ICP</w:t>
      </w:r>
      <w:r w:rsidR="00CB24A9">
        <w:t>-</w:t>
      </w:r>
      <w:r w:rsidR="00AD7A41">
        <w:t>MS</w:t>
      </w:r>
      <w:r w:rsidR="00CB24A9">
        <w:t xml:space="preserve">; Element XR </w:t>
      </w:r>
      <w:proofErr w:type="spellStart"/>
      <w:r w:rsidR="00CB24A9">
        <w:t>Thermofisher</w:t>
      </w:r>
      <w:proofErr w:type="spellEnd"/>
      <w:r w:rsidR="00CB24A9">
        <w:t>)</w:t>
      </w:r>
      <w:r w:rsidR="00AD7A41">
        <w:t xml:space="preserve"> at GEOMAR after </w:t>
      </w:r>
      <w:r w:rsidR="00A05F15">
        <w:t xml:space="preserve">a </w:t>
      </w:r>
      <w:r w:rsidR="00AD7A41">
        <w:t>1000 to 10.000-fold dilution with 1 M nitric acid</w:t>
      </w:r>
      <w:r w:rsidR="005821BB">
        <w:t xml:space="preserve"> (</w:t>
      </w:r>
      <w:proofErr w:type="spellStart"/>
      <w:r w:rsidR="005821BB">
        <w:t>Romil</w:t>
      </w:r>
      <w:proofErr w:type="spellEnd"/>
      <w:r w:rsidR="005821BB">
        <w:t>, SPA, distilled)</w:t>
      </w:r>
      <w:r w:rsidR="00AD7A41">
        <w:t xml:space="preserve">.  </w:t>
      </w:r>
      <w:r w:rsidR="00E87D10">
        <w:t>Analytical uncertainties were 1.2 ± 0.6%</w:t>
      </w:r>
      <w:r w:rsidR="00326F13">
        <w:t xml:space="preserve"> relative standard deviation (RSD) </w:t>
      </w:r>
      <w:r w:rsidR="00E87D10">
        <w:t xml:space="preserve">and 1.5 ± 0.5% for low- and high- solid experiments, respectively.  Blank Hg concentrations were &lt;1% of those in the samples.  </w:t>
      </w:r>
    </w:p>
    <w:p w:rsidR="00F16A89" w:rsidRDefault="00F16A89" w:rsidP="00D46C56">
      <w:pPr>
        <w:spacing w:line="480" w:lineRule="auto"/>
        <w:contextualSpacing/>
      </w:pPr>
    </w:p>
    <w:p w:rsidR="00BA10CB" w:rsidRDefault="00BA10CB" w:rsidP="00D46C56">
      <w:pPr>
        <w:spacing w:line="480" w:lineRule="auto"/>
        <w:contextualSpacing/>
      </w:pPr>
    </w:p>
    <w:p w:rsidR="00CC0F66" w:rsidRDefault="007C2943" w:rsidP="002C40E9">
      <w:pPr>
        <w:spacing w:line="480" w:lineRule="auto"/>
        <w:contextualSpacing/>
        <w:rPr>
          <w:b/>
        </w:rPr>
      </w:pPr>
      <w:r w:rsidRPr="00CC0F66">
        <w:rPr>
          <w:b/>
        </w:rPr>
        <w:t>Results</w:t>
      </w:r>
      <w:r w:rsidR="00C45CF6">
        <w:rPr>
          <w:b/>
        </w:rPr>
        <w:t xml:space="preserve"> </w:t>
      </w:r>
      <w:r w:rsidR="00FD7EF2">
        <w:rPr>
          <w:b/>
        </w:rPr>
        <w:t xml:space="preserve">&amp; </w:t>
      </w:r>
      <w:r w:rsidR="00C45CF6" w:rsidRPr="00CC0F66">
        <w:rPr>
          <w:b/>
        </w:rPr>
        <w:t>Discussion</w:t>
      </w:r>
    </w:p>
    <w:p w:rsidR="0079468B" w:rsidRPr="002C40E9" w:rsidRDefault="0079468B" w:rsidP="002C40E9">
      <w:pPr>
        <w:spacing w:line="480" w:lineRule="auto"/>
        <w:contextualSpacing/>
        <w:rPr>
          <w:b/>
        </w:rPr>
      </w:pPr>
    </w:p>
    <w:p w:rsidR="00326F13" w:rsidRDefault="00326F13" w:rsidP="00326F13">
      <w:pPr>
        <w:spacing w:line="480" w:lineRule="auto"/>
        <w:ind w:firstLine="720"/>
        <w:contextualSpacing/>
      </w:pPr>
      <w:r>
        <w:t xml:space="preserve">The </w:t>
      </w:r>
      <w:proofErr w:type="spellStart"/>
      <w:r>
        <w:t>HgFu</w:t>
      </w:r>
      <w:proofErr w:type="spellEnd"/>
      <w:r>
        <w:t xml:space="preserve"> product had distinctive individual crystals which were approximately 100-300 µm in length (Figure 1 top).  </w:t>
      </w:r>
      <w:r w:rsidR="00AC6FCE">
        <w:t xml:space="preserve">Dry </w:t>
      </w:r>
      <w:proofErr w:type="spellStart"/>
      <w:r w:rsidR="007C1E1D">
        <w:t>HgFu</w:t>
      </w:r>
      <w:proofErr w:type="spellEnd"/>
      <w:r w:rsidR="00AC6FCE">
        <w:t xml:space="preserve"> </w:t>
      </w:r>
      <w:r w:rsidR="009552E9">
        <w:t>reacts</w:t>
      </w:r>
      <w:r w:rsidR="00AC6FCE">
        <w:t xml:space="preserve"> immediately and rapidly in the presence of low amounts of moisture (</w:t>
      </w:r>
      <w:r w:rsidR="00040B50">
        <w:t xml:space="preserve">Matyas and </w:t>
      </w:r>
      <w:proofErr w:type="spellStart"/>
      <w:r w:rsidR="00040B50">
        <w:t>Pachman</w:t>
      </w:r>
      <w:proofErr w:type="spellEnd"/>
      <w:r w:rsidR="00040B50">
        <w:t>, 2013</w:t>
      </w:r>
      <w:r w:rsidR="00AC6FCE">
        <w:t xml:space="preserve">).  </w:t>
      </w:r>
      <w:r w:rsidR="005821BB">
        <w:t>Whilst</w:t>
      </w:r>
      <w:r w:rsidR="006B351D">
        <w:t xml:space="preserve"> </w:t>
      </w:r>
      <w:r w:rsidR="00C47A5E">
        <w:t xml:space="preserve">pure </w:t>
      </w:r>
      <w:proofErr w:type="spellStart"/>
      <w:r w:rsidR="007C1E1D">
        <w:t>HgFu</w:t>
      </w:r>
      <w:proofErr w:type="spellEnd"/>
      <w:r w:rsidR="006B351D">
        <w:t xml:space="preserve"> </w:t>
      </w:r>
      <w:r w:rsidR="00C1252E">
        <w:t>is classified as</w:t>
      </w:r>
      <w:r w:rsidR="006B351D">
        <w:t xml:space="preserve"> slightly </w:t>
      </w:r>
      <w:r w:rsidR="006B351D">
        <w:lastRenderedPageBreak/>
        <w:t>soluble</w:t>
      </w:r>
      <w:r w:rsidR="00CE6FB6">
        <w:t xml:space="preserve"> (</w:t>
      </w:r>
      <w:r w:rsidR="00703BEE">
        <w:t xml:space="preserve">Matyas and </w:t>
      </w:r>
      <w:proofErr w:type="spellStart"/>
      <w:r w:rsidR="00703BEE">
        <w:t>Pachman</w:t>
      </w:r>
      <w:proofErr w:type="spellEnd"/>
      <w:r w:rsidR="00703BEE">
        <w:t>, 2013</w:t>
      </w:r>
      <w:r w:rsidR="00CE6FB6">
        <w:t>)</w:t>
      </w:r>
      <w:r w:rsidR="006B351D">
        <w:t xml:space="preserve">, </w:t>
      </w:r>
      <w:r w:rsidR="005821BB">
        <w:t>our</w:t>
      </w:r>
      <w:r w:rsidR="00904B84">
        <w:t xml:space="preserve"> </w:t>
      </w:r>
      <w:r w:rsidR="00C47A5E">
        <w:t>results</w:t>
      </w:r>
      <w:r w:rsidR="006B351D">
        <w:t xml:space="preserve"> </w:t>
      </w:r>
      <w:r w:rsidR="005821BB">
        <w:t>indicated</w:t>
      </w:r>
      <w:r w:rsidR="006B351D">
        <w:t xml:space="preserve"> that </w:t>
      </w:r>
      <w:proofErr w:type="spellStart"/>
      <w:r w:rsidR="007C1E1D">
        <w:t>HgFu</w:t>
      </w:r>
      <w:proofErr w:type="spellEnd"/>
      <w:r w:rsidR="006B351D">
        <w:t xml:space="preserve"> dissolved </w:t>
      </w:r>
      <w:r w:rsidR="005821BB">
        <w:t>readily</w:t>
      </w:r>
      <w:r w:rsidR="006B351D">
        <w:t xml:space="preserve"> in </w:t>
      </w:r>
      <w:r w:rsidR="002A5BDD">
        <w:t xml:space="preserve">fresh and seawater </w:t>
      </w:r>
      <w:r w:rsidR="00ED2B5D">
        <w:t>solution</w:t>
      </w:r>
      <w:r w:rsidR="002A5BDD">
        <w:t>s</w:t>
      </w:r>
      <w:r w:rsidR="00C47A5E">
        <w:t xml:space="preserve">.  </w:t>
      </w:r>
      <w:r w:rsidR="000F4BCD">
        <w:t>D</w:t>
      </w:r>
      <w:r w:rsidR="008A1303">
        <w:t>issolution</w:t>
      </w:r>
      <w:r w:rsidR="00E116E1">
        <w:t xml:space="preserve"> </w:t>
      </w:r>
      <w:r w:rsidR="005821BB">
        <w:t>rate</w:t>
      </w:r>
      <w:r w:rsidR="000F4BCD">
        <w:t>s</w:t>
      </w:r>
      <w:r w:rsidR="005821BB">
        <w:t xml:space="preserve"> </w:t>
      </w:r>
      <w:r w:rsidR="008A1303">
        <w:t xml:space="preserve">of </w:t>
      </w:r>
      <w:proofErr w:type="spellStart"/>
      <w:r w:rsidR="007C1E1D">
        <w:t>HgFu</w:t>
      </w:r>
      <w:proofErr w:type="spellEnd"/>
      <w:r w:rsidR="008A1303">
        <w:t xml:space="preserve"> </w:t>
      </w:r>
      <w:r w:rsidR="005821BB">
        <w:t>were variable depending on temperature and salinity</w:t>
      </w:r>
      <w:r w:rsidR="00E116E1">
        <w:t>.</w:t>
      </w:r>
      <w:r w:rsidR="004A312B">
        <w:t xml:space="preserve">  </w:t>
      </w:r>
      <w:r w:rsidR="00450131">
        <w:t xml:space="preserve">A plot displaying typical dissolution data for three conditions is shown in Figure </w:t>
      </w:r>
      <w:r w:rsidR="00F50FAE">
        <w:t>1 (bottom)</w:t>
      </w:r>
      <w:r w:rsidR="00450131">
        <w:t xml:space="preserve">.  </w:t>
      </w:r>
    </w:p>
    <w:p w:rsidR="00326F13" w:rsidRDefault="00326F13" w:rsidP="00326F13">
      <w:pPr>
        <w:spacing w:line="480" w:lineRule="auto"/>
        <w:ind w:firstLine="720"/>
        <w:contextualSpacing/>
      </w:pPr>
    </w:p>
    <w:p w:rsidR="00326F13" w:rsidRDefault="00326F13" w:rsidP="00326F13">
      <w:pPr>
        <w:contextualSpacing/>
      </w:pPr>
    </w:p>
    <w:p w:rsidR="00326F13" w:rsidRDefault="00326F13" w:rsidP="00326F13">
      <w:pPr>
        <w:jc w:val="center"/>
      </w:pPr>
      <w:r>
        <w:rPr>
          <w:noProof/>
        </w:rPr>
        <w:drawing>
          <wp:inline distT="0" distB="0" distL="0" distR="0" wp14:anchorId="4E633DDA" wp14:editId="5048C14A">
            <wp:extent cx="2926287" cy="2194560"/>
            <wp:effectExtent l="19050" t="19050" r="2667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G-fulminat_x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6287" cy="2194560"/>
                    </a:xfrm>
                    <a:prstGeom prst="rect">
                      <a:avLst/>
                    </a:prstGeom>
                    <a:ln>
                      <a:solidFill>
                        <a:schemeClr val="tx2"/>
                      </a:solidFill>
                    </a:ln>
                  </pic:spPr>
                </pic:pic>
              </a:graphicData>
            </a:graphic>
          </wp:inline>
        </w:drawing>
      </w:r>
      <w:r>
        <w:t xml:space="preserve">  </w:t>
      </w:r>
      <w:r>
        <w:rPr>
          <w:noProof/>
        </w:rPr>
        <w:drawing>
          <wp:inline distT="0" distB="0" distL="0" distR="0" wp14:anchorId="122C1FB5" wp14:editId="41C924D7">
            <wp:extent cx="4698609" cy="2820573"/>
            <wp:effectExtent l="0" t="0" r="3175" b="6350"/>
            <wp:docPr id="1" name="Chart 1">
              <a:extLst xmlns:a="http://schemas.openxmlformats.org/drawingml/2006/main">
                <a:ext uri="{FF2B5EF4-FFF2-40B4-BE49-F238E27FC236}">
                  <a16:creationId xmlns:a16="http://schemas.microsoft.com/office/drawing/2014/main" id="{23440ABA-BE65-4B4D-8E9C-3148EBAFE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26F13" w:rsidRPr="00BF6B06" w:rsidRDefault="00326F13" w:rsidP="00326F13">
      <w:pPr>
        <w:jc w:val="center"/>
      </w:pPr>
    </w:p>
    <w:p w:rsidR="00326F13" w:rsidRDefault="00326F13" w:rsidP="00326F13">
      <w:r w:rsidRPr="00BA43E4">
        <w:rPr>
          <w:b/>
        </w:rPr>
        <w:t>Figure 1</w:t>
      </w:r>
      <w:r>
        <w:t>.  Light microscope image of synthesized mercury fulminate (</w:t>
      </w:r>
      <w:proofErr w:type="spellStart"/>
      <w:r>
        <w:t>HgFu</w:t>
      </w:r>
      <w:proofErr w:type="spellEnd"/>
      <w:r>
        <w:t>) crystals at 500 µm (top).  Examples of dissolved mercury concentrations over the experiment incubation period for 3 different temperature treatments are displayed in the bottom plot.  Regression lines indicate the linear region of the data used to calculate dissolution rates.  Data points used for regression were the first two, four, then all six for 30, 20 and 5</w:t>
      </w:r>
      <w:r w:rsidRPr="001B4D66">
        <w:rPr>
          <w:vertAlign w:val="superscript"/>
        </w:rPr>
        <w:t>o</w:t>
      </w:r>
      <w:r>
        <w:t>C, respectively.</w:t>
      </w:r>
    </w:p>
    <w:p w:rsidR="00326F13" w:rsidRDefault="00326F13" w:rsidP="00326F13">
      <w:pPr>
        <w:spacing w:line="480" w:lineRule="auto"/>
        <w:contextualSpacing/>
      </w:pPr>
    </w:p>
    <w:p w:rsidR="00326F13" w:rsidRDefault="00326F13" w:rsidP="004A312B">
      <w:pPr>
        <w:spacing w:line="480" w:lineRule="auto"/>
        <w:ind w:firstLine="720"/>
        <w:contextualSpacing/>
      </w:pPr>
    </w:p>
    <w:p w:rsidR="004A312B" w:rsidRDefault="004A312B" w:rsidP="004A312B">
      <w:pPr>
        <w:spacing w:line="480" w:lineRule="auto"/>
        <w:ind w:firstLine="720"/>
        <w:contextualSpacing/>
      </w:pPr>
      <w:r>
        <w:t>A</w:t>
      </w:r>
      <w:r w:rsidR="00BF6B06">
        <w:t xml:space="preserve">ll treatments </w:t>
      </w:r>
      <w:r>
        <w:t>show that</w:t>
      </w:r>
      <w:r w:rsidR="00BF6B06">
        <w:t xml:space="preserve"> dissolved Hg concentrations increase rapidly during initial time points, </w:t>
      </w:r>
      <w:r>
        <w:t>until concentrations level</w:t>
      </w:r>
      <w:r w:rsidR="00C50914">
        <w:t>ed</w:t>
      </w:r>
      <w:r>
        <w:t xml:space="preserve"> </w:t>
      </w:r>
      <w:r w:rsidR="00F72636">
        <w:t>after</w:t>
      </w:r>
      <w:r>
        <w:t xml:space="preserve"> reaching complete dissolution</w:t>
      </w:r>
      <w:r w:rsidR="00BF6B06">
        <w:t xml:space="preserve">.  </w:t>
      </w:r>
      <w:r>
        <w:t xml:space="preserve">In effect, the dissolving amounts seem limited by </w:t>
      </w:r>
      <w:proofErr w:type="spellStart"/>
      <w:r>
        <w:t>HgFu</w:t>
      </w:r>
      <w:proofErr w:type="spellEnd"/>
      <w:r>
        <w:t xml:space="preserve"> mass availability in each treatment, and the plateaus represent </w:t>
      </w:r>
      <w:r w:rsidR="00263644">
        <w:t>a</w:t>
      </w:r>
      <w:r>
        <w:t xml:space="preserve"> source exhaustion rather than saturation.  Traditional dissolution models such as the stagnant film model could not be applied because saturation was not achieved.  Therefore, dissolution rates were calculated from the slope of a linear best fit to the pre-plateau data (Figure 1 bottom).  The immediate and sharp concentration increase is likely due to instantaneous dissolution of the finest </w:t>
      </w:r>
      <w:proofErr w:type="spellStart"/>
      <w:r>
        <w:t>HgFu</w:t>
      </w:r>
      <w:proofErr w:type="spellEnd"/>
      <w:r>
        <w:t xml:space="preserve"> crystals or fragments.  This rapid dissolution was assumed to be an experimental artefact not representative of the true dissolution rate, thus the intercept of best fit lines was not considered further.</w:t>
      </w:r>
    </w:p>
    <w:p w:rsidR="00BF6B06" w:rsidRPr="004F22FD" w:rsidRDefault="00BF6B06" w:rsidP="00BF6B06">
      <w:pPr>
        <w:spacing w:line="480" w:lineRule="auto"/>
        <w:ind w:firstLine="720"/>
        <w:contextualSpacing/>
      </w:pPr>
      <w:r>
        <w:t xml:space="preserve">In the experiments with 200 mg/L </w:t>
      </w:r>
      <w:proofErr w:type="spellStart"/>
      <w:r>
        <w:t>HgFu</w:t>
      </w:r>
      <w:proofErr w:type="spellEnd"/>
      <w:r>
        <w:t xml:space="preserve"> (i.e. low-solids) maximum concentrations indicated complete dissolution of the solid material within 24 h, except those at 5</w:t>
      </w:r>
      <w:r w:rsidRPr="001B4D66">
        <w:rPr>
          <w:vertAlign w:val="superscript"/>
        </w:rPr>
        <w:t>o</w:t>
      </w:r>
      <w:r>
        <w:t>C, where dissolution was between 60 and 95%.  Treatments which yielded especially swift dissolution (30</w:t>
      </w:r>
      <w:r w:rsidRPr="001B4D66">
        <w:rPr>
          <w:vertAlign w:val="superscript"/>
        </w:rPr>
        <w:t>o</w:t>
      </w:r>
      <w:r>
        <w:t xml:space="preserve">C at salinity 0.1 and 36 </w:t>
      </w:r>
      <w:proofErr w:type="spellStart"/>
      <w:r>
        <w:t>psu</w:t>
      </w:r>
      <w:proofErr w:type="spellEnd"/>
      <w:r>
        <w:t>, and 20</w:t>
      </w:r>
      <w:r w:rsidRPr="001B4D66">
        <w:rPr>
          <w:vertAlign w:val="superscript"/>
        </w:rPr>
        <w:t>o</w:t>
      </w:r>
      <w:r>
        <w:t xml:space="preserve">C at 36 </w:t>
      </w:r>
      <w:proofErr w:type="spellStart"/>
      <w:r>
        <w:t>psu</w:t>
      </w:r>
      <w:proofErr w:type="spellEnd"/>
      <w:r>
        <w:t xml:space="preserve">) were repeated using the higher 1g/L </w:t>
      </w:r>
      <w:proofErr w:type="spellStart"/>
      <w:r>
        <w:t>HgFu</w:t>
      </w:r>
      <w:proofErr w:type="spellEnd"/>
      <w:r>
        <w:t xml:space="preserve"> concentrations (i.e. high-solids).  In high-solid experiments only ~50% of the solid </w:t>
      </w:r>
      <w:proofErr w:type="spellStart"/>
      <w:r>
        <w:t>HgFu</w:t>
      </w:r>
      <w:proofErr w:type="spellEnd"/>
      <w:r>
        <w:t xml:space="preserve"> was dissolved over the incubation period.  </w:t>
      </w:r>
      <w:r w:rsidR="001D56B0">
        <w:t>Flocculation was</w:t>
      </w:r>
      <w:r w:rsidRPr="004F22FD">
        <w:t xml:space="preserve"> observed in both high-solids treatments at 30</w:t>
      </w:r>
      <w:r w:rsidRPr="004F22FD">
        <w:rPr>
          <w:vertAlign w:val="superscript"/>
        </w:rPr>
        <w:t>o</w:t>
      </w:r>
      <w:r w:rsidRPr="004F22FD">
        <w:t>C, but not the 20</w:t>
      </w:r>
      <w:r w:rsidRPr="004F22FD">
        <w:rPr>
          <w:vertAlign w:val="superscript"/>
        </w:rPr>
        <w:t>o</w:t>
      </w:r>
      <w:r w:rsidRPr="004F22FD">
        <w:t xml:space="preserve">C treatment.  </w:t>
      </w:r>
      <w:r w:rsidR="001D56B0">
        <w:t xml:space="preserve">There is no clear explanation for why this occurred, </w:t>
      </w:r>
      <w:r w:rsidR="00B43248">
        <w:t>however</w:t>
      </w:r>
      <w:r w:rsidR="001D56B0">
        <w:t xml:space="preserve"> it is possibl</w:t>
      </w:r>
      <w:r w:rsidR="00BB5CAE">
        <w:t xml:space="preserve">y </w:t>
      </w:r>
      <w:r w:rsidR="001D56B0">
        <w:t xml:space="preserve">related to </w:t>
      </w:r>
      <w:r w:rsidR="00E87D10">
        <w:t>an</w:t>
      </w:r>
      <w:r w:rsidR="001D56B0">
        <w:t xml:space="preserve"> </w:t>
      </w:r>
      <w:r w:rsidR="00263644">
        <w:t>aggregation</w:t>
      </w:r>
      <w:r w:rsidR="00276022">
        <w:t xml:space="preserve"> of rapidly released Hg salts</w:t>
      </w:r>
      <w:r w:rsidR="001D56B0">
        <w:t>.</w:t>
      </w:r>
    </w:p>
    <w:p w:rsidR="00BE54B0" w:rsidRDefault="00000629" w:rsidP="00000629">
      <w:pPr>
        <w:spacing w:line="480" w:lineRule="auto"/>
        <w:ind w:firstLine="720"/>
        <w:contextualSpacing/>
      </w:pPr>
      <w:r>
        <w:t>Dissolution rates (mg d</w:t>
      </w:r>
      <w:r w:rsidRPr="00000629">
        <w:rPr>
          <w:vertAlign w:val="superscript"/>
        </w:rPr>
        <w:t>-1</w:t>
      </w:r>
      <w:r>
        <w:t xml:space="preserve">) were normalized to the added solid </w:t>
      </w:r>
      <w:proofErr w:type="spellStart"/>
      <w:r>
        <w:t>HgFu</w:t>
      </w:r>
      <w:proofErr w:type="spellEnd"/>
      <w:r>
        <w:t xml:space="preserve"> surface area, which was estimated using </w:t>
      </w:r>
      <w:proofErr w:type="spellStart"/>
      <w:r>
        <w:t>HgFu</w:t>
      </w:r>
      <w:proofErr w:type="spellEnd"/>
      <w:r>
        <w:t xml:space="preserve"> density and average rhomboid </w:t>
      </w:r>
      <w:r w:rsidR="00EC0918">
        <w:t xml:space="preserve">crystal </w:t>
      </w:r>
      <w:r>
        <w:t xml:space="preserve">dimensions </w:t>
      </w:r>
      <w:r w:rsidR="00EC0918">
        <w:t>which</w:t>
      </w:r>
      <w:r>
        <w:t xml:space="preserve"> were assessed from light microscopy images (</w:t>
      </w:r>
      <w:r w:rsidR="00BD188C">
        <w:t>i</w:t>
      </w:r>
      <w:r>
        <w:t>.</w:t>
      </w:r>
      <w:r w:rsidR="00BD188C">
        <w:t>e</w:t>
      </w:r>
      <w:r>
        <w:t>. Figure 1</w:t>
      </w:r>
      <w:r w:rsidR="00F50FAE">
        <w:t xml:space="preserve"> top</w:t>
      </w:r>
      <w:r>
        <w:t>).  Low-solids experiment had 20.3 ± 1.0 mg per incubation bottle, representing 8.2 ± 0.4 cm</w:t>
      </w:r>
      <w:r w:rsidRPr="00000629">
        <w:rPr>
          <w:vertAlign w:val="superscript"/>
        </w:rPr>
        <w:t>2</w:t>
      </w:r>
      <w:r>
        <w:t xml:space="preserve"> total surface area.  High-solid experiments contained </w:t>
      </w:r>
      <w:r>
        <w:lastRenderedPageBreak/>
        <w:t>102 ± 5 mg per incubation bottle, yielding 41 ± 2 cm</w:t>
      </w:r>
      <w:r w:rsidRPr="00000629">
        <w:rPr>
          <w:vertAlign w:val="superscript"/>
        </w:rPr>
        <w:t>2</w:t>
      </w:r>
      <w:r>
        <w:t xml:space="preserve"> total surface area.  Dissolution rates ranged between 0.38 and 2.96 mg cm</w:t>
      </w:r>
      <w:r w:rsidRPr="00000629">
        <w:rPr>
          <w:vertAlign w:val="superscript"/>
        </w:rPr>
        <w:t>-2</w:t>
      </w:r>
      <w:r>
        <w:t xml:space="preserve"> d</w:t>
      </w:r>
      <w:r w:rsidRPr="00000629">
        <w:rPr>
          <w:vertAlign w:val="superscript"/>
        </w:rPr>
        <w:t>-1</w:t>
      </w:r>
      <w:r>
        <w:t xml:space="preserve"> for low-solid experiments, and between 1.52 and 2.65 mg cm</w:t>
      </w:r>
      <w:r w:rsidRPr="00000629">
        <w:rPr>
          <w:vertAlign w:val="superscript"/>
        </w:rPr>
        <w:t>-2</w:t>
      </w:r>
      <w:r>
        <w:t xml:space="preserve"> d</w:t>
      </w:r>
      <w:r w:rsidRPr="00000629">
        <w:rPr>
          <w:vertAlign w:val="superscript"/>
        </w:rPr>
        <w:t>-1</w:t>
      </w:r>
      <w:r>
        <w:t xml:space="preserve"> in high-solid experiments (Table 1).</w:t>
      </w:r>
      <w:r w:rsidR="00EC0918">
        <w:t xml:space="preserve">  Uncertainty of the average rate based on triplicate incubations in each low-solid treatment was generally between 2 and 10% RSD, and </w:t>
      </w:r>
      <w:r w:rsidR="009B1CE8">
        <w:t xml:space="preserve">between &gt;8% up to 19% RDS </w:t>
      </w:r>
      <w:r w:rsidR="00EC0918">
        <w:t>for 30</w:t>
      </w:r>
      <w:r w:rsidR="00EC0918" w:rsidRPr="00E02548">
        <w:rPr>
          <w:vertAlign w:val="superscript"/>
        </w:rPr>
        <w:t>o</w:t>
      </w:r>
      <w:r w:rsidR="00EC0918">
        <w:t>C incubations.</w:t>
      </w:r>
      <w:r w:rsidR="00E02548">
        <w:t xml:space="preserve">  High-solid experiments had consistently higher RSD, between 19 and 31%, although absolute dissolution rates were similar to those in low-solid experiments.  The reason for this higher variability is unclear.</w:t>
      </w:r>
      <w:r w:rsidR="00730750">
        <w:t xml:space="preserve">  However, it</w:t>
      </w:r>
      <w:r w:rsidR="003C110F">
        <w:t>’s</w:t>
      </w:r>
      <w:r w:rsidR="00730750">
        <w:t xml:space="preserve"> possible that the flocculation observed within these treatments created interference towards dissolution physics and Hg concentrations, and hence </w:t>
      </w:r>
      <w:r w:rsidR="00263644">
        <w:t>consistency</w:t>
      </w:r>
      <w:r w:rsidR="00730750">
        <w:t xml:space="preserve">.  </w:t>
      </w:r>
    </w:p>
    <w:p w:rsidR="00ED24E4" w:rsidRDefault="00ED24E4" w:rsidP="00BE54B0">
      <w:pPr>
        <w:spacing w:line="480" w:lineRule="auto"/>
        <w:contextualSpacing/>
      </w:pPr>
    </w:p>
    <w:p w:rsidR="00E02548" w:rsidRDefault="00E02548" w:rsidP="00BE54B0">
      <w:pPr>
        <w:spacing w:line="480" w:lineRule="auto"/>
        <w:contextualSpacing/>
      </w:pPr>
    </w:p>
    <w:p w:rsidR="00C72418" w:rsidRDefault="00C72418" w:rsidP="00C72418">
      <w:pPr>
        <w:contextualSpacing/>
      </w:pPr>
      <w:r w:rsidRPr="00CC0F66">
        <w:rPr>
          <w:b/>
        </w:rPr>
        <w:t>Table 1.</w:t>
      </w:r>
      <w:r>
        <w:t xml:space="preserve">  Average </w:t>
      </w:r>
      <w:r w:rsidR="00066344">
        <w:t xml:space="preserve">(± SD) </w:t>
      </w:r>
      <w:proofErr w:type="spellStart"/>
      <w:r w:rsidR="00726412">
        <w:t>HgFu</w:t>
      </w:r>
      <w:proofErr w:type="spellEnd"/>
      <w:r w:rsidR="00726412">
        <w:t xml:space="preserve"> dissolution rates</w:t>
      </w:r>
      <w:r w:rsidR="00317640">
        <w:t xml:space="preserve"> </w:t>
      </w:r>
      <w:r>
        <w:t xml:space="preserve">calculated for </w:t>
      </w:r>
      <w:r w:rsidR="00726412">
        <w:t>each salinity and temperature treatment.  Low-solids</w:t>
      </w:r>
      <w:r>
        <w:t xml:space="preserve"> </w:t>
      </w:r>
      <w:r w:rsidR="00726412">
        <w:t xml:space="preserve">and high-solid labels indicate incubations with 20 and </w:t>
      </w:r>
      <w:r w:rsidR="00A6112F">
        <w:t>10</w:t>
      </w:r>
      <w:r w:rsidR="00726412">
        <w:t xml:space="preserve">0 mg </w:t>
      </w:r>
      <w:proofErr w:type="spellStart"/>
      <w:r w:rsidR="00726412">
        <w:t>HgFu</w:t>
      </w:r>
      <w:proofErr w:type="spellEnd"/>
      <w:r w:rsidR="00726412">
        <w:t>, respectively.</w:t>
      </w:r>
    </w:p>
    <w:p w:rsidR="00C72418" w:rsidRDefault="00C72418" w:rsidP="00C72418">
      <w:pPr>
        <w:contextualSpacing/>
      </w:pPr>
    </w:p>
    <w:tbl>
      <w:tblPr>
        <w:tblStyle w:val="GridTable6Colorful-Accent3"/>
        <w:tblW w:w="4957" w:type="dxa"/>
        <w:jc w:val="center"/>
        <w:tblLook w:val="04A0" w:firstRow="1" w:lastRow="0" w:firstColumn="1" w:lastColumn="0" w:noHBand="0" w:noVBand="1"/>
      </w:tblPr>
      <w:tblGrid>
        <w:gridCol w:w="1361"/>
        <w:gridCol w:w="1186"/>
        <w:gridCol w:w="1134"/>
        <w:gridCol w:w="336"/>
        <w:gridCol w:w="940"/>
      </w:tblGrid>
      <w:tr w:rsidR="00C72418" w:rsidRPr="003D7D26" w:rsidTr="00726412">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hideMark/>
          </w:tcPr>
          <w:p w:rsidR="00C72418" w:rsidRPr="003D7D26" w:rsidRDefault="00C72418" w:rsidP="00052FFB">
            <w:pPr>
              <w:jc w:val="center"/>
              <w:rPr>
                <w:rFonts w:ascii="Calibri" w:eastAsia="Times New Roman" w:hAnsi="Calibri" w:cs="Calibri"/>
                <w:color w:val="000000"/>
              </w:rPr>
            </w:pPr>
            <w:r w:rsidRPr="00A64DF8">
              <w:rPr>
                <w:rFonts w:ascii="Calibri" w:eastAsia="Times New Roman" w:hAnsi="Calibri" w:cs="Calibri"/>
                <w:color w:val="000000"/>
              </w:rPr>
              <w:t>Temp (</w:t>
            </w:r>
            <w:proofErr w:type="spellStart"/>
            <w:r w:rsidRPr="00A64DF8">
              <w:rPr>
                <w:rFonts w:ascii="Calibri" w:eastAsia="Times New Roman" w:hAnsi="Calibri" w:cs="Calibri"/>
                <w:color w:val="000000"/>
                <w:vertAlign w:val="superscript"/>
              </w:rPr>
              <w:t>o</w:t>
            </w:r>
            <w:r w:rsidRPr="00A64DF8">
              <w:rPr>
                <w:rFonts w:ascii="Calibri" w:eastAsia="Times New Roman" w:hAnsi="Calibri" w:cs="Calibri"/>
                <w:color w:val="000000"/>
              </w:rPr>
              <w:t>C</w:t>
            </w:r>
            <w:proofErr w:type="spellEnd"/>
            <w:r w:rsidRPr="00A64DF8">
              <w:rPr>
                <w:rFonts w:ascii="Calibri" w:eastAsia="Times New Roman" w:hAnsi="Calibri" w:cs="Calibri"/>
                <w:color w:val="000000"/>
              </w:rPr>
              <w:t>)</w:t>
            </w:r>
          </w:p>
        </w:tc>
        <w:tc>
          <w:tcPr>
            <w:tcW w:w="1186" w:type="dxa"/>
            <w:noWrap/>
            <w:hideMark/>
          </w:tcPr>
          <w:p w:rsidR="00C72418" w:rsidRPr="003D7D26" w:rsidRDefault="00C72418" w:rsidP="00052F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64DF8">
              <w:rPr>
                <w:rFonts w:ascii="Calibri" w:eastAsia="Times New Roman" w:hAnsi="Calibri" w:cs="Calibri"/>
                <w:color w:val="000000"/>
              </w:rPr>
              <w:t>Sal</w:t>
            </w:r>
            <w:r>
              <w:rPr>
                <w:rFonts w:ascii="Calibri" w:eastAsia="Times New Roman" w:hAnsi="Calibri" w:cs="Calibri"/>
                <w:color w:val="000000"/>
              </w:rPr>
              <w:t>inity</w:t>
            </w:r>
            <w:r w:rsidRPr="00A64DF8">
              <w:rPr>
                <w:rFonts w:ascii="Calibri" w:eastAsia="Times New Roman" w:hAnsi="Calibri" w:cs="Calibri"/>
                <w:color w:val="000000"/>
              </w:rPr>
              <w:t xml:space="preserve"> (</w:t>
            </w:r>
            <w:proofErr w:type="spellStart"/>
            <w:r>
              <w:rPr>
                <w:rFonts w:ascii="Calibri" w:eastAsia="Times New Roman" w:hAnsi="Calibri" w:cs="Calibri"/>
                <w:color w:val="000000"/>
              </w:rPr>
              <w:t>psu</w:t>
            </w:r>
            <w:proofErr w:type="spellEnd"/>
            <w:r w:rsidRPr="00A64DF8">
              <w:rPr>
                <w:rFonts w:ascii="Calibri" w:eastAsia="Times New Roman" w:hAnsi="Calibri" w:cs="Calibri"/>
                <w:color w:val="000000"/>
              </w:rPr>
              <w:t>)</w:t>
            </w:r>
          </w:p>
        </w:tc>
        <w:tc>
          <w:tcPr>
            <w:tcW w:w="2410" w:type="dxa"/>
            <w:gridSpan w:val="3"/>
            <w:noWrap/>
            <w:hideMark/>
          </w:tcPr>
          <w:p w:rsidR="00726412" w:rsidRDefault="00E02548" w:rsidP="00052F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Dissolution rate</w:t>
            </w:r>
            <w:r w:rsidR="00C72418">
              <w:rPr>
                <w:rFonts w:ascii="Calibri" w:eastAsia="Times New Roman" w:hAnsi="Calibri" w:cs="Calibri"/>
                <w:color w:val="000000"/>
              </w:rPr>
              <w:t xml:space="preserve"> </w:t>
            </w:r>
          </w:p>
          <w:p w:rsidR="00C72418" w:rsidRPr="003D7D26" w:rsidRDefault="00C72418" w:rsidP="00052F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r w:rsidR="00E02548">
              <w:rPr>
                <w:rFonts w:ascii="Calibri" w:eastAsia="Times New Roman" w:hAnsi="Calibri" w:cs="Calibri"/>
                <w:color w:val="000000"/>
              </w:rPr>
              <w:t>mg cm</w:t>
            </w:r>
            <w:r w:rsidR="00E02548" w:rsidRPr="00E02548">
              <w:rPr>
                <w:rFonts w:ascii="Calibri" w:eastAsia="Times New Roman" w:hAnsi="Calibri" w:cs="Calibri"/>
                <w:color w:val="000000"/>
                <w:vertAlign w:val="superscript"/>
              </w:rPr>
              <w:t>-2</w:t>
            </w:r>
            <w:r w:rsidR="00E02548">
              <w:rPr>
                <w:rFonts w:ascii="Calibri" w:eastAsia="Times New Roman" w:hAnsi="Calibri" w:cs="Calibri"/>
                <w:color w:val="000000"/>
              </w:rPr>
              <w:t xml:space="preserve"> </w:t>
            </w:r>
            <w:r>
              <w:rPr>
                <w:rFonts w:ascii="Calibri" w:eastAsia="Times New Roman" w:hAnsi="Calibri" w:cs="Calibri"/>
                <w:color w:val="000000"/>
              </w:rPr>
              <w:t>d</w:t>
            </w:r>
            <w:r w:rsidRPr="00854C99">
              <w:rPr>
                <w:rFonts w:ascii="Calibri" w:eastAsia="Times New Roman" w:hAnsi="Calibri" w:cs="Calibri"/>
                <w:color w:val="000000"/>
                <w:vertAlign w:val="superscript"/>
              </w:rPr>
              <w:t>-1</w:t>
            </w:r>
            <w:r>
              <w:rPr>
                <w:rFonts w:ascii="Calibri" w:eastAsia="Times New Roman" w:hAnsi="Calibri" w:cs="Calibri"/>
                <w:color w:val="000000"/>
              </w:rPr>
              <w:t>)</w:t>
            </w:r>
          </w:p>
        </w:tc>
      </w:tr>
      <w:tr w:rsidR="00C72418" w:rsidRPr="003D7D26" w:rsidTr="0072641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tcPr>
          <w:p w:rsidR="00C72418" w:rsidRPr="00E02548" w:rsidRDefault="00C72418" w:rsidP="00052FFB">
            <w:pPr>
              <w:jc w:val="center"/>
              <w:rPr>
                <w:rFonts w:ascii="Calibri" w:eastAsia="Times New Roman" w:hAnsi="Calibri" w:cs="Calibri"/>
                <w:i/>
                <w:color w:val="000000"/>
              </w:rPr>
            </w:pPr>
          </w:p>
        </w:tc>
        <w:tc>
          <w:tcPr>
            <w:tcW w:w="1186" w:type="dxa"/>
            <w:noWrap/>
          </w:tcPr>
          <w:p w:rsidR="00C72418" w:rsidRPr="003D7D26" w:rsidRDefault="00C72418" w:rsidP="00052F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rPr>
            </w:pPr>
          </w:p>
        </w:tc>
        <w:tc>
          <w:tcPr>
            <w:tcW w:w="2410" w:type="dxa"/>
            <w:gridSpan w:val="3"/>
            <w:noWrap/>
          </w:tcPr>
          <w:p w:rsidR="00C72418" w:rsidRPr="00726412" w:rsidRDefault="00726412" w:rsidP="00052F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726412">
              <w:rPr>
                <w:rFonts w:ascii="Calibri" w:eastAsia="Times New Roman" w:hAnsi="Calibri" w:cs="Calibri"/>
                <w:b/>
                <w:i/>
                <w:color w:val="000000"/>
              </w:rPr>
              <w:t>Low-solids</w:t>
            </w:r>
          </w:p>
        </w:tc>
      </w:tr>
      <w:tr w:rsidR="00E02548" w:rsidRPr="003D7D26" w:rsidTr="00726412">
        <w:trPr>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tcPr>
          <w:p w:rsidR="00E02548" w:rsidRPr="003D7D26" w:rsidRDefault="00E02548" w:rsidP="00E02548">
            <w:pPr>
              <w:jc w:val="center"/>
              <w:rPr>
                <w:rFonts w:ascii="Calibri" w:eastAsia="Times New Roman" w:hAnsi="Calibri" w:cs="Calibri"/>
                <w:b w:val="0"/>
                <w:i/>
                <w:color w:val="000000"/>
              </w:rPr>
            </w:pPr>
            <w:r w:rsidRPr="003D7D26">
              <w:rPr>
                <w:rFonts w:ascii="Calibri" w:eastAsia="Times New Roman" w:hAnsi="Calibri" w:cs="Calibri"/>
                <w:b w:val="0"/>
                <w:i/>
                <w:color w:val="000000"/>
              </w:rPr>
              <w:t>5</w:t>
            </w:r>
          </w:p>
        </w:tc>
        <w:tc>
          <w:tcPr>
            <w:tcW w:w="1186" w:type="dxa"/>
            <w:noWrap/>
          </w:tcPr>
          <w:p w:rsidR="00E02548" w:rsidRPr="003D7D26" w:rsidRDefault="00E02548"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rPr>
            </w:pPr>
            <w:r w:rsidRPr="003D7D26">
              <w:rPr>
                <w:rFonts w:ascii="Calibri" w:eastAsia="Times New Roman" w:hAnsi="Calibri" w:cs="Calibri"/>
                <w:i/>
                <w:color w:val="000000"/>
              </w:rPr>
              <w:t>0</w:t>
            </w:r>
            <w:r>
              <w:rPr>
                <w:rFonts w:ascii="Calibri" w:eastAsia="Times New Roman" w:hAnsi="Calibri" w:cs="Calibri"/>
                <w:i/>
                <w:color w:val="000000"/>
              </w:rPr>
              <w:t>.1</w:t>
            </w:r>
          </w:p>
        </w:tc>
        <w:tc>
          <w:tcPr>
            <w:tcW w:w="1134" w:type="dxa"/>
            <w:noWrap/>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0.38</w:t>
            </w:r>
          </w:p>
        </w:tc>
        <w:tc>
          <w:tcPr>
            <w:tcW w:w="336" w:type="dxa"/>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c>
          <w:tcPr>
            <w:tcW w:w="940" w:type="dxa"/>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0.03</w:t>
            </w:r>
          </w:p>
        </w:tc>
      </w:tr>
      <w:tr w:rsidR="00E02548" w:rsidRPr="003D7D26" w:rsidTr="0072641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hideMark/>
          </w:tcPr>
          <w:p w:rsidR="00E02548" w:rsidRPr="003D7D26" w:rsidRDefault="00E02548" w:rsidP="00E02548">
            <w:pPr>
              <w:jc w:val="center"/>
              <w:rPr>
                <w:rFonts w:ascii="Calibri" w:eastAsia="Times New Roman" w:hAnsi="Calibri" w:cs="Calibri"/>
                <w:b w:val="0"/>
                <w:i/>
                <w:color w:val="000000"/>
              </w:rPr>
            </w:pPr>
            <w:r w:rsidRPr="003D7D26">
              <w:rPr>
                <w:rFonts w:ascii="Calibri" w:eastAsia="Times New Roman" w:hAnsi="Calibri" w:cs="Calibri"/>
                <w:b w:val="0"/>
                <w:i/>
                <w:color w:val="000000"/>
              </w:rPr>
              <w:t>5</w:t>
            </w:r>
          </w:p>
        </w:tc>
        <w:tc>
          <w:tcPr>
            <w:tcW w:w="1186" w:type="dxa"/>
            <w:noWrap/>
            <w:hideMark/>
          </w:tcPr>
          <w:p w:rsidR="00E02548" w:rsidRPr="003D7D26" w:rsidRDefault="00E02548"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rPr>
            </w:pPr>
            <w:r>
              <w:rPr>
                <w:rFonts w:ascii="Calibri" w:eastAsia="Times New Roman" w:hAnsi="Calibri" w:cs="Calibri"/>
                <w:i/>
                <w:color w:val="000000"/>
              </w:rPr>
              <w:t>18</w:t>
            </w:r>
          </w:p>
        </w:tc>
        <w:tc>
          <w:tcPr>
            <w:tcW w:w="1134" w:type="dxa"/>
            <w:noWrap/>
            <w:hideMark/>
          </w:tcPr>
          <w:p w:rsidR="00E02548" w:rsidRPr="003D7D26" w:rsidRDefault="00726412"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0.55</w:t>
            </w:r>
          </w:p>
        </w:tc>
        <w:tc>
          <w:tcPr>
            <w:tcW w:w="336" w:type="dxa"/>
          </w:tcPr>
          <w:p w:rsidR="00E02548" w:rsidRPr="003D7D26" w:rsidRDefault="00726412"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c>
          <w:tcPr>
            <w:tcW w:w="940" w:type="dxa"/>
          </w:tcPr>
          <w:p w:rsidR="00E02548" w:rsidRPr="003D7D26" w:rsidRDefault="00726412"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0.01</w:t>
            </w:r>
          </w:p>
        </w:tc>
      </w:tr>
      <w:tr w:rsidR="00E02548" w:rsidRPr="003D7D26" w:rsidTr="00726412">
        <w:trPr>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hideMark/>
          </w:tcPr>
          <w:p w:rsidR="00E02548" w:rsidRPr="003D7D26" w:rsidRDefault="00E02548" w:rsidP="00E02548">
            <w:pPr>
              <w:jc w:val="center"/>
              <w:rPr>
                <w:rFonts w:ascii="Calibri" w:eastAsia="Times New Roman" w:hAnsi="Calibri" w:cs="Calibri"/>
                <w:b w:val="0"/>
                <w:i/>
                <w:color w:val="000000"/>
              </w:rPr>
            </w:pPr>
            <w:r w:rsidRPr="003D7D26">
              <w:rPr>
                <w:rFonts w:ascii="Calibri" w:eastAsia="Times New Roman" w:hAnsi="Calibri" w:cs="Calibri"/>
                <w:b w:val="0"/>
                <w:i/>
                <w:color w:val="000000"/>
              </w:rPr>
              <w:t>5</w:t>
            </w:r>
          </w:p>
        </w:tc>
        <w:tc>
          <w:tcPr>
            <w:tcW w:w="1186" w:type="dxa"/>
            <w:noWrap/>
            <w:hideMark/>
          </w:tcPr>
          <w:p w:rsidR="00E02548" w:rsidRPr="003D7D26" w:rsidRDefault="00E02548"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rPr>
            </w:pPr>
            <w:r>
              <w:rPr>
                <w:rFonts w:ascii="Calibri" w:eastAsia="Times New Roman" w:hAnsi="Calibri" w:cs="Calibri"/>
                <w:i/>
                <w:color w:val="000000"/>
              </w:rPr>
              <w:t>36</w:t>
            </w:r>
          </w:p>
        </w:tc>
        <w:tc>
          <w:tcPr>
            <w:tcW w:w="1134" w:type="dxa"/>
            <w:noWrap/>
            <w:hideMark/>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0.66</w:t>
            </w:r>
          </w:p>
        </w:tc>
        <w:tc>
          <w:tcPr>
            <w:tcW w:w="336" w:type="dxa"/>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c>
          <w:tcPr>
            <w:tcW w:w="940" w:type="dxa"/>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0.03</w:t>
            </w:r>
          </w:p>
        </w:tc>
      </w:tr>
      <w:tr w:rsidR="00E02548" w:rsidRPr="003D7D26" w:rsidTr="0072641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hideMark/>
          </w:tcPr>
          <w:p w:rsidR="00E02548" w:rsidRPr="003D7D26" w:rsidRDefault="00E02548" w:rsidP="00E02548">
            <w:pPr>
              <w:jc w:val="center"/>
              <w:rPr>
                <w:rFonts w:ascii="Calibri" w:eastAsia="Times New Roman" w:hAnsi="Calibri" w:cs="Calibri"/>
                <w:b w:val="0"/>
                <w:i/>
                <w:color w:val="000000"/>
              </w:rPr>
            </w:pPr>
            <w:r w:rsidRPr="003D7D26">
              <w:rPr>
                <w:rFonts w:ascii="Calibri" w:eastAsia="Times New Roman" w:hAnsi="Calibri" w:cs="Calibri"/>
                <w:b w:val="0"/>
                <w:i/>
                <w:color w:val="000000"/>
              </w:rPr>
              <w:t>20</w:t>
            </w:r>
          </w:p>
        </w:tc>
        <w:tc>
          <w:tcPr>
            <w:tcW w:w="1186" w:type="dxa"/>
            <w:noWrap/>
            <w:hideMark/>
          </w:tcPr>
          <w:p w:rsidR="00E02548" w:rsidRPr="003D7D26" w:rsidRDefault="00E02548"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rPr>
            </w:pPr>
            <w:r w:rsidRPr="003D7D26">
              <w:rPr>
                <w:rFonts w:ascii="Calibri" w:eastAsia="Times New Roman" w:hAnsi="Calibri" w:cs="Calibri"/>
                <w:i/>
                <w:color w:val="000000"/>
              </w:rPr>
              <w:t>0</w:t>
            </w:r>
            <w:r>
              <w:rPr>
                <w:rFonts w:ascii="Calibri" w:eastAsia="Times New Roman" w:hAnsi="Calibri" w:cs="Calibri"/>
                <w:i/>
                <w:color w:val="000000"/>
              </w:rPr>
              <w:t>.1</w:t>
            </w:r>
          </w:p>
        </w:tc>
        <w:tc>
          <w:tcPr>
            <w:tcW w:w="1134" w:type="dxa"/>
            <w:noWrap/>
            <w:hideMark/>
          </w:tcPr>
          <w:p w:rsidR="00E02548" w:rsidRPr="003D7D26" w:rsidRDefault="00726412"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0.91</w:t>
            </w:r>
          </w:p>
        </w:tc>
        <w:tc>
          <w:tcPr>
            <w:tcW w:w="336" w:type="dxa"/>
          </w:tcPr>
          <w:p w:rsidR="00E02548" w:rsidRPr="003D7D26" w:rsidRDefault="00726412"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c>
          <w:tcPr>
            <w:tcW w:w="940" w:type="dxa"/>
          </w:tcPr>
          <w:p w:rsidR="00E02548" w:rsidRPr="003D7D26" w:rsidRDefault="00726412"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0.02</w:t>
            </w:r>
          </w:p>
        </w:tc>
      </w:tr>
      <w:tr w:rsidR="00E02548" w:rsidRPr="003D7D26" w:rsidTr="00726412">
        <w:trPr>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hideMark/>
          </w:tcPr>
          <w:p w:rsidR="00E02548" w:rsidRPr="003D7D26" w:rsidRDefault="00E02548" w:rsidP="00E02548">
            <w:pPr>
              <w:jc w:val="center"/>
              <w:rPr>
                <w:rFonts w:ascii="Calibri" w:eastAsia="Times New Roman" w:hAnsi="Calibri" w:cs="Calibri"/>
                <w:i/>
                <w:color w:val="000000"/>
              </w:rPr>
            </w:pPr>
            <w:r w:rsidRPr="003D7D26">
              <w:rPr>
                <w:rFonts w:ascii="Calibri" w:eastAsia="Times New Roman" w:hAnsi="Calibri" w:cs="Calibri"/>
                <w:b w:val="0"/>
                <w:i/>
                <w:color w:val="000000"/>
              </w:rPr>
              <w:t>20</w:t>
            </w:r>
          </w:p>
        </w:tc>
        <w:tc>
          <w:tcPr>
            <w:tcW w:w="1186" w:type="dxa"/>
            <w:noWrap/>
            <w:hideMark/>
          </w:tcPr>
          <w:p w:rsidR="00E02548" w:rsidRPr="003D7D26" w:rsidRDefault="00E02548"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rPr>
            </w:pPr>
            <w:r>
              <w:rPr>
                <w:rFonts w:ascii="Calibri" w:eastAsia="Times New Roman" w:hAnsi="Calibri" w:cs="Calibri"/>
                <w:i/>
                <w:color w:val="000000"/>
              </w:rPr>
              <w:t>9</w:t>
            </w:r>
          </w:p>
        </w:tc>
        <w:tc>
          <w:tcPr>
            <w:tcW w:w="1134" w:type="dxa"/>
            <w:noWrap/>
            <w:hideMark/>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0.98</w:t>
            </w:r>
          </w:p>
        </w:tc>
        <w:tc>
          <w:tcPr>
            <w:tcW w:w="336" w:type="dxa"/>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c>
          <w:tcPr>
            <w:tcW w:w="940" w:type="dxa"/>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0.07</w:t>
            </w:r>
          </w:p>
        </w:tc>
      </w:tr>
      <w:tr w:rsidR="00E02548" w:rsidRPr="003D7D26" w:rsidTr="0072641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tcPr>
          <w:p w:rsidR="00E02548" w:rsidRPr="003D7D26" w:rsidRDefault="00E02548" w:rsidP="00E02548">
            <w:pPr>
              <w:jc w:val="center"/>
              <w:rPr>
                <w:rFonts w:ascii="Calibri" w:eastAsia="Times New Roman" w:hAnsi="Calibri" w:cs="Calibri"/>
                <w:b w:val="0"/>
                <w:i/>
                <w:color w:val="000000"/>
              </w:rPr>
            </w:pPr>
            <w:r w:rsidRPr="003D7D26">
              <w:rPr>
                <w:rFonts w:ascii="Calibri" w:eastAsia="Times New Roman" w:hAnsi="Calibri" w:cs="Calibri"/>
                <w:b w:val="0"/>
                <w:i/>
                <w:color w:val="000000"/>
              </w:rPr>
              <w:t>20</w:t>
            </w:r>
          </w:p>
        </w:tc>
        <w:tc>
          <w:tcPr>
            <w:tcW w:w="1186" w:type="dxa"/>
            <w:noWrap/>
          </w:tcPr>
          <w:p w:rsidR="00E02548" w:rsidRPr="003D7D26" w:rsidRDefault="00E02548"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rPr>
            </w:pPr>
            <w:r>
              <w:rPr>
                <w:rFonts w:ascii="Calibri" w:eastAsia="Times New Roman" w:hAnsi="Calibri" w:cs="Calibri"/>
                <w:i/>
                <w:color w:val="000000"/>
              </w:rPr>
              <w:t>18</w:t>
            </w:r>
          </w:p>
        </w:tc>
        <w:tc>
          <w:tcPr>
            <w:tcW w:w="1134" w:type="dxa"/>
            <w:noWrap/>
          </w:tcPr>
          <w:p w:rsidR="00E02548" w:rsidRPr="003D7D26" w:rsidRDefault="00726412"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0.97</w:t>
            </w:r>
          </w:p>
        </w:tc>
        <w:tc>
          <w:tcPr>
            <w:tcW w:w="336" w:type="dxa"/>
          </w:tcPr>
          <w:p w:rsidR="00E02548" w:rsidRPr="003D7D26" w:rsidRDefault="00726412"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c>
          <w:tcPr>
            <w:tcW w:w="940" w:type="dxa"/>
          </w:tcPr>
          <w:p w:rsidR="00E02548" w:rsidRPr="003D7D26" w:rsidRDefault="00726412"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0.02</w:t>
            </w:r>
          </w:p>
        </w:tc>
      </w:tr>
      <w:tr w:rsidR="00E02548" w:rsidRPr="003D7D26" w:rsidTr="00726412">
        <w:trPr>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hideMark/>
          </w:tcPr>
          <w:p w:rsidR="00E02548" w:rsidRPr="003D7D26" w:rsidRDefault="00E02548" w:rsidP="00E02548">
            <w:pPr>
              <w:jc w:val="center"/>
              <w:rPr>
                <w:rFonts w:ascii="Calibri" w:eastAsia="Times New Roman" w:hAnsi="Calibri" w:cs="Calibri"/>
                <w:i/>
                <w:color w:val="000000"/>
              </w:rPr>
            </w:pPr>
            <w:r w:rsidRPr="003D7D26">
              <w:rPr>
                <w:rFonts w:ascii="Calibri" w:eastAsia="Times New Roman" w:hAnsi="Calibri" w:cs="Calibri"/>
                <w:b w:val="0"/>
                <w:i/>
                <w:color w:val="000000"/>
              </w:rPr>
              <w:t>20</w:t>
            </w:r>
          </w:p>
        </w:tc>
        <w:tc>
          <w:tcPr>
            <w:tcW w:w="1186" w:type="dxa"/>
            <w:noWrap/>
            <w:hideMark/>
          </w:tcPr>
          <w:p w:rsidR="00E02548" w:rsidRDefault="00E02548"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rPr>
            </w:pPr>
            <w:r>
              <w:rPr>
                <w:rFonts w:ascii="Calibri" w:eastAsia="Times New Roman" w:hAnsi="Calibri" w:cs="Calibri"/>
                <w:i/>
                <w:color w:val="000000"/>
              </w:rPr>
              <w:t>27</w:t>
            </w:r>
          </w:p>
        </w:tc>
        <w:tc>
          <w:tcPr>
            <w:tcW w:w="1134" w:type="dxa"/>
            <w:noWrap/>
            <w:hideMark/>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0.95</w:t>
            </w:r>
          </w:p>
        </w:tc>
        <w:tc>
          <w:tcPr>
            <w:tcW w:w="336" w:type="dxa"/>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c>
          <w:tcPr>
            <w:tcW w:w="940" w:type="dxa"/>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0.05</w:t>
            </w:r>
          </w:p>
        </w:tc>
      </w:tr>
      <w:tr w:rsidR="00E02548" w:rsidRPr="003D7D26" w:rsidTr="0072641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tcPr>
          <w:p w:rsidR="00E02548" w:rsidRPr="003D7D26" w:rsidRDefault="00E02548" w:rsidP="00E02548">
            <w:pPr>
              <w:jc w:val="center"/>
              <w:rPr>
                <w:rFonts w:ascii="Calibri" w:eastAsia="Times New Roman" w:hAnsi="Calibri" w:cs="Calibri"/>
                <w:b w:val="0"/>
                <w:i/>
                <w:color w:val="000000"/>
              </w:rPr>
            </w:pPr>
            <w:r w:rsidRPr="003D7D26">
              <w:rPr>
                <w:rFonts w:ascii="Calibri" w:eastAsia="Times New Roman" w:hAnsi="Calibri" w:cs="Calibri"/>
                <w:b w:val="0"/>
                <w:i/>
                <w:color w:val="000000"/>
              </w:rPr>
              <w:t>20</w:t>
            </w:r>
          </w:p>
        </w:tc>
        <w:tc>
          <w:tcPr>
            <w:tcW w:w="1186" w:type="dxa"/>
            <w:noWrap/>
          </w:tcPr>
          <w:p w:rsidR="00E02548" w:rsidRPr="003D7D26" w:rsidRDefault="00E02548"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rPr>
            </w:pPr>
            <w:r>
              <w:rPr>
                <w:rFonts w:ascii="Calibri" w:eastAsia="Times New Roman" w:hAnsi="Calibri" w:cs="Calibri"/>
                <w:i/>
                <w:color w:val="000000"/>
              </w:rPr>
              <w:t>36</w:t>
            </w:r>
          </w:p>
        </w:tc>
        <w:tc>
          <w:tcPr>
            <w:tcW w:w="1134" w:type="dxa"/>
            <w:noWrap/>
          </w:tcPr>
          <w:p w:rsidR="00E02548" w:rsidRPr="003D7D26" w:rsidRDefault="00726412"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0.88</w:t>
            </w:r>
          </w:p>
        </w:tc>
        <w:tc>
          <w:tcPr>
            <w:tcW w:w="336" w:type="dxa"/>
          </w:tcPr>
          <w:p w:rsidR="00E02548" w:rsidRPr="003D7D26" w:rsidRDefault="00726412"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c>
          <w:tcPr>
            <w:tcW w:w="940" w:type="dxa"/>
          </w:tcPr>
          <w:p w:rsidR="00E02548" w:rsidRPr="003D7D26" w:rsidRDefault="00726412"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0.06</w:t>
            </w:r>
          </w:p>
        </w:tc>
      </w:tr>
      <w:tr w:rsidR="00E02548" w:rsidRPr="003D7D26" w:rsidTr="00726412">
        <w:trPr>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hideMark/>
          </w:tcPr>
          <w:p w:rsidR="00E02548" w:rsidRPr="003D7D26" w:rsidRDefault="00E02548" w:rsidP="00E02548">
            <w:pPr>
              <w:jc w:val="center"/>
              <w:rPr>
                <w:rFonts w:ascii="Calibri" w:eastAsia="Times New Roman" w:hAnsi="Calibri" w:cs="Calibri"/>
                <w:b w:val="0"/>
                <w:i/>
                <w:color w:val="000000"/>
              </w:rPr>
            </w:pPr>
            <w:r w:rsidRPr="003D7D26">
              <w:rPr>
                <w:rFonts w:ascii="Calibri" w:eastAsia="Times New Roman" w:hAnsi="Calibri" w:cs="Calibri"/>
                <w:b w:val="0"/>
                <w:i/>
                <w:color w:val="000000"/>
              </w:rPr>
              <w:t>30</w:t>
            </w:r>
          </w:p>
        </w:tc>
        <w:tc>
          <w:tcPr>
            <w:tcW w:w="1186" w:type="dxa"/>
            <w:noWrap/>
            <w:hideMark/>
          </w:tcPr>
          <w:p w:rsidR="00E02548" w:rsidRPr="003D7D26" w:rsidRDefault="00E02548"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rPr>
            </w:pPr>
            <w:r w:rsidRPr="003D7D26">
              <w:rPr>
                <w:rFonts w:ascii="Calibri" w:eastAsia="Times New Roman" w:hAnsi="Calibri" w:cs="Calibri"/>
                <w:i/>
                <w:color w:val="000000"/>
              </w:rPr>
              <w:t>0</w:t>
            </w:r>
            <w:r>
              <w:rPr>
                <w:rFonts w:ascii="Calibri" w:eastAsia="Times New Roman" w:hAnsi="Calibri" w:cs="Calibri"/>
                <w:i/>
                <w:color w:val="000000"/>
              </w:rPr>
              <w:t>.1</w:t>
            </w:r>
          </w:p>
        </w:tc>
        <w:tc>
          <w:tcPr>
            <w:tcW w:w="1134" w:type="dxa"/>
            <w:noWrap/>
            <w:hideMark/>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2.70</w:t>
            </w:r>
          </w:p>
        </w:tc>
        <w:tc>
          <w:tcPr>
            <w:tcW w:w="336" w:type="dxa"/>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c>
          <w:tcPr>
            <w:tcW w:w="940" w:type="dxa"/>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0.54</w:t>
            </w:r>
          </w:p>
        </w:tc>
      </w:tr>
      <w:tr w:rsidR="00E02548" w:rsidRPr="003D7D26" w:rsidTr="0072641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hideMark/>
          </w:tcPr>
          <w:p w:rsidR="00E02548" w:rsidRPr="003D7D26" w:rsidRDefault="00E02548" w:rsidP="00E02548">
            <w:pPr>
              <w:jc w:val="center"/>
              <w:rPr>
                <w:rFonts w:ascii="Calibri" w:eastAsia="Times New Roman" w:hAnsi="Calibri" w:cs="Calibri"/>
                <w:b w:val="0"/>
                <w:i/>
                <w:color w:val="000000"/>
              </w:rPr>
            </w:pPr>
            <w:r w:rsidRPr="003D7D26">
              <w:rPr>
                <w:rFonts w:ascii="Calibri" w:eastAsia="Times New Roman" w:hAnsi="Calibri" w:cs="Calibri"/>
                <w:b w:val="0"/>
                <w:i/>
                <w:color w:val="000000"/>
              </w:rPr>
              <w:t>30</w:t>
            </w:r>
          </w:p>
        </w:tc>
        <w:tc>
          <w:tcPr>
            <w:tcW w:w="1186" w:type="dxa"/>
            <w:noWrap/>
            <w:hideMark/>
          </w:tcPr>
          <w:p w:rsidR="00E02548" w:rsidRPr="003D7D26" w:rsidRDefault="00E02548"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rPr>
            </w:pPr>
            <w:r>
              <w:rPr>
                <w:rFonts w:ascii="Calibri" w:eastAsia="Times New Roman" w:hAnsi="Calibri" w:cs="Calibri"/>
                <w:i/>
                <w:color w:val="000000"/>
              </w:rPr>
              <w:t>18</w:t>
            </w:r>
          </w:p>
        </w:tc>
        <w:tc>
          <w:tcPr>
            <w:tcW w:w="1134" w:type="dxa"/>
            <w:noWrap/>
            <w:hideMark/>
          </w:tcPr>
          <w:p w:rsidR="00E02548" w:rsidRPr="003D7D26" w:rsidRDefault="00726412"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2.55</w:t>
            </w:r>
          </w:p>
        </w:tc>
        <w:tc>
          <w:tcPr>
            <w:tcW w:w="336" w:type="dxa"/>
          </w:tcPr>
          <w:p w:rsidR="00E02548" w:rsidRPr="003D7D26" w:rsidRDefault="00726412"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c>
          <w:tcPr>
            <w:tcW w:w="940" w:type="dxa"/>
          </w:tcPr>
          <w:p w:rsidR="00E02548" w:rsidRPr="003D7D26" w:rsidRDefault="00726412"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0.26</w:t>
            </w:r>
          </w:p>
        </w:tc>
      </w:tr>
      <w:tr w:rsidR="00E02548" w:rsidRPr="003D7D26" w:rsidTr="00726412">
        <w:trPr>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tcPr>
          <w:p w:rsidR="00E02548" w:rsidRPr="003D7D26" w:rsidRDefault="00E02548" w:rsidP="00E02548">
            <w:pPr>
              <w:jc w:val="center"/>
              <w:rPr>
                <w:rFonts w:ascii="Calibri" w:eastAsia="Times New Roman" w:hAnsi="Calibri" w:cs="Calibri"/>
                <w:b w:val="0"/>
                <w:i/>
                <w:color w:val="000000"/>
              </w:rPr>
            </w:pPr>
            <w:r w:rsidRPr="003D7D26">
              <w:rPr>
                <w:rFonts w:ascii="Calibri" w:eastAsia="Times New Roman" w:hAnsi="Calibri" w:cs="Calibri"/>
                <w:b w:val="0"/>
                <w:i/>
                <w:color w:val="000000"/>
              </w:rPr>
              <w:t>30</w:t>
            </w:r>
          </w:p>
        </w:tc>
        <w:tc>
          <w:tcPr>
            <w:tcW w:w="1186" w:type="dxa"/>
            <w:noWrap/>
          </w:tcPr>
          <w:p w:rsidR="00E02548" w:rsidRPr="003D7D26" w:rsidRDefault="00E02548"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rPr>
            </w:pPr>
            <w:r>
              <w:rPr>
                <w:rFonts w:ascii="Calibri" w:eastAsia="Times New Roman" w:hAnsi="Calibri" w:cs="Calibri"/>
                <w:i/>
                <w:color w:val="000000"/>
              </w:rPr>
              <w:t>36</w:t>
            </w:r>
          </w:p>
        </w:tc>
        <w:tc>
          <w:tcPr>
            <w:tcW w:w="1134" w:type="dxa"/>
            <w:noWrap/>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2.96</w:t>
            </w:r>
          </w:p>
        </w:tc>
        <w:tc>
          <w:tcPr>
            <w:tcW w:w="336" w:type="dxa"/>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c>
          <w:tcPr>
            <w:tcW w:w="940" w:type="dxa"/>
          </w:tcPr>
          <w:p w:rsidR="00E02548" w:rsidRPr="003D7D26" w:rsidRDefault="00726412"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0.23</w:t>
            </w:r>
          </w:p>
        </w:tc>
      </w:tr>
      <w:tr w:rsidR="00E02548" w:rsidRPr="003D7D26" w:rsidTr="0072641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tcPr>
          <w:p w:rsidR="00E02548" w:rsidRPr="00E02548" w:rsidRDefault="00E02548" w:rsidP="00E02548">
            <w:pPr>
              <w:jc w:val="center"/>
              <w:rPr>
                <w:rFonts w:ascii="Calibri" w:eastAsia="Times New Roman" w:hAnsi="Calibri" w:cs="Calibri"/>
                <w:i/>
                <w:color w:val="000000"/>
              </w:rPr>
            </w:pPr>
          </w:p>
        </w:tc>
        <w:tc>
          <w:tcPr>
            <w:tcW w:w="1186" w:type="dxa"/>
            <w:noWrap/>
          </w:tcPr>
          <w:p w:rsidR="00E02548" w:rsidRPr="003D7D26" w:rsidRDefault="00E02548"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rPr>
            </w:pPr>
          </w:p>
        </w:tc>
        <w:tc>
          <w:tcPr>
            <w:tcW w:w="2410" w:type="dxa"/>
            <w:gridSpan w:val="3"/>
            <w:noWrap/>
          </w:tcPr>
          <w:p w:rsidR="00E02548" w:rsidRPr="00726412" w:rsidRDefault="00726412"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726412">
              <w:rPr>
                <w:rFonts w:ascii="Calibri" w:eastAsia="Times New Roman" w:hAnsi="Calibri" w:cs="Calibri"/>
                <w:b/>
                <w:i/>
                <w:color w:val="000000"/>
              </w:rPr>
              <w:t>High-solids</w:t>
            </w:r>
          </w:p>
        </w:tc>
      </w:tr>
      <w:tr w:rsidR="00E02548" w:rsidRPr="003D7D26" w:rsidTr="00726412">
        <w:trPr>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tcPr>
          <w:p w:rsidR="00E02548" w:rsidRPr="003D7D26" w:rsidRDefault="00E02548" w:rsidP="00E02548">
            <w:pPr>
              <w:jc w:val="center"/>
              <w:rPr>
                <w:rFonts w:ascii="Calibri" w:eastAsia="Times New Roman" w:hAnsi="Calibri" w:cs="Calibri"/>
                <w:b w:val="0"/>
                <w:i/>
                <w:color w:val="000000"/>
              </w:rPr>
            </w:pPr>
            <w:r>
              <w:rPr>
                <w:rFonts w:ascii="Calibri" w:eastAsia="Times New Roman" w:hAnsi="Calibri" w:cs="Calibri"/>
                <w:b w:val="0"/>
                <w:i/>
                <w:color w:val="000000"/>
              </w:rPr>
              <w:t>20</w:t>
            </w:r>
          </w:p>
        </w:tc>
        <w:tc>
          <w:tcPr>
            <w:tcW w:w="1186" w:type="dxa"/>
            <w:noWrap/>
          </w:tcPr>
          <w:p w:rsidR="00E02548" w:rsidRPr="003D7D26" w:rsidRDefault="00C4199D"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rPr>
            </w:pPr>
            <w:r>
              <w:rPr>
                <w:rFonts w:ascii="Calibri" w:eastAsia="Times New Roman" w:hAnsi="Calibri" w:cs="Calibri"/>
                <w:i/>
                <w:color w:val="000000"/>
              </w:rPr>
              <w:t>36</w:t>
            </w:r>
          </w:p>
        </w:tc>
        <w:tc>
          <w:tcPr>
            <w:tcW w:w="1134" w:type="dxa"/>
            <w:noWrap/>
            <w:vAlign w:val="bottom"/>
          </w:tcPr>
          <w:p w:rsidR="00E02548" w:rsidRPr="00726412" w:rsidRDefault="00E02548" w:rsidP="007264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412">
              <w:rPr>
                <w:rFonts w:ascii="Calibri" w:eastAsia="Times New Roman" w:hAnsi="Calibri" w:cs="Calibri"/>
                <w:color w:val="000000"/>
              </w:rPr>
              <w:t>1.95</w:t>
            </w:r>
          </w:p>
        </w:tc>
        <w:tc>
          <w:tcPr>
            <w:tcW w:w="336" w:type="dxa"/>
            <w:vAlign w:val="bottom"/>
          </w:tcPr>
          <w:p w:rsidR="00E02548" w:rsidRPr="00726412" w:rsidRDefault="00726412" w:rsidP="007264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412">
              <w:rPr>
                <w:rFonts w:ascii="Calibri" w:eastAsia="Times New Roman" w:hAnsi="Calibri" w:cs="Calibri"/>
                <w:color w:val="000000"/>
              </w:rPr>
              <w:t>±</w:t>
            </w:r>
          </w:p>
        </w:tc>
        <w:tc>
          <w:tcPr>
            <w:tcW w:w="940" w:type="dxa"/>
            <w:vAlign w:val="bottom"/>
          </w:tcPr>
          <w:p w:rsidR="00E02548" w:rsidRPr="00726412" w:rsidRDefault="00E02548" w:rsidP="007264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412">
              <w:rPr>
                <w:rFonts w:ascii="Calibri" w:eastAsia="Times New Roman" w:hAnsi="Calibri" w:cs="Calibri"/>
                <w:color w:val="000000"/>
              </w:rPr>
              <w:t>0.62</w:t>
            </w:r>
          </w:p>
        </w:tc>
      </w:tr>
      <w:tr w:rsidR="00E02548" w:rsidRPr="003D7D26" w:rsidTr="0072641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tcPr>
          <w:p w:rsidR="00E02548" w:rsidRPr="003D7D26" w:rsidRDefault="00E02548" w:rsidP="00E02548">
            <w:pPr>
              <w:jc w:val="center"/>
              <w:rPr>
                <w:rFonts w:ascii="Calibri" w:eastAsia="Times New Roman" w:hAnsi="Calibri" w:cs="Calibri"/>
                <w:b w:val="0"/>
                <w:i/>
                <w:color w:val="000000"/>
              </w:rPr>
            </w:pPr>
            <w:r>
              <w:rPr>
                <w:rFonts w:ascii="Calibri" w:eastAsia="Times New Roman" w:hAnsi="Calibri" w:cs="Calibri"/>
                <w:b w:val="0"/>
                <w:i/>
                <w:color w:val="000000"/>
              </w:rPr>
              <w:t>30</w:t>
            </w:r>
          </w:p>
        </w:tc>
        <w:tc>
          <w:tcPr>
            <w:tcW w:w="1186" w:type="dxa"/>
            <w:noWrap/>
          </w:tcPr>
          <w:p w:rsidR="00E02548" w:rsidRDefault="00C4199D" w:rsidP="00E02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rPr>
            </w:pPr>
            <w:r>
              <w:rPr>
                <w:rFonts w:ascii="Calibri" w:eastAsia="Times New Roman" w:hAnsi="Calibri" w:cs="Calibri"/>
                <w:i/>
                <w:color w:val="000000"/>
              </w:rPr>
              <w:t>0.1</w:t>
            </w:r>
          </w:p>
        </w:tc>
        <w:tc>
          <w:tcPr>
            <w:tcW w:w="1134" w:type="dxa"/>
            <w:noWrap/>
            <w:vAlign w:val="bottom"/>
          </w:tcPr>
          <w:p w:rsidR="00E02548" w:rsidRPr="00726412" w:rsidRDefault="00E02548" w:rsidP="007264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26412">
              <w:rPr>
                <w:rFonts w:ascii="Calibri" w:eastAsia="Times New Roman" w:hAnsi="Calibri" w:cs="Calibri"/>
                <w:color w:val="000000"/>
              </w:rPr>
              <w:t>1.82</w:t>
            </w:r>
          </w:p>
        </w:tc>
        <w:tc>
          <w:tcPr>
            <w:tcW w:w="336" w:type="dxa"/>
            <w:vAlign w:val="bottom"/>
          </w:tcPr>
          <w:p w:rsidR="00E02548" w:rsidRPr="00726412" w:rsidRDefault="00726412" w:rsidP="007264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26412">
              <w:rPr>
                <w:rFonts w:ascii="Calibri" w:eastAsia="Times New Roman" w:hAnsi="Calibri" w:cs="Calibri"/>
                <w:color w:val="000000"/>
              </w:rPr>
              <w:t>±</w:t>
            </w:r>
          </w:p>
        </w:tc>
        <w:tc>
          <w:tcPr>
            <w:tcW w:w="940" w:type="dxa"/>
            <w:vAlign w:val="bottom"/>
          </w:tcPr>
          <w:p w:rsidR="00E02548" w:rsidRPr="00726412" w:rsidRDefault="00726412" w:rsidP="007264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26412">
              <w:rPr>
                <w:rFonts w:ascii="Calibri" w:eastAsia="Times New Roman" w:hAnsi="Calibri" w:cs="Calibri"/>
                <w:color w:val="000000"/>
              </w:rPr>
              <w:t>0.34</w:t>
            </w:r>
          </w:p>
        </w:tc>
      </w:tr>
      <w:tr w:rsidR="00E02548" w:rsidRPr="003D7D26" w:rsidTr="00726412">
        <w:trPr>
          <w:trHeight w:val="283"/>
          <w:jc w:val="center"/>
        </w:trPr>
        <w:tc>
          <w:tcPr>
            <w:cnfStyle w:val="001000000000" w:firstRow="0" w:lastRow="0" w:firstColumn="1" w:lastColumn="0" w:oddVBand="0" w:evenVBand="0" w:oddHBand="0" w:evenHBand="0" w:firstRowFirstColumn="0" w:firstRowLastColumn="0" w:lastRowFirstColumn="0" w:lastRowLastColumn="0"/>
            <w:tcW w:w="1361" w:type="dxa"/>
            <w:noWrap/>
          </w:tcPr>
          <w:p w:rsidR="00E02548" w:rsidRPr="003D7D26" w:rsidRDefault="00E02548" w:rsidP="00E02548">
            <w:pPr>
              <w:jc w:val="center"/>
              <w:rPr>
                <w:rFonts w:ascii="Calibri" w:eastAsia="Times New Roman" w:hAnsi="Calibri" w:cs="Calibri"/>
                <w:b w:val="0"/>
                <w:i/>
                <w:color w:val="000000"/>
              </w:rPr>
            </w:pPr>
            <w:r>
              <w:rPr>
                <w:rFonts w:ascii="Calibri" w:eastAsia="Times New Roman" w:hAnsi="Calibri" w:cs="Calibri"/>
                <w:b w:val="0"/>
                <w:i/>
                <w:color w:val="000000"/>
              </w:rPr>
              <w:t>30</w:t>
            </w:r>
          </w:p>
        </w:tc>
        <w:tc>
          <w:tcPr>
            <w:tcW w:w="1186" w:type="dxa"/>
            <w:noWrap/>
          </w:tcPr>
          <w:p w:rsidR="00E02548" w:rsidRDefault="00E02548" w:rsidP="00E02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rPr>
            </w:pPr>
            <w:r>
              <w:rPr>
                <w:rFonts w:ascii="Calibri" w:eastAsia="Times New Roman" w:hAnsi="Calibri" w:cs="Calibri"/>
                <w:i/>
                <w:color w:val="000000"/>
              </w:rPr>
              <w:t>36</w:t>
            </w:r>
          </w:p>
        </w:tc>
        <w:tc>
          <w:tcPr>
            <w:tcW w:w="1134" w:type="dxa"/>
            <w:noWrap/>
            <w:vAlign w:val="bottom"/>
          </w:tcPr>
          <w:p w:rsidR="00E02548" w:rsidRPr="00726412" w:rsidRDefault="00E02548" w:rsidP="007264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412">
              <w:rPr>
                <w:rFonts w:ascii="Calibri" w:eastAsia="Times New Roman" w:hAnsi="Calibri" w:cs="Calibri"/>
                <w:color w:val="000000"/>
              </w:rPr>
              <w:t>2.12</w:t>
            </w:r>
          </w:p>
        </w:tc>
        <w:tc>
          <w:tcPr>
            <w:tcW w:w="336" w:type="dxa"/>
            <w:vAlign w:val="bottom"/>
          </w:tcPr>
          <w:p w:rsidR="00E02548" w:rsidRPr="00726412" w:rsidRDefault="00726412" w:rsidP="007264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412">
              <w:rPr>
                <w:rFonts w:ascii="Calibri" w:eastAsia="Times New Roman" w:hAnsi="Calibri" w:cs="Calibri"/>
                <w:color w:val="000000"/>
              </w:rPr>
              <w:t>±</w:t>
            </w:r>
          </w:p>
        </w:tc>
        <w:tc>
          <w:tcPr>
            <w:tcW w:w="940" w:type="dxa"/>
            <w:vAlign w:val="bottom"/>
          </w:tcPr>
          <w:p w:rsidR="00E02548" w:rsidRPr="00726412" w:rsidRDefault="00726412" w:rsidP="007264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26412">
              <w:rPr>
                <w:rFonts w:ascii="Calibri" w:eastAsia="Times New Roman" w:hAnsi="Calibri" w:cs="Calibri"/>
                <w:color w:val="000000"/>
              </w:rPr>
              <w:t>0.45</w:t>
            </w:r>
          </w:p>
        </w:tc>
      </w:tr>
    </w:tbl>
    <w:p w:rsidR="00D46C56" w:rsidRDefault="00D46C56" w:rsidP="00781D71">
      <w:pPr>
        <w:spacing w:line="480" w:lineRule="auto"/>
        <w:contextualSpacing/>
      </w:pPr>
    </w:p>
    <w:p w:rsidR="00726412" w:rsidRDefault="00726412" w:rsidP="00D46C56">
      <w:pPr>
        <w:spacing w:line="480" w:lineRule="auto"/>
        <w:ind w:firstLine="720"/>
        <w:contextualSpacing/>
      </w:pPr>
    </w:p>
    <w:p w:rsidR="00730750" w:rsidRDefault="00726412" w:rsidP="005731F6">
      <w:pPr>
        <w:spacing w:line="480" w:lineRule="auto"/>
        <w:ind w:firstLine="720"/>
        <w:contextualSpacing/>
      </w:pPr>
      <w:r>
        <w:t xml:space="preserve">Dissolution rates increased markedly with increasing temperature, </w:t>
      </w:r>
      <w:r w:rsidR="00C04569">
        <w:t xml:space="preserve">with averages across salinities ranging from </w:t>
      </w:r>
      <w:r>
        <w:t xml:space="preserve">0.52 </w:t>
      </w:r>
      <w:r w:rsidR="00C04569">
        <w:t xml:space="preserve">± </w:t>
      </w:r>
      <w:r>
        <w:t>0.14</w:t>
      </w:r>
      <w:r w:rsidR="00C04569">
        <w:t xml:space="preserve"> mg cm</w:t>
      </w:r>
      <w:r w:rsidR="00C04569" w:rsidRPr="00C04569">
        <w:rPr>
          <w:vertAlign w:val="superscript"/>
        </w:rPr>
        <w:t>-2</w:t>
      </w:r>
      <w:r w:rsidR="00C04569">
        <w:t xml:space="preserve"> d</w:t>
      </w:r>
      <w:r w:rsidR="00C04569" w:rsidRPr="00C04569">
        <w:rPr>
          <w:vertAlign w:val="superscript"/>
        </w:rPr>
        <w:t>-1</w:t>
      </w:r>
      <w:r w:rsidR="00C04569">
        <w:t xml:space="preserve"> at 5</w:t>
      </w:r>
      <w:r w:rsidR="00C04569" w:rsidRPr="00C04569">
        <w:rPr>
          <w:vertAlign w:val="superscript"/>
        </w:rPr>
        <w:t>o</w:t>
      </w:r>
      <w:r w:rsidR="00C04569">
        <w:t>C, then 0.93 ± 0.04 mg cm</w:t>
      </w:r>
      <w:r w:rsidR="00C04569" w:rsidRPr="00C04569">
        <w:rPr>
          <w:vertAlign w:val="superscript"/>
        </w:rPr>
        <w:t>-2</w:t>
      </w:r>
      <w:r w:rsidR="00C04569">
        <w:t xml:space="preserve"> d</w:t>
      </w:r>
      <w:r w:rsidR="00C04569" w:rsidRPr="00C04569">
        <w:rPr>
          <w:vertAlign w:val="superscript"/>
        </w:rPr>
        <w:t>-1</w:t>
      </w:r>
      <w:r w:rsidR="00C04569">
        <w:t xml:space="preserve"> at 20</w:t>
      </w:r>
      <w:r w:rsidR="00C04569" w:rsidRPr="00C04569">
        <w:rPr>
          <w:vertAlign w:val="superscript"/>
        </w:rPr>
        <w:t>o</w:t>
      </w:r>
      <w:r w:rsidR="00C04569">
        <w:t>C, to 2.73 ± 0.21 mg cm</w:t>
      </w:r>
      <w:r w:rsidR="00C04569" w:rsidRPr="00C04569">
        <w:rPr>
          <w:vertAlign w:val="superscript"/>
        </w:rPr>
        <w:t>-2</w:t>
      </w:r>
      <w:r w:rsidR="00C04569">
        <w:t xml:space="preserve"> d</w:t>
      </w:r>
      <w:r w:rsidR="00C04569" w:rsidRPr="00C04569">
        <w:rPr>
          <w:vertAlign w:val="superscript"/>
        </w:rPr>
        <w:t>-1</w:t>
      </w:r>
      <w:r w:rsidR="00C04569">
        <w:t xml:space="preserve"> at 30</w:t>
      </w:r>
      <w:r w:rsidR="00C04569" w:rsidRPr="00C04569">
        <w:rPr>
          <w:vertAlign w:val="superscript"/>
        </w:rPr>
        <w:t>o</w:t>
      </w:r>
      <w:r w:rsidR="00C04569">
        <w:t xml:space="preserve">C (Figure </w:t>
      </w:r>
      <w:r w:rsidR="00175593">
        <w:t>2</w:t>
      </w:r>
      <w:r w:rsidR="00C04569">
        <w:t>a; Table 1).  A significant effect of salinity on dissolution rate was only observed in the 5</w:t>
      </w:r>
      <w:r w:rsidR="00C04569" w:rsidRPr="00C04569">
        <w:rPr>
          <w:vertAlign w:val="superscript"/>
        </w:rPr>
        <w:t>o</w:t>
      </w:r>
      <w:r w:rsidR="00C04569">
        <w:t xml:space="preserve">C incubations (Figure </w:t>
      </w:r>
      <w:r w:rsidR="00175593">
        <w:t>2</w:t>
      </w:r>
      <w:r w:rsidR="00C04569">
        <w:t>b), increasing from 0.38 ± 0.03 mg cm</w:t>
      </w:r>
      <w:r w:rsidR="00C04569" w:rsidRPr="00C04569">
        <w:rPr>
          <w:vertAlign w:val="superscript"/>
        </w:rPr>
        <w:t>-2</w:t>
      </w:r>
      <w:r w:rsidR="00C04569">
        <w:t xml:space="preserve"> d</w:t>
      </w:r>
      <w:r w:rsidR="00C04569" w:rsidRPr="00C04569">
        <w:rPr>
          <w:vertAlign w:val="superscript"/>
        </w:rPr>
        <w:t>-1</w:t>
      </w:r>
      <w:r w:rsidR="00C04569">
        <w:t xml:space="preserve"> </w:t>
      </w:r>
      <w:r w:rsidR="00730750">
        <w:t>(</w:t>
      </w:r>
      <w:r w:rsidR="00C04569">
        <w:t xml:space="preserve">0.1 </w:t>
      </w:r>
      <w:proofErr w:type="spellStart"/>
      <w:r w:rsidR="00C04569">
        <w:t>psu</w:t>
      </w:r>
      <w:proofErr w:type="spellEnd"/>
      <w:r w:rsidR="00730750">
        <w:t>)</w:t>
      </w:r>
      <w:r w:rsidR="00C04569">
        <w:t xml:space="preserve">, </w:t>
      </w:r>
      <w:r w:rsidR="00730750">
        <w:t xml:space="preserve">then </w:t>
      </w:r>
      <w:r w:rsidR="00C04569">
        <w:t>up to 0.55 ± 0.01 mg cm</w:t>
      </w:r>
      <w:r w:rsidR="00C04569" w:rsidRPr="00C04569">
        <w:rPr>
          <w:vertAlign w:val="superscript"/>
        </w:rPr>
        <w:t>-2</w:t>
      </w:r>
      <w:r w:rsidR="00C04569">
        <w:t xml:space="preserve"> d</w:t>
      </w:r>
      <w:r w:rsidR="00C04569" w:rsidRPr="00C04569">
        <w:rPr>
          <w:vertAlign w:val="superscript"/>
        </w:rPr>
        <w:t>-1</w:t>
      </w:r>
      <w:r w:rsidR="00C04569">
        <w:t xml:space="preserve"> </w:t>
      </w:r>
      <w:r w:rsidR="00730750">
        <w:t>(</w:t>
      </w:r>
      <w:r w:rsidR="00C04569">
        <w:t xml:space="preserve">18 </w:t>
      </w:r>
      <w:proofErr w:type="spellStart"/>
      <w:r w:rsidR="00C04569">
        <w:t>psu</w:t>
      </w:r>
      <w:proofErr w:type="spellEnd"/>
      <w:r w:rsidR="00730750">
        <w:t>)</w:t>
      </w:r>
      <w:r w:rsidR="00C04569">
        <w:t xml:space="preserve"> and 0.66 ± 0.03 mg cm</w:t>
      </w:r>
      <w:r w:rsidR="00C04569" w:rsidRPr="00C04569">
        <w:rPr>
          <w:vertAlign w:val="superscript"/>
        </w:rPr>
        <w:t>-2</w:t>
      </w:r>
      <w:r w:rsidR="00C04569">
        <w:t xml:space="preserve"> d</w:t>
      </w:r>
      <w:r w:rsidR="00C04569" w:rsidRPr="00C04569">
        <w:rPr>
          <w:vertAlign w:val="superscript"/>
        </w:rPr>
        <w:t>-1</w:t>
      </w:r>
      <w:r w:rsidR="00C04569">
        <w:t xml:space="preserve"> at 36 </w:t>
      </w:r>
      <w:proofErr w:type="spellStart"/>
      <w:r w:rsidR="00C04569">
        <w:t>psu</w:t>
      </w:r>
      <w:proofErr w:type="spellEnd"/>
      <w:r w:rsidR="00C04569">
        <w:t>.</w:t>
      </w:r>
      <w:r w:rsidR="000D1C5D">
        <w:t xml:space="preserve">  This suggests that temperature is the dominant factor towards dissolution rates, and salinity affects only </w:t>
      </w:r>
      <w:r w:rsidR="001138E5">
        <w:t xml:space="preserve">become </w:t>
      </w:r>
      <w:r w:rsidR="000D1C5D">
        <w:t xml:space="preserve">observable once temperature is low enough to </w:t>
      </w:r>
      <w:r w:rsidR="00B43248">
        <w:t xml:space="preserve">exhibit </w:t>
      </w:r>
      <w:r w:rsidR="000F7D65">
        <w:t xml:space="preserve">less </w:t>
      </w:r>
      <w:r w:rsidR="00B43248">
        <w:t>influence.</w:t>
      </w:r>
    </w:p>
    <w:p w:rsidR="007605A2" w:rsidRDefault="007605A2" w:rsidP="005731F6">
      <w:pPr>
        <w:spacing w:line="480" w:lineRule="auto"/>
        <w:ind w:firstLine="720"/>
        <w:contextualSpacing/>
      </w:pPr>
      <w:r>
        <w:t xml:space="preserve">To </w:t>
      </w:r>
      <w:r w:rsidR="00BD188C">
        <w:t xml:space="preserve">hypothetically </w:t>
      </w:r>
      <w:r>
        <w:t xml:space="preserve">assess how </w:t>
      </w:r>
      <w:proofErr w:type="spellStart"/>
      <w:r>
        <w:t>HgFu</w:t>
      </w:r>
      <w:proofErr w:type="spellEnd"/>
      <w:r>
        <w:t xml:space="preserve"> dissolution out of a </w:t>
      </w:r>
      <w:r w:rsidR="000C6FB9">
        <w:t>general</w:t>
      </w:r>
      <w:r>
        <w:t xml:space="preserve"> UXO </w:t>
      </w:r>
      <w:r w:rsidR="00DE711D">
        <w:t>could be</w:t>
      </w:r>
      <w:r>
        <w:t xml:space="preserve"> impacted by temperature and salinity, </w:t>
      </w:r>
      <w:r w:rsidR="00DE711D">
        <w:t xml:space="preserve">the dissolution of 3 different masses of </w:t>
      </w:r>
      <w:proofErr w:type="spellStart"/>
      <w:r w:rsidR="00DE711D">
        <w:t>HgFu</w:t>
      </w:r>
      <w:proofErr w:type="spellEnd"/>
      <w:r w:rsidR="00DE711D">
        <w:t xml:space="preserve"> were calculated for time increments (~0.1 - 0.5 day) up to 2 days using select</w:t>
      </w:r>
      <w:r w:rsidR="00A33EC1">
        <w:t>ed</w:t>
      </w:r>
      <w:r w:rsidR="00DE711D">
        <w:t xml:space="preserve"> rates </w:t>
      </w:r>
      <w:r w:rsidR="008319BE">
        <w:t>from Table 1</w:t>
      </w:r>
      <w:r w:rsidR="00DE711D">
        <w:t xml:space="preserve">.  </w:t>
      </w:r>
      <w:r>
        <w:t xml:space="preserve">The amounts of </w:t>
      </w:r>
      <w:proofErr w:type="spellStart"/>
      <w:r>
        <w:t>HgFu</w:t>
      </w:r>
      <w:proofErr w:type="spellEnd"/>
      <w:r>
        <w:t xml:space="preserve"> </w:t>
      </w:r>
      <w:r w:rsidR="00DD1BE9">
        <w:t>gauged</w:t>
      </w:r>
      <w:r w:rsidR="009B1CE8">
        <w:t xml:space="preserve"> </w:t>
      </w:r>
      <w:r>
        <w:t xml:space="preserve">consisted of 30 and 300 mg </w:t>
      </w:r>
      <w:proofErr w:type="spellStart"/>
      <w:r>
        <w:t>HgFu</w:t>
      </w:r>
      <w:proofErr w:type="spellEnd"/>
      <w:r>
        <w:t xml:space="preserve">, representing the typical range for a German shell (Command of the Army Council, 1943).  </w:t>
      </w:r>
      <w:r w:rsidR="003B4A7E">
        <w:t>Various l</w:t>
      </w:r>
      <w:r>
        <w:t xml:space="preserve">arger WWII munitions </w:t>
      </w:r>
      <w:r w:rsidR="003B4A7E">
        <w:t xml:space="preserve">were reported to </w:t>
      </w:r>
      <w:r>
        <w:t xml:space="preserve">contain </w:t>
      </w:r>
      <w:r w:rsidR="00DE711D">
        <w:t>up to</w:t>
      </w:r>
      <w:r>
        <w:t xml:space="preserve"> 5.1 g </w:t>
      </w:r>
      <w:proofErr w:type="spellStart"/>
      <w:r>
        <w:t>HgFu</w:t>
      </w:r>
      <w:proofErr w:type="spellEnd"/>
      <w:r>
        <w:t xml:space="preserve"> (Command of the Army Council, 1943), </w:t>
      </w:r>
      <w:r w:rsidR="00DE711D">
        <w:t>therefore this was also</w:t>
      </w:r>
      <w:r w:rsidR="00DD1BE9" w:rsidRPr="00DD1BE9">
        <w:t xml:space="preserve"> </w:t>
      </w:r>
      <w:r w:rsidR="00DD1BE9">
        <w:t>considered</w:t>
      </w:r>
      <w:r>
        <w:t>.</w:t>
      </w:r>
    </w:p>
    <w:p w:rsidR="00DE711D" w:rsidRDefault="000F4BCD" w:rsidP="007605A2">
      <w:pPr>
        <w:spacing w:line="480" w:lineRule="auto"/>
        <w:ind w:firstLine="720"/>
        <w:contextualSpacing/>
      </w:pPr>
      <w:r>
        <w:t>Likewise</w:t>
      </w:r>
      <w:r w:rsidR="007605A2">
        <w:t>, at a salinity of</w:t>
      </w:r>
      <w:r w:rsidR="009D7952">
        <w:t xml:space="preserve"> 0.1</w:t>
      </w:r>
      <w:r w:rsidR="007605A2">
        <w:t xml:space="preserve"> </w:t>
      </w:r>
      <w:proofErr w:type="spellStart"/>
      <w:r w:rsidR="007605A2">
        <w:t>psu</w:t>
      </w:r>
      <w:proofErr w:type="spellEnd"/>
      <w:r w:rsidR="007605A2">
        <w:t xml:space="preserve"> </w:t>
      </w:r>
      <w:r w:rsidR="00263644">
        <w:t xml:space="preserve">approximately </w:t>
      </w:r>
      <w:r w:rsidR="00FF6EB7">
        <w:t>2</w:t>
      </w:r>
      <w:r w:rsidR="00DE711D">
        <w:t>.</w:t>
      </w:r>
      <w:r w:rsidR="00FF6EB7">
        <w:t>2</w:t>
      </w:r>
      <w:r w:rsidR="007605A2">
        <w:t xml:space="preserve">% of </w:t>
      </w:r>
      <w:proofErr w:type="spellStart"/>
      <w:r w:rsidR="007605A2">
        <w:t>HgFu</w:t>
      </w:r>
      <w:proofErr w:type="spellEnd"/>
      <w:r w:rsidR="007605A2">
        <w:t xml:space="preserve"> mass would dissolve within the first ~1.5 h (0.1 d) at 5</w:t>
      </w:r>
      <w:r w:rsidR="007605A2" w:rsidRPr="00155147">
        <w:rPr>
          <w:vertAlign w:val="superscript"/>
        </w:rPr>
        <w:t>o</w:t>
      </w:r>
      <w:r w:rsidR="007605A2">
        <w:t>C</w:t>
      </w:r>
      <w:r w:rsidR="009D7952">
        <w:t xml:space="preserve">, </w:t>
      </w:r>
      <w:r w:rsidR="00600F06">
        <w:t>and</w:t>
      </w:r>
      <w:r>
        <w:t xml:space="preserve"> </w:t>
      </w:r>
      <w:r w:rsidR="009931D3">
        <w:t>increase</w:t>
      </w:r>
      <w:r w:rsidR="009D7952">
        <w:t xml:space="preserve"> to </w:t>
      </w:r>
      <w:r w:rsidR="00D76CE0">
        <w:t>3</w:t>
      </w:r>
      <w:r w:rsidR="009D7952">
        <w:t>.</w:t>
      </w:r>
      <w:r w:rsidR="00DD44E3">
        <w:t>8</w:t>
      </w:r>
      <w:r w:rsidR="009D7952">
        <w:t xml:space="preserve">% </w:t>
      </w:r>
      <w:proofErr w:type="spellStart"/>
      <w:r w:rsidR="00961BE9">
        <w:t>HgFu</w:t>
      </w:r>
      <w:proofErr w:type="spellEnd"/>
      <w:r w:rsidR="00961BE9">
        <w:t xml:space="preserve"> </w:t>
      </w:r>
      <w:r w:rsidR="009D7952">
        <w:t xml:space="preserve">lost </w:t>
      </w:r>
      <w:r w:rsidR="00362854">
        <w:t>at</w:t>
      </w:r>
      <w:r w:rsidR="009D7952">
        <w:t xml:space="preserve"> 36 </w:t>
      </w:r>
      <w:proofErr w:type="spellStart"/>
      <w:r w:rsidR="009D7952">
        <w:t>psu</w:t>
      </w:r>
      <w:proofErr w:type="spellEnd"/>
      <w:r w:rsidR="007605A2">
        <w:t xml:space="preserve">.  </w:t>
      </w:r>
      <w:r w:rsidR="00961BE9">
        <w:t xml:space="preserve">Spent mass </w:t>
      </w:r>
      <w:r w:rsidR="00BD188C">
        <w:t>per</w:t>
      </w:r>
      <w:r w:rsidR="007605A2">
        <w:t xml:space="preserve"> ~1.5 h would rise slightly to </w:t>
      </w:r>
      <w:r w:rsidR="00D76CE0">
        <w:t>5</w:t>
      </w:r>
      <w:r w:rsidR="007605A2">
        <w:t>% at 20</w:t>
      </w:r>
      <w:r w:rsidR="007605A2" w:rsidRPr="00155147">
        <w:rPr>
          <w:vertAlign w:val="superscript"/>
        </w:rPr>
        <w:t>o</w:t>
      </w:r>
      <w:r w:rsidR="007605A2">
        <w:t>C</w:t>
      </w:r>
      <w:r w:rsidR="009D7952">
        <w:t xml:space="preserve">, </w:t>
      </w:r>
      <w:r w:rsidR="00910650">
        <w:t>but</w:t>
      </w:r>
      <w:r w:rsidR="009D7952">
        <w:t xml:space="preserve"> </w:t>
      </w:r>
      <w:r w:rsidR="009931D3">
        <w:t>more than triple</w:t>
      </w:r>
      <w:r w:rsidR="007605A2">
        <w:t xml:space="preserve"> to </w:t>
      </w:r>
      <w:r w:rsidR="00D76CE0">
        <w:t>16.9</w:t>
      </w:r>
      <w:r w:rsidR="007605A2">
        <w:t xml:space="preserve">% </w:t>
      </w:r>
      <w:r w:rsidR="00600F06">
        <w:t>for</w:t>
      </w:r>
      <w:r w:rsidR="007605A2">
        <w:t xml:space="preserve"> 30</w:t>
      </w:r>
      <w:r w:rsidR="007605A2" w:rsidRPr="00155147">
        <w:rPr>
          <w:vertAlign w:val="superscript"/>
        </w:rPr>
        <w:t>o</w:t>
      </w:r>
      <w:r w:rsidR="007605A2">
        <w:t>C</w:t>
      </w:r>
      <w:r w:rsidR="009D7952">
        <w:t xml:space="preserve"> </w:t>
      </w:r>
      <w:r w:rsidR="00E536F0">
        <w:t>at</w:t>
      </w:r>
      <w:r w:rsidR="009D7952">
        <w:t xml:space="preserve"> 36 </w:t>
      </w:r>
      <w:proofErr w:type="spellStart"/>
      <w:r w:rsidR="009D7952">
        <w:t>psu</w:t>
      </w:r>
      <w:proofErr w:type="spellEnd"/>
      <w:r w:rsidR="007605A2">
        <w:t xml:space="preserve">.  If salinity </w:t>
      </w:r>
      <w:r w:rsidR="00DE711D">
        <w:t>decreased</w:t>
      </w:r>
      <w:r w:rsidR="007605A2">
        <w:t xml:space="preserve"> to </w:t>
      </w:r>
      <w:r w:rsidR="00DE711D">
        <w:t>18</w:t>
      </w:r>
      <w:r w:rsidR="007605A2">
        <w:t xml:space="preserve"> </w:t>
      </w:r>
      <w:proofErr w:type="spellStart"/>
      <w:r w:rsidR="007605A2">
        <w:t>psu</w:t>
      </w:r>
      <w:proofErr w:type="spellEnd"/>
      <w:r w:rsidR="00961BE9">
        <w:t>,</w:t>
      </w:r>
      <w:r w:rsidR="007605A2">
        <w:t xml:space="preserve"> then the </w:t>
      </w:r>
      <w:r w:rsidR="00961BE9">
        <w:t>lost</w:t>
      </w:r>
      <w:r w:rsidR="007605A2">
        <w:t xml:space="preserve"> </w:t>
      </w:r>
      <w:r w:rsidR="0090283D">
        <w:t xml:space="preserve">amount </w:t>
      </w:r>
      <w:r w:rsidR="00362854">
        <w:t xml:space="preserve">fell </w:t>
      </w:r>
      <w:r w:rsidR="009D7952">
        <w:t xml:space="preserve">slightly </w:t>
      </w:r>
      <w:r w:rsidR="007605A2">
        <w:t xml:space="preserve">to </w:t>
      </w:r>
      <w:r w:rsidR="00D76CE0">
        <w:t>14.6</w:t>
      </w:r>
      <w:r w:rsidR="007605A2">
        <w:t xml:space="preserve">% </w:t>
      </w:r>
      <w:r w:rsidR="009D7952">
        <w:t>at</w:t>
      </w:r>
      <w:r w:rsidR="007605A2">
        <w:t xml:space="preserve"> 30</w:t>
      </w:r>
      <w:r w:rsidR="007605A2" w:rsidRPr="00155147">
        <w:rPr>
          <w:vertAlign w:val="superscript"/>
        </w:rPr>
        <w:t>o</w:t>
      </w:r>
      <w:r w:rsidR="007605A2">
        <w:t xml:space="preserve">C.  </w:t>
      </w:r>
      <w:r w:rsidR="00BD188C">
        <w:t>Theoretically a</w:t>
      </w:r>
      <w:r w:rsidR="007605A2">
        <w:t xml:space="preserve">fter </w:t>
      </w:r>
      <w:r w:rsidR="00DE711D">
        <w:t>1</w:t>
      </w:r>
      <w:r w:rsidR="007605A2">
        <w:t xml:space="preserve"> day ~</w:t>
      </w:r>
      <w:r w:rsidR="00D76CE0">
        <w:t>38</w:t>
      </w:r>
      <w:r w:rsidR="007605A2">
        <w:t>% of the original mass would have dissolved at 5</w:t>
      </w:r>
      <w:r w:rsidR="007605A2" w:rsidRPr="00155147">
        <w:rPr>
          <w:vertAlign w:val="superscript"/>
        </w:rPr>
        <w:t>o</w:t>
      </w:r>
      <w:r w:rsidR="007605A2">
        <w:t xml:space="preserve">C (at </w:t>
      </w:r>
      <w:r w:rsidR="00DE711D">
        <w:t>36</w:t>
      </w:r>
      <w:r w:rsidR="007605A2">
        <w:t xml:space="preserve"> </w:t>
      </w:r>
      <w:proofErr w:type="spellStart"/>
      <w:r w:rsidR="007605A2">
        <w:t>psu</w:t>
      </w:r>
      <w:proofErr w:type="spellEnd"/>
      <w:r w:rsidR="007605A2">
        <w:t xml:space="preserve">), </w:t>
      </w:r>
      <w:r w:rsidR="00362854">
        <w:t>compared to</w:t>
      </w:r>
      <w:r w:rsidR="007605A2">
        <w:t xml:space="preserve"> </w:t>
      </w:r>
      <w:r w:rsidR="00D76CE0">
        <w:t>50.3</w:t>
      </w:r>
      <w:r w:rsidR="007605A2">
        <w:t>% at 20</w:t>
      </w:r>
      <w:r w:rsidR="007605A2" w:rsidRPr="00155147">
        <w:rPr>
          <w:vertAlign w:val="superscript"/>
        </w:rPr>
        <w:t>o</w:t>
      </w:r>
      <w:r w:rsidR="007605A2">
        <w:t>C</w:t>
      </w:r>
      <w:r w:rsidR="0004284F">
        <w:t xml:space="preserve"> (SI; Table S1)</w:t>
      </w:r>
      <w:r w:rsidR="00961BE9">
        <w:t>.  W</w:t>
      </w:r>
      <w:r w:rsidR="009D7952">
        <w:t>hereas all</w:t>
      </w:r>
      <w:r w:rsidR="007605A2">
        <w:t xml:space="preserve"> </w:t>
      </w:r>
      <w:r w:rsidR="00DD1BE9">
        <w:t xml:space="preserve">the </w:t>
      </w:r>
      <w:r w:rsidR="007605A2">
        <w:t xml:space="preserve">original mass would have dispersed into the surrounding environment </w:t>
      </w:r>
      <w:r w:rsidR="00C64A5E">
        <w:t>for</w:t>
      </w:r>
      <w:r w:rsidR="007605A2">
        <w:t xml:space="preserve"> all salinities </w:t>
      </w:r>
      <w:r w:rsidR="006A1A38">
        <w:t>at</w:t>
      </w:r>
      <w:r w:rsidR="007605A2">
        <w:t xml:space="preserve"> 30</w:t>
      </w:r>
      <w:r w:rsidR="007605A2" w:rsidRPr="00155147">
        <w:rPr>
          <w:vertAlign w:val="superscript"/>
        </w:rPr>
        <w:t>o</w:t>
      </w:r>
      <w:r w:rsidR="007605A2">
        <w:t xml:space="preserve">C.  </w:t>
      </w:r>
      <w:r w:rsidR="006A1A38">
        <w:t>H</w:t>
      </w:r>
      <w:r w:rsidR="009D7952">
        <w:t>eavy-solid rates were also compared f</w:t>
      </w:r>
      <w:r w:rsidR="007605A2">
        <w:t xml:space="preserve">or 5.1 g of </w:t>
      </w:r>
      <w:proofErr w:type="spellStart"/>
      <w:r w:rsidR="007605A2">
        <w:t>HgFu</w:t>
      </w:r>
      <w:proofErr w:type="spellEnd"/>
      <w:r w:rsidR="009D7952">
        <w:t>, and all yielded ~</w:t>
      </w:r>
      <w:r w:rsidR="00D76CE0">
        <w:t>12</w:t>
      </w:r>
      <w:r w:rsidR="009D7952">
        <w:t xml:space="preserve">% of </w:t>
      </w:r>
      <w:proofErr w:type="spellStart"/>
      <w:r w:rsidR="009D7952">
        <w:t>HgFu</w:t>
      </w:r>
      <w:proofErr w:type="spellEnd"/>
      <w:r w:rsidR="009D7952">
        <w:t xml:space="preserve"> mass dissolved after 1.5 h, and complete dissolution </w:t>
      </w:r>
      <w:r w:rsidR="009D7952">
        <w:lastRenderedPageBreak/>
        <w:t xml:space="preserve">after 2 days.  </w:t>
      </w:r>
      <w:r w:rsidR="00387081">
        <w:t xml:space="preserve">Consequently, once </w:t>
      </w:r>
      <w:proofErr w:type="spellStart"/>
      <w:r w:rsidR="00387081">
        <w:t>HgFu</w:t>
      </w:r>
      <w:proofErr w:type="spellEnd"/>
      <w:r w:rsidR="00387081">
        <w:t xml:space="preserve"> comes into contact with waters of various salinities and temperatures it will rapidly </w:t>
      </w:r>
      <w:r w:rsidR="00910650">
        <w:t xml:space="preserve">be </w:t>
      </w:r>
      <w:r w:rsidR="00387081">
        <w:t>transf</w:t>
      </w:r>
      <w:r w:rsidR="00910650">
        <w:t>erred</w:t>
      </w:r>
      <w:r w:rsidR="00387081">
        <w:t xml:space="preserve"> from solid crystals </w:t>
      </w:r>
      <w:r w:rsidR="00910650">
        <w:t>into</w:t>
      </w:r>
      <w:r w:rsidR="00387081">
        <w:t xml:space="preserve"> </w:t>
      </w:r>
      <w:r w:rsidR="00910650">
        <w:t>surrounding</w:t>
      </w:r>
      <w:r w:rsidR="00961BE9">
        <w:t xml:space="preserve"> </w:t>
      </w:r>
      <w:r w:rsidR="00387081">
        <w:t xml:space="preserve">waters.  </w:t>
      </w:r>
    </w:p>
    <w:p w:rsidR="00DE711D" w:rsidRDefault="00DE711D" w:rsidP="007605A2">
      <w:pPr>
        <w:spacing w:line="480" w:lineRule="auto"/>
        <w:ind w:firstLine="720"/>
        <w:contextualSpacing/>
      </w:pPr>
    </w:p>
    <w:p w:rsidR="00730750" w:rsidRDefault="00730750" w:rsidP="00730750">
      <w:pPr>
        <w:spacing w:line="480" w:lineRule="auto"/>
        <w:contextualSpacing/>
      </w:pPr>
    </w:p>
    <w:p w:rsidR="00730750" w:rsidRDefault="00730750" w:rsidP="00730750">
      <w:pPr>
        <w:spacing w:line="480" w:lineRule="auto"/>
        <w:contextualSpacing/>
        <w:jc w:val="center"/>
      </w:pPr>
      <w:r>
        <w:rPr>
          <w:noProof/>
        </w:rPr>
        <w:drawing>
          <wp:inline distT="0" distB="0" distL="0" distR="0" wp14:anchorId="2182F24C" wp14:editId="37961F5B">
            <wp:extent cx="4130072" cy="5138524"/>
            <wp:effectExtent l="0" t="0" r="381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1243" cy="5139981"/>
                    </a:xfrm>
                    <a:prstGeom prst="rect">
                      <a:avLst/>
                    </a:prstGeom>
                    <a:noFill/>
                  </pic:spPr>
                </pic:pic>
              </a:graphicData>
            </a:graphic>
          </wp:inline>
        </w:drawing>
      </w:r>
    </w:p>
    <w:p w:rsidR="00730750" w:rsidRDefault="00730750" w:rsidP="00776CF3">
      <w:pPr>
        <w:spacing w:line="240" w:lineRule="auto"/>
        <w:contextualSpacing/>
      </w:pPr>
      <w:r w:rsidRPr="00730750">
        <w:rPr>
          <w:b/>
        </w:rPr>
        <w:t xml:space="preserve">Figure </w:t>
      </w:r>
      <w:r w:rsidR="00175593">
        <w:rPr>
          <w:b/>
        </w:rPr>
        <w:t>2</w:t>
      </w:r>
      <w:r w:rsidRPr="00730750">
        <w:rPr>
          <w:b/>
        </w:rPr>
        <w:t>.</w:t>
      </w:r>
      <w:r>
        <w:t xml:space="preserve">  Mercury fulminate dissolution rates as a function of (a) temperature and (b) salinity.  Dark filled symbols marked with an asterisk (*) indicate data from the high-solids incubations.  Data points show the average rate from triplicate incubation vessels, with standard deviation displayed as error bars.  Error bars not visible are smaller than symbol size.</w:t>
      </w:r>
    </w:p>
    <w:p w:rsidR="00730750" w:rsidRDefault="00730750" w:rsidP="00730750">
      <w:pPr>
        <w:spacing w:line="480" w:lineRule="auto"/>
        <w:contextualSpacing/>
      </w:pPr>
    </w:p>
    <w:p w:rsidR="00730750" w:rsidRDefault="00730750" w:rsidP="00730750">
      <w:pPr>
        <w:spacing w:line="480" w:lineRule="auto"/>
        <w:contextualSpacing/>
      </w:pPr>
    </w:p>
    <w:p w:rsidR="00B71A09" w:rsidRDefault="00730750" w:rsidP="006360B1">
      <w:pPr>
        <w:spacing w:line="480" w:lineRule="auto"/>
        <w:ind w:firstLine="720"/>
        <w:contextualSpacing/>
      </w:pPr>
      <w:r>
        <w:lastRenderedPageBreak/>
        <w:t xml:space="preserve">These </w:t>
      </w:r>
      <w:r w:rsidR="00E15831">
        <w:t xml:space="preserve">dissolution </w:t>
      </w:r>
      <w:r>
        <w:t>experiments were co</w:t>
      </w:r>
      <w:r w:rsidR="00910650">
        <w:t>nducted</w:t>
      </w:r>
      <w:r>
        <w:t xml:space="preserve"> using pure </w:t>
      </w:r>
      <w:proofErr w:type="spellStart"/>
      <w:r>
        <w:t>HgFu</w:t>
      </w:r>
      <w:proofErr w:type="spellEnd"/>
      <w:r>
        <w:t xml:space="preserve">.  However, </w:t>
      </w:r>
      <w:proofErr w:type="spellStart"/>
      <w:r>
        <w:t>HgFu</w:t>
      </w:r>
      <w:proofErr w:type="spellEnd"/>
      <w:r>
        <w:t xml:space="preserve"> </w:t>
      </w:r>
      <w:r w:rsidR="003F4F44">
        <w:t>in i</w:t>
      </w:r>
      <w:r w:rsidR="00B71A09">
        <w:t xml:space="preserve">gnition </w:t>
      </w:r>
      <w:proofErr w:type="spellStart"/>
      <w:r w:rsidR="00B71A09">
        <w:t>fu</w:t>
      </w:r>
      <w:r w:rsidR="000E02E3">
        <w:t>z</w:t>
      </w:r>
      <w:r w:rsidR="00B71A09">
        <w:t>es</w:t>
      </w:r>
      <w:proofErr w:type="spellEnd"/>
      <w:r w:rsidR="00B71A09">
        <w:t xml:space="preserve"> </w:t>
      </w:r>
      <w:r w:rsidR="00CA106A">
        <w:t xml:space="preserve">from WWI and WWII </w:t>
      </w:r>
      <w:r w:rsidR="00B71A09">
        <w:t xml:space="preserve">typically </w:t>
      </w:r>
      <w:r w:rsidR="006A0FA4">
        <w:t xml:space="preserve">consisted of </w:t>
      </w:r>
      <w:proofErr w:type="spellStart"/>
      <w:r w:rsidR="007C1E1D">
        <w:t>HgFu</w:t>
      </w:r>
      <w:proofErr w:type="spellEnd"/>
      <w:r w:rsidR="00B71A09">
        <w:t xml:space="preserve"> </w:t>
      </w:r>
      <w:r w:rsidR="005731F6">
        <w:t xml:space="preserve">blended </w:t>
      </w:r>
      <w:r w:rsidR="00B71A09">
        <w:t>with other ingredients</w:t>
      </w:r>
      <w:r w:rsidR="00627091">
        <w:t xml:space="preserve"> and binders</w:t>
      </w:r>
      <w:r w:rsidR="00B71A09">
        <w:t>, such as antimony (III) sulfide (Sb</w:t>
      </w:r>
      <w:r w:rsidR="00B71A09" w:rsidRPr="008C7CCC">
        <w:rPr>
          <w:vertAlign w:val="subscript"/>
        </w:rPr>
        <w:t>2</w:t>
      </w:r>
      <w:r w:rsidR="00B71A09">
        <w:t>S</w:t>
      </w:r>
      <w:r w:rsidR="00B71A09" w:rsidRPr="008C7CCC">
        <w:rPr>
          <w:vertAlign w:val="subscript"/>
        </w:rPr>
        <w:t>3</w:t>
      </w:r>
      <w:r w:rsidR="00B71A09">
        <w:t>) and potassium chlorate (KClO</w:t>
      </w:r>
      <w:r w:rsidR="00B71A09" w:rsidRPr="008C7CCC">
        <w:rPr>
          <w:vertAlign w:val="subscript"/>
        </w:rPr>
        <w:t>3</w:t>
      </w:r>
      <w:r w:rsidR="00B71A09">
        <w:t xml:space="preserve">).  </w:t>
      </w:r>
      <w:r>
        <w:t xml:space="preserve">It is unknown how these </w:t>
      </w:r>
      <w:r w:rsidR="005731F6">
        <w:t>mixtures</w:t>
      </w:r>
      <w:r w:rsidR="00DE15EF">
        <w:t xml:space="preserve"> </w:t>
      </w:r>
      <w:r>
        <w:t xml:space="preserve">might </w:t>
      </w:r>
      <w:r w:rsidR="00E15831">
        <w:t>influence</w:t>
      </w:r>
      <w:r>
        <w:t xml:space="preserve"> </w:t>
      </w:r>
      <w:proofErr w:type="spellStart"/>
      <w:r>
        <w:t>HgFu</w:t>
      </w:r>
      <w:proofErr w:type="spellEnd"/>
      <w:r>
        <w:t xml:space="preserve"> dissolution, and experiments </w:t>
      </w:r>
      <w:r w:rsidR="00AE24C6">
        <w:t xml:space="preserve">assessing </w:t>
      </w:r>
      <w:r w:rsidR="00DE15EF">
        <w:t xml:space="preserve">all </w:t>
      </w:r>
      <w:r w:rsidR="00AE24C6">
        <w:t>potential combinations were</w:t>
      </w:r>
      <w:r>
        <w:t xml:space="preserve"> too compl</w:t>
      </w:r>
      <w:r w:rsidR="00910650">
        <w:t>ex and hazardous</w:t>
      </w:r>
      <w:r>
        <w:t xml:space="preserve"> to</w:t>
      </w:r>
      <w:r w:rsidR="00E536F0" w:rsidRPr="00E536F0">
        <w:t xml:space="preserve"> </w:t>
      </w:r>
      <w:r w:rsidR="00E536F0">
        <w:t>perform</w:t>
      </w:r>
      <w:r w:rsidR="00AE24C6">
        <w:t>.  H</w:t>
      </w:r>
      <w:r>
        <w:t>owever</w:t>
      </w:r>
      <w:r w:rsidR="00AE24C6">
        <w:t>,</w:t>
      </w:r>
      <w:r>
        <w:t xml:space="preserve"> it is </w:t>
      </w:r>
      <w:r w:rsidR="00E15831">
        <w:t xml:space="preserve">still </w:t>
      </w:r>
      <w:r>
        <w:t xml:space="preserve">important to note </w:t>
      </w:r>
      <w:r w:rsidR="00E15831">
        <w:t xml:space="preserve">that differences </w:t>
      </w:r>
      <w:r w:rsidR="00AE24C6">
        <w:t xml:space="preserve">in dissolution rates </w:t>
      </w:r>
      <w:r w:rsidR="00DE15EF">
        <w:t>might</w:t>
      </w:r>
      <w:r w:rsidR="00E15831">
        <w:t xml:space="preserve"> </w:t>
      </w:r>
      <w:r w:rsidR="00AE24C6">
        <w:t>vary for</w:t>
      </w:r>
      <w:r w:rsidR="00E15831">
        <w:t xml:space="preserve"> munitions </w:t>
      </w:r>
      <w:r w:rsidR="00AE24C6">
        <w:t xml:space="preserve">residing </w:t>
      </w:r>
      <w:r w:rsidR="00E15831">
        <w:t>in the environment</w:t>
      </w:r>
      <w:r w:rsidR="00DE15EF">
        <w:t xml:space="preserve"> due to these</w:t>
      </w:r>
      <w:r w:rsidR="00DE15EF" w:rsidRPr="00DE15EF">
        <w:t xml:space="preserve"> </w:t>
      </w:r>
      <w:r w:rsidR="00DE15EF">
        <w:t>integrations</w:t>
      </w:r>
      <w:r w:rsidR="00E15831">
        <w:t xml:space="preserve">.  </w:t>
      </w:r>
      <w:r w:rsidR="006A0FA4">
        <w:t>C</w:t>
      </w:r>
      <w:r w:rsidR="007F4A97">
        <w:t xml:space="preserve">omposites </w:t>
      </w:r>
      <w:r w:rsidR="00CC4B11">
        <w:t xml:space="preserve">were used </w:t>
      </w:r>
      <w:r w:rsidR="008728C5">
        <w:t xml:space="preserve">to influence the </w:t>
      </w:r>
      <w:r w:rsidR="00CC4B11">
        <w:t>physics of the</w:t>
      </w:r>
      <w:r w:rsidR="008728C5">
        <w:t xml:space="preserve"> </w:t>
      </w:r>
      <w:r w:rsidR="00CC4B11">
        <w:t xml:space="preserve">desired </w:t>
      </w:r>
      <w:r w:rsidR="000E02E3">
        <w:t>detonation</w:t>
      </w:r>
      <w:r w:rsidR="00CC4B11">
        <w:t>.  For instance, the addition of KClO</w:t>
      </w:r>
      <w:r w:rsidR="00CC4B11" w:rsidRPr="008C7CCC">
        <w:rPr>
          <w:vertAlign w:val="subscript"/>
        </w:rPr>
        <w:t>3</w:t>
      </w:r>
      <w:r w:rsidR="00CC4B11">
        <w:t xml:space="preserve"> create</w:t>
      </w:r>
      <w:r w:rsidR="001D22B4">
        <w:t>s</w:t>
      </w:r>
      <w:r w:rsidR="00CC4B11">
        <w:t xml:space="preserve"> a slightly more </w:t>
      </w:r>
      <w:proofErr w:type="spellStart"/>
      <w:r w:rsidR="00CC4B11">
        <w:t>brisant</w:t>
      </w:r>
      <w:proofErr w:type="spellEnd"/>
      <w:r w:rsidR="00CC4B11">
        <w:t xml:space="preserve"> reaction than </w:t>
      </w:r>
      <w:proofErr w:type="spellStart"/>
      <w:r w:rsidR="007C1E1D">
        <w:t>HgFu</w:t>
      </w:r>
      <w:proofErr w:type="spellEnd"/>
      <w:r w:rsidR="00CC4B11">
        <w:t xml:space="preserve"> alone (Matyas and </w:t>
      </w:r>
      <w:proofErr w:type="spellStart"/>
      <w:r w:rsidR="00CC4B11">
        <w:t>Pachman</w:t>
      </w:r>
      <w:proofErr w:type="spellEnd"/>
      <w:r w:rsidR="00CC4B11">
        <w:t xml:space="preserve">, 2013).  </w:t>
      </w:r>
      <w:r w:rsidR="00B71A09">
        <w:t>The blends varied depending on the type of ammunition</w:t>
      </w:r>
      <w:r w:rsidR="006360B1">
        <w:t xml:space="preserve">, and </w:t>
      </w:r>
      <w:r w:rsidR="00981220">
        <w:t>were</w:t>
      </w:r>
      <w:r w:rsidR="006360B1">
        <w:t xml:space="preserve"> moreover </w:t>
      </w:r>
      <w:r w:rsidR="00651BBA">
        <w:t xml:space="preserve">altered </w:t>
      </w:r>
      <w:r w:rsidR="006360B1">
        <w:t xml:space="preserve">as detonators and ignitors are designed for completely different functions and purposes.  Ignition propellants act to produce hot gas in order to accelerate the bullet, and likewise must not detonate as that would destroy the weapon.  Accordingly, the propellent reaction should consist of a burst of hot gas and particles but no shock, while reactions </w:t>
      </w:r>
      <w:r w:rsidR="002D00FE">
        <w:t>for</w:t>
      </w:r>
      <w:r w:rsidR="006360B1">
        <w:t xml:space="preserve"> high explosives (e.g. mines) offer maximum shock.  </w:t>
      </w:r>
      <w:r w:rsidR="00B71A09">
        <w:t>For example; grenade</w:t>
      </w:r>
      <w:r w:rsidR="000E02E3">
        <w:t xml:space="preserve"> detonators</w:t>
      </w:r>
      <w:r w:rsidR="00B71A09">
        <w:t xml:space="preserve"> would typically have 35.2% KClO</w:t>
      </w:r>
      <w:r w:rsidR="00B71A09" w:rsidRPr="008C7CCC">
        <w:rPr>
          <w:vertAlign w:val="subscript"/>
        </w:rPr>
        <w:t>3</w:t>
      </w:r>
      <w:r w:rsidR="00B71A09">
        <w:t xml:space="preserve">, 30.6% </w:t>
      </w:r>
      <w:proofErr w:type="spellStart"/>
      <w:r w:rsidR="007C1E1D">
        <w:t>HgFu</w:t>
      </w:r>
      <w:proofErr w:type="spellEnd"/>
      <w:r w:rsidR="00B71A09">
        <w:t>, 27% Sb</w:t>
      </w:r>
      <w:r w:rsidR="00B71A09" w:rsidRPr="008C7CCC">
        <w:rPr>
          <w:vertAlign w:val="subscript"/>
        </w:rPr>
        <w:t>2</w:t>
      </w:r>
      <w:r w:rsidR="00B71A09">
        <w:t>S</w:t>
      </w:r>
      <w:r w:rsidR="00B71A09" w:rsidRPr="008C7CCC">
        <w:rPr>
          <w:vertAlign w:val="subscript"/>
        </w:rPr>
        <w:t>3</w:t>
      </w:r>
      <w:r w:rsidR="00B71A09">
        <w:t>, with the remaining ~7.2% made of glass (</w:t>
      </w:r>
      <w:r w:rsidR="00DC30EB">
        <w:t xml:space="preserve">Command of the </w:t>
      </w:r>
      <w:r w:rsidR="00B71A09">
        <w:t>Army Council, 19</w:t>
      </w:r>
      <w:r w:rsidR="00DC30EB">
        <w:t>4</w:t>
      </w:r>
      <w:r w:rsidR="00B71A09">
        <w:t xml:space="preserve">3).  </w:t>
      </w:r>
      <w:r w:rsidR="00E15831">
        <w:t>In contrast,</w:t>
      </w:r>
      <w:r w:rsidR="000E02E3">
        <w:t xml:space="preserve"> </w:t>
      </w:r>
      <w:r w:rsidR="00E15831">
        <w:t>pistol muniton was</w:t>
      </w:r>
      <w:r w:rsidR="00B71A09">
        <w:t xml:space="preserve"> predominantly KClO</w:t>
      </w:r>
      <w:r w:rsidR="00B71A09" w:rsidRPr="008C7CCC">
        <w:rPr>
          <w:vertAlign w:val="subscript"/>
        </w:rPr>
        <w:t>3</w:t>
      </w:r>
      <w:r w:rsidR="00B71A09">
        <w:t xml:space="preserve"> (41.5%) and </w:t>
      </w:r>
      <w:r w:rsidR="00B71A09" w:rsidRPr="0026194C">
        <w:t>Sb</w:t>
      </w:r>
      <w:r w:rsidR="00B71A09" w:rsidRPr="0026194C">
        <w:rPr>
          <w:vertAlign w:val="subscript"/>
        </w:rPr>
        <w:t>2</w:t>
      </w:r>
      <w:r w:rsidR="00B71A09" w:rsidRPr="0026194C">
        <w:t>S</w:t>
      </w:r>
      <w:r w:rsidR="00B71A09" w:rsidRPr="0026194C">
        <w:rPr>
          <w:vertAlign w:val="subscript"/>
        </w:rPr>
        <w:t>3</w:t>
      </w:r>
      <w:r w:rsidR="00B71A09">
        <w:t xml:space="preserve"> (35.5%) </w:t>
      </w:r>
      <w:r w:rsidR="00B71A09" w:rsidRPr="0026194C">
        <w:t>and</w:t>
      </w:r>
      <w:r w:rsidR="00B71A09">
        <w:t xml:space="preserve"> contained 23% </w:t>
      </w:r>
      <w:proofErr w:type="spellStart"/>
      <w:r w:rsidR="007C1E1D">
        <w:t>HgFu</w:t>
      </w:r>
      <w:proofErr w:type="spellEnd"/>
      <w:r w:rsidR="00B71A09">
        <w:t xml:space="preserve"> (</w:t>
      </w:r>
      <w:r w:rsidR="00DC30EB">
        <w:t>Command of the Army Council, 1943</w:t>
      </w:r>
      <w:r w:rsidR="00B71A09">
        <w:t xml:space="preserve">).  The blends and binder proportions also varied depending on the manufacturing country and type of </w:t>
      </w:r>
      <w:r w:rsidR="00E15831">
        <w:t>munition</w:t>
      </w:r>
      <w:r w:rsidR="00B71A09">
        <w:t xml:space="preserve">, </w:t>
      </w:r>
      <w:r w:rsidR="00E15831">
        <w:t>as well as</w:t>
      </w:r>
      <w:r w:rsidR="00B71A09">
        <w:t xml:space="preserve"> the explosive material used (</w:t>
      </w:r>
      <w:r w:rsidR="00DC30EB">
        <w:t>Command of the Army Council, 1943</w:t>
      </w:r>
      <w:r w:rsidR="005B1DD2">
        <w:t xml:space="preserve">; Matyas and </w:t>
      </w:r>
      <w:proofErr w:type="spellStart"/>
      <w:r w:rsidR="005B1DD2">
        <w:t>Pachman</w:t>
      </w:r>
      <w:proofErr w:type="spellEnd"/>
      <w:r w:rsidR="005B1DD2">
        <w:t>, 2013</w:t>
      </w:r>
      <w:r w:rsidR="00B71A09">
        <w:t xml:space="preserve">).  </w:t>
      </w:r>
      <w:r w:rsidR="0075073F">
        <w:t xml:space="preserve">Likewise, </w:t>
      </w:r>
      <w:r w:rsidR="00362854">
        <w:t>it’s</w:t>
      </w:r>
      <w:r w:rsidR="0075073F">
        <w:t xml:space="preserve"> possible that variable proportions of each composite (e.g. greater amounts of KClO</w:t>
      </w:r>
      <w:r w:rsidR="0075073F" w:rsidRPr="0075073F">
        <w:rPr>
          <w:vertAlign w:val="subscript"/>
        </w:rPr>
        <w:t>3</w:t>
      </w:r>
      <w:r w:rsidR="0075073F">
        <w:t xml:space="preserve">) possibly assist with promoting </w:t>
      </w:r>
      <w:proofErr w:type="spellStart"/>
      <w:r w:rsidR="0075073F">
        <w:t>HgFu</w:t>
      </w:r>
      <w:proofErr w:type="spellEnd"/>
      <w:r w:rsidR="0075073F">
        <w:t xml:space="preserve"> dissolution.  </w:t>
      </w:r>
      <w:r w:rsidR="00B71A09">
        <w:t>As a result</w:t>
      </w:r>
      <w:r w:rsidR="00953629">
        <w:t>,</w:t>
      </w:r>
      <w:r w:rsidR="00B71A09">
        <w:t xml:space="preserve"> each piece and type of ammunition would carry a slightly different burden of chemicals, though ultimately still </w:t>
      </w:r>
      <w:r w:rsidR="00627091">
        <w:t xml:space="preserve">be </w:t>
      </w:r>
      <w:r w:rsidR="00E536F0">
        <w:t>lethal</w:t>
      </w:r>
      <w:r w:rsidR="00B71A09">
        <w:t xml:space="preserve"> </w:t>
      </w:r>
      <w:r w:rsidR="007F4A97">
        <w:t>and</w:t>
      </w:r>
      <w:r w:rsidR="00B71A09">
        <w:t xml:space="preserve"> dangerous.</w:t>
      </w:r>
    </w:p>
    <w:p w:rsidR="008C7CEB" w:rsidRDefault="006A0FA4" w:rsidP="008C7CEB">
      <w:pPr>
        <w:spacing w:line="480" w:lineRule="auto"/>
        <w:ind w:firstLine="720"/>
        <w:contextualSpacing/>
      </w:pPr>
      <w:r>
        <w:lastRenderedPageBreak/>
        <w:t xml:space="preserve">As an example of how </w:t>
      </w:r>
      <w:proofErr w:type="spellStart"/>
      <w:r w:rsidR="007C1E1D">
        <w:t>HgFu</w:t>
      </w:r>
      <w:proofErr w:type="spellEnd"/>
      <w:r>
        <w:t xml:space="preserve"> from </w:t>
      </w:r>
      <w:r w:rsidR="00C64A5E">
        <w:t xml:space="preserve">WW residue </w:t>
      </w:r>
      <w:r>
        <w:t xml:space="preserve">munitions might contribute to the Hg load in a coastal environment, we </w:t>
      </w:r>
      <w:r w:rsidR="00BA38A0">
        <w:t>estimated</w:t>
      </w:r>
      <w:r>
        <w:t xml:space="preserve"> </w:t>
      </w:r>
      <w:r w:rsidR="0001508F">
        <w:t>the</w:t>
      </w:r>
      <w:r w:rsidR="00E15831">
        <w:t xml:space="preserve"> Hg </w:t>
      </w:r>
      <w:r w:rsidR="0001508F">
        <w:t>bu</w:t>
      </w:r>
      <w:r w:rsidR="00E536F0">
        <w:t>r</w:t>
      </w:r>
      <w:r w:rsidR="0001508F">
        <w:t>den of</w:t>
      </w:r>
      <w:r w:rsidR="00E15831">
        <w:t xml:space="preserve"> the</w:t>
      </w:r>
      <w:r>
        <w:t xml:space="preserve"> former Danish Flak training center </w:t>
      </w:r>
      <w:proofErr w:type="spellStart"/>
      <w:r>
        <w:rPr>
          <w:color w:val="000000"/>
          <w:shd w:val="clear" w:color="auto" w:fill="FFFFFF"/>
        </w:rPr>
        <w:t>Dänisch</w:t>
      </w:r>
      <w:proofErr w:type="spellEnd"/>
      <w:r>
        <w:rPr>
          <w:color w:val="000000"/>
          <w:shd w:val="clear" w:color="auto" w:fill="FFFFFF"/>
        </w:rPr>
        <w:t xml:space="preserve"> </w:t>
      </w:r>
      <w:proofErr w:type="spellStart"/>
      <w:r>
        <w:rPr>
          <w:color w:val="000000"/>
          <w:shd w:val="clear" w:color="auto" w:fill="FFFFFF"/>
        </w:rPr>
        <w:t>Nienhof</w:t>
      </w:r>
      <w:proofErr w:type="spellEnd"/>
      <w:r>
        <w:t xml:space="preserve"> (DN) located in Kiel Bay, along the Baltic coast of northern Germany.  </w:t>
      </w:r>
      <w:r w:rsidR="00BA38A0">
        <w:t xml:space="preserve">Roughly </w:t>
      </w:r>
      <w:r>
        <w:t>1.5 million anti-aircraft grenades (Flak) were fired over a 10 km</w:t>
      </w:r>
      <w:r w:rsidRPr="002658BF">
        <w:rPr>
          <w:vertAlign w:val="superscript"/>
        </w:rPr>
        <w:t>2</w:t>
      </w:r>
      <w:r>
        <w:t xml:space="preserve"> area near DN between 1939 and 1945 (MELUR, 2015).  Approximately 2 g </w:t>
      </w:r>
      <w:proofErr w:type="spellStart"/>
      <w:r w:rsidR="007C1E1D">
        <w:t>HgFu</w:t>
      </w:r>
      <w:proofErr w:type="spellEnd"/>
      <w:r>
        <w:t xml:space="preserve"> </w:t>
      </w:r>
      <w:r w:rsidR="00AA0095">
        <w:t>i</w:t>
      </w:r>
      <w:r>
        <w:t xml:space="preserve">s expected to be in each </w:t>
      </w:r>
      <w:r w:rsidR="00E15831">
        <w:t>f</w:t>
      </w:r>
      <w:r>
        <w:t>lak</w:t>
      </w:r>
      <w:r w:rsidR="00E15831">
        <w:t xml:space="preserve"> grenade</w:t>
      </w:r>
      <w:r>
        <w:t xml:space="preserve"> (MELUR, 2015).  </w:t>
      </w:r>
      <w:r w:rsidR="00E15831">
        <w:t>An</w:t>
      </w:r>
      <w:r>
        <w:t xml:space="preserve"> estimated 70% of these grenades detonated, </w:t>
      </w:r>
      <w:r w:rsidR="00E15831">
        <w:t xml:space="preserve">thus </w:t>
      </w:r>
      <w:r>
        <w:t xml:space="preserve">dispersing </w:t>
      </w:r>
      <w:r w:rsidR="00E15831">
        <w:t xml:space="preserve">a total of </w:t>
      </w:r>
      <w:r>
        <w:t xml:space="preserve">~2 t elemental Hg </w:t>
      </w:r>
      <w:r w:rsidR="008C7CEB">
        <w:t>over</w:t>
      </w:r>
      <w:r>
        <w:t xml:space="preserve"> the sea area</w:t>
      </w:r>
      <w:r w:rsidR="00AA0095">
        <w:t xml:space="preserve"> (MELUR, 2015)</w:t>
      </w:r>
      <w:r>
        <w:t xml:space="preserve">.  </w:t>
      </w:r>
      <w:r w:rsidR="008C7CEB">
        <w:t xml:space="preserve">Theoretically </w:t>
      </w:r>
      <w:r w:rsidR="00B85A75">
        <w:t>much</w:t>
      </w:r>
      <w:r w:rsidR="008C7CEB">
        <w:t xml:space="preserve"> of this Hg </w:t>
      </w:r>
      <w:r w:rsidR="00C64A5E">
        <w:t xml:space="preserve">would </w:t>
      </w:r>
      <w:r w:rsidR="009630E3">
        <w:t>became</w:t>
      </w:r>
      <w:r w:rsidR="008C7CEB">
        <w:t xml:space="preserve"> deposited in underlying sediments, with the remaining 30% (~1 t) inhabited within unexploded grenades dispersed throughout the DN area.</w:t>
      </w:r>
    </w:p>
    <w:p w:rsidR="00B30B02" w:rsidRDefault="00961BE9" w:rsidP="006A0FA4">
      <w:pPr>
        <w:spacing w:line="480" w:lineRule="auto"/>
        <w:ind w:firstLine="720"/>
        <w:contextualSpacing/>
      </w:pPr>
      <w:r>
        <w:t>As</w:t>
      </w:r>
      <w:r w:rsidR="006A0FA4">
        <w:t xml:space="preserve"> follow up</w:t>
      </w:r>
      <w:r w:rsidR="0075073F">
        <w:t xml:space="preserve"> </w:t>
      </w:r>
      <w:r w:rsidR="009630E3">
        <w:t>to</w:t>
      </w:r>
      <w:r w:rsidR="0075073F">
        <w:t xml:space="preserve"> this estimate</w:t>
      </w:r>
      <w:r w:rsidR="006A0FA4">
        <w:t xml:space="preserve">, differences measured in sediments between DN and control sites outside of munition impacted areas were evaluated.  Mercury concentrations </w:t>
      </w:r>
      <w:r w:rsidR="0001508F">
        <w:t xml:space="preserve">for sediments </w:t>
      </w:r>
      <w:r w:rsidR="006A0FA4">
        <w:t xml:space="preserve">in the vicinity of </w:t>
      </w:r>
      <w:r w:rsidR="006A0FA4">
        <w:rPr>
          <w:color w:val="000000"/>
          <w:shd w:val="clear" w:color="auto" w:fill="FFFFFF"/>
        </w:rPr>
        <w:t>DN</w:t>
      </w:r>
      <w:r w:rsidR="006A0FA4">
        <w:t xml:space="preserve"> ranged from 48 up to 810 ng g</w:t>
      </w:r>
      <w:r w:rsidR="006A0FA4" w:rsidRPr="00F44BBE">
        <w:rPr>
          <w:vertAlign w:val="superscript"/>
        </w:rPr>
        <w:t>-1</w:t>
      </w:r>
      <w:r w:rsidR="006A0FA4">
        <w:t xml:space="preserve"> Hg (Gosnell, 2021).  Considering that the area impacted by Flak at </w:t>
      </w:r>
      <w:r w:rsidR="006A0FA4">
        <w:rPr>
          <w:color w:val="000000"/>
          <w:shd w:val="clear" w:color="auto" w:fill="FFFFFF"/>
        </w:rPr>
        <w:t>DN</w:t>
      </w:r>
      <w:r w:rsidR="006A0FA4">
        <w:t xml:space="preserve"> is 10 km</w:t>
      </w:r>
      <w:r w:rsidR="006A0FA4" w:rsidRPr="00D11748">
        <w:rPr>
          <w:vertAlign w:val="superscript"/>
        </w:rPr>
        <w:t>2</w:t>
      </w:r>
      <w:r w:rsidR="006A0FA4">
        <w:t xml:space="preserve"> (MELUR, 2015), and t</w:t>
      </w:r>
      <w:r w:rsidR="00720AF5">
        <w:t>he t</w:t>
      </w:r>
      <w:r w:rsidR="006A0FA4">
        <w:t>ypical bulk density of the sediment is 1.6 g c</w:t>
      </w:r>
      <w:r w:rsidR="006A0FA4">
        <w:rPr>
          <w:vertAlign w:val="superscript"/>
        </w:rPr>
        <w:t>-3</w:t>
      </w:r>
      <w:r w:rsidR="00910650">
        <w:t>,</w:t>
      </w:r>
      <w:r w:rsidR="006A0FA4">
        <w:t xml:space="preserve"> this would result in an estimated range of </w:t>
      </w:r>
      <w:r w:rsidR="007971C6">
        <w:t>77</w:t>
      </w:r>
      <w:r w:rsidR="006A0FA4">
        <w:t xml:space="preserve"> – 1</w:t>
      </w:r>
      <w:r w:rsidR="00720AF5">
        <w:t>300</w:t>
      </w:r>
      <w:r w:rsidR="006A0FA4">
        <w:t xml:space="preserve"> kg Hg (</w:t>
      </w:r>
      <w:r w:rsidR="00720AF5">
        <w:t xml:space="preserve">~0.08 – </w:t>
      </w:r>
      <w:r w:rsidR="006A0FA4">
        <w:t>1</w:t>
      </w:r>
      <w:r w:rsidR="00720AF5">
        <w:t>.3</w:t>
      </w:r>
      <w:r w:rsidR="006A0FA4">
        <w:t xml:space="preserve"> t) in surface sediments (the top </w:t>
      </w:r>
      <w:r w:rsidR="00C65371">
        <w:t xml:space="preserve">0.1 </w:t>
      </w:r>
      <w:r w:rsidR="006A0FA4">
        <w:t xml:space="preserve">m) </w:t>
      </w:r>
      <w:r w:rsidR="00362854">
        <w:t>around</w:t>
      </w:r>
      <w:r w:rsidR="006A0FA4">
        <w:t xml:space="preserve"> DN.  For comparison, sediment concentrations at nearby control sites range </w:t>
      </w:r>
      <w:r w:rsidR="00DD1BE9">
        <w:t>around</w:t>
      </w:r>
      <w:r w:rsidR="006A0FA4">
        <w:t xml:space="preserve"> 2 – 110 ng g</w:t>
      </w:r>
      <w:r w:rsidR="006A0FA4" w:rsidRPr="00F44BBE">
        <w:rPr>
          <w:vertAlign w:val="superscript"/>
        </w:rPr>
        <w:t>-1</w:t>
      </w:r>
      <w:r w:rsidR="006A0FA4">
        <w:t xml:space="preserve"> Hg (Gosnell, 2021), thus a 10 km</w:t>
      </w:r>
      <w:r w:rsidR="006A0FA4" w:rsidRPr="007C2F03">
        <w:rPr>
          <w:vertAlign w:val="superscript"/>
        </w:rPr>
        <w:t>2</w:t>
      </w:r>
      <w:r w:rsidR="006A0FA4">
        <w:t xml:space="preserve"> area </w:t>
      </w:r>
      <w:r w:rsidR="00180503">
        <w:t>contains</w:t>
      </w:r>
      <w:r w:rsidR="006A0FA4">
        <w:t xml:space="preserve"> ~3 – 1</w:t>
      </w:r>
      <w:r w:rsidR="00720AF5">
        <w:t>76</w:t>
      </w:r>
      <w:r w:rsidR="006A0FA4">
        <w:t xml:space="preserve"> kg Hg (</w:t>
      </w:r>
      <w:r w:rsidR="00720AF5">
        <w:t>~</w:t>
      </w:r>
      <w:r w:rsidR="006A0FA4">
        <w:t>0.0</w:t>
      </w:r>
      <w:r w:rsidR="00C01EAB">
        <w:t>0</w:t>
      </w:r>
      <w:r w:rsidR="006A0FA4">
        <w:t xml:space="preserve">3 – </w:t>
      </w:r>
      <w:r w:rsidR="00720AF5">
        <w:t>0</w:t>
      </w:r>
      <w:r w:rsidR="006A0FA4">
        <w:t>.</w:t>
      </w:r>
      <w:r w:rsidR="00720AF5">
        <w:t>1</w:t>
      </w:r>
      <w:r w:rsidR="0068243F">
        <w:t>8</w:t>
      </w:r>
      <w:r w:rsidR="006A0FA4">
        <w:t xml:space="preserve"> t).  As a result, </w:t>
      </w:r>
      <w:r w:rsidR="0001508F">
        <w:t xml:space="preserve">the load at DN is enhanced </w:t>
      </w:r>
      <w:r w:rsidR="00180503">
        <w:t xml:space="preserve">by </w:t>
      </w:r>
      <w:r w:rsidR="006A0FA4">
        <w:t xml:space="preserve">between </w:t>
      </w:r>
      <w:r w:rsidR="00936BE8">
        <w:t>0.</w:t>
      </w:r>
      <w:r w:rsidR="00720AF5">
        <w:t>0</w:t>
      </w:r>
      <w:r w:rsidR="00C01EAB">
        <w:t>7</w:t>
      </w:r>
      <w:r w:rsidR="006A0FA4">
        <w:t xml:space="preserve"> and 1.</w:t>
      </w:r>
      <w:r w:rsidR="00720AF5">
        <w:t>1</w:t>
      </w:r>
      <w:r w:rsidR="006A0FA4">
        <w:t xml:space="preserve">2 t </w:t>
      </w:r>
      <w:r w:rsidR="007D75B6">
        <w:t xml:space="preserve">of Hg </w:t>
      </w:r>
      <w:r w:rsidR="006A0FA4">
        <w:t>compared to regional background levels</w:t>
      </w:r>
      <w:r w:rsidR="001040D4">
        <w:t xml:space="preserve">.  </w:t>
      </w:r>
      <w:r w:rsidR="00EF571E">
        <w:t>Therefore</w:t>
      </w:r>
      <w:r w:rsidR="001040D4">
        <w:t xml:space="preserve">, it is possible </w:t>
      </w:r>
      <w:bookmarkStart w:id="0" w:name="_GoBack"/>
      <w:bookmarkEnd w:id="0"/>
      <w:r w:rsidR="001040D4">
        <w:t>an</w:t>
      </w:r>
      <w:r w:rsidR="0001508F">
        <w:t xml:space="preserve"> up to 7 times higher </w:t>
      </w:r>
      <w:r w:rsidR="00180503">
        <w:t xml:space="preserve">sediment Hg </w:t>
      </w:r>
      <w:r w:rsidR="0001508F">
        <w:t xml:space="preserve">burden </w:t>
      </w:r>
      <w:r w:rsidR="00815A97">
        <w:t>could be</w:t>
      </w:r>
      <w:r w:rsidR="0001508F">
        <w:t xml:space="preserve"> </w:t>
      </w:r>
      <w:r w:rsidR="008C7CEB">
        <w:t>due to</w:t>
      </w:r>
      <w:r w:rsidR="0001508F">
        <w:t xml:space="preserve"> </w:t>
      </w:r>
      <w:r w:rsidR="00180503">
        <w:t>detonat</w:t>
      </w:r>
      <w:r w:rsidR="00815A97">
        <w:t>ed</w:t>
      </w:r>
      <w:r w:rsidR="0001508F">
        <w:t xml:space="preserve"> </w:t>
      </w:r>
      <w:r w:rsidR="008C7CEB">
        <w:t>and</w:t>
      </w:r>
      <w:r w:rsidR="00180503">
        <w:t xml:space="preserve"> deteriorating </w:t>
      </w:r>
      <w:r w:rsidR="00C824E0">
        <w:t xml:space="preserve">WW </w:t>
      </w:r>
      <w:r w:rsidR="0001508F">
        <w:t xml:space="preserve">munitions containing </w:t>
      </w:r>
      <w:proofErr w:type="spellStart"/>
      <w:r w:rsidR="0001508F">
        <w:t>HgFu</w:t>
      </w:r>
      <w:proofErr w:type="spellEnd"/>
      <w:r w:rsidR="00526356">
        <w:t>.</w:t>
      </w:r>
    </w:p>
    <w:p w:rsidR="00D57DE1" w:rsidRDefault="000F1C48" w:rsidP="00B30B02">
      <w:pPr>
        <w:spacing w:line="480" w:lineRule="auto"/>
        <w:ind w:firstLine="720"/>
        <w:contextualSpacing/>
      </w:pPr>
      <w:r>
        <w:t>A</w:t>
      </w:r>
      <w:r w:rsidR="00B71A09">
        <w:t>ny</w:t>
      </w:r>
      <w:r w:rsidR="00A6158E">
        <w:t xml:space="preserve"> </w:t>
      </w:r>
      <w:proofErr w:type="spellStart"/>
      <w:r w:rsidR="007C1E1D">
        <w:t>HgFu</w:t>
      </w:r>
      <w:proofErr w:type="spellEnd"/>
      <w:r w:rsidR="00D57DE1">
        <w:t xml:space="preserve"> still remain</w:t>
      </w:r>
      <w:r>
        <w:t>ing</w:t>
      </w:r>
      <w:r w:rsidR="00D57DE1">
        <w:t xml:space="preserve"> in WWII munitions</w:t>
      </w:r>
      <w:r>
        <w:t xml:space="preserve"> </w:t>
      </w:r>
      <w:r w:rsidR="00F44BBE">
        <w:t>w</w:t>
      </w:r>
      <w:r>
        <w:t xml:space="preserve">ould be rapidly transferred into the surrounding </w:t>
      </w:r>
      <w:r w:rsidR="007F1128">
        <w:t xml:space="preserve">ecosystem </w:t>
      </w:r>
      <w:r>
        <w:t xml:space="preserve">upon degradation of munition casings.  </w:t>
      </w:r>
      <w:r w:rsidR="00C53F9A">
        <w:t xml:space="preserve">Considering </w:t>
      </w:r>
      <w:r w:rsidR="000A7EDD">
        <w:t xml:space="preserve">the </w:t>
      </w:r>
      <w:r w:rsidR="00C70D94">
        <w:t xml:space="preserve">prevalent </w:t>
      </w:r>
      <w:r w:rsidR="000A7EDD">
        <w:t xml:space="preserve">detection of </w:t>
      </w:r>
      <w:r w:rsidR="001040D4">
        <w:t>chemical</w:t>
      </w:r>
      <w:r w:rsidR="000A7EDD">
        <w:t xml:space="preserve"> signatures such as TNT within coastal </w:t>
      </w:r>
      <w:r w:rsidR="001040D4">
        <w:t>environments</w:t>
      </w:r>
      <w:r w:rsidR="000A7EDD">
        <w:t xml:space="preserve"> where munitions </w:t>
      </w:r>
      <w:r w:rsidR="001040D4">
        <w:t>reside</w:t>
      </w:r>
      <w:r w:rsidR="000A7EDD">
        <w:t xml:space="preserve"> (Beck et al., 2018), it is likely that many </w:t>
      </w:r>
      <w:r w:rsidR="001040D4">
        <w:t>have been and are in the process of</w:t>
      </w:r>
      <w:r w:rsidR="001040D4" w:rsidRPr="001040D4">
        <w:t xml:space="preserve"> </w:t>
      </w:r>
      <w:r w:rsidR="001040D4">
        <w:t>disintegrating</w:t>
      </w:r>
      <w:r w:rsidR="000A7EDD">
        <w:t xml:space="preserve">.  </w:t>
      </w:r>
      <w:bookmarkStart w:id="1" w:name="_Hlk116040724"/>
      <w:r w:rsidR="00B30B02">
        <w:lastRenderedPageBreak/>
        <w:t xml:space="preserve">Sediments </w:t>
      </w:r>
      <w:r w:rsidR="00895C03">
        <w:t>can</w:t>
      </w:r>
      <w:r w:rsidR="00B30B02">
        <w:t xml:space="preserve"> act as a sink </w:t>
      </w:r>
      <w:r w:rsidR="00C70D94">
        <w:t>for</w:t>
      </w:r>
      <w:r w:rsidR="00B30B02">
        <w:t xml:space="preserve"> Hg (Ullrich et al., 2001), while Hg within the water column is more </w:t>
      </w:r>
      <w:r w:rsidR="00B85A75">
        <w:t>mobile</w:t>
      </w:r>
      <w:r w:rsidR="00B30B02">
        <w:t xml:space="preserve"> and transitional, and can </w:t>
      </w:r>
      <w:r w:rsidR="00BE637B">
        <w:t xml:space="preserve">subsequently </w:t>
      </w:r>
      <w:r w:rsidR="00B30B02">
        <w:t xml:space="preserve">be circulated or </w:t>
      </w:r>
      <w:r w:rsidR="00815A97">
        <w:t>purged</w:t>
      </w:r>
      <w:r w:rsidR="00B30B02">
        <w:t xml:space="preserve"> </w:t>
      </w:r>
      <w:r w:rsidR="00815A97">
        <w:t>in</w:t>
      </w:r>
      <w:r w:rsidR="00B30B02">
        <w:t xml:space="preserve">to the atmosphere.  </w:t>
      </w:r>
      <w:bookmarkEnd w:id="1"/>
      <w:r w:rsidR="00A05812">
        <w:t>Notably, as evident by the high Hg concentrations in sediments around munition impacted areas (</w:t>
      </w:r>
      <w:bookmarkStart w:id="2" w:name="_Hlk114741931"/>
      <w:proofErr w:type="spellStart"/>
      <w:r w:rsidR="00A05812" w:rsidRPr="005B1DD2">
        <w:t>Beldowski</w:t>
      </w:r>
      <w:proofErr w:type="spellEnd"/>
      <w:r w:rsidR="00A05812">
        <w:t xml:space="preserve"> et al., 2019</w:t>
      </w:r>
      <w:bookmarkEnd w:id="2"/>
      <w:r w:rsidR="00A05812">
        <w:t xml:space="preserve">), it is </w:t>
      </w:r>
      <w:r w:rsidR="00B1103F">
        <w:t xml:space="preserve">feasible </w:t>
      </w:r>
      <w:r w:rsidR="00A05812">
        <w:t xml:space="preserve">that </w:t>
      </w:r>
      <w:proofErr w:type="spellStart"/>
      <w:r w:rsidR="00A05812">
        <w:t>HgFu</w:t>
      </w:r>
      <w:proofErr w:type="spellEnd"/>
      <w:r w:rsidR="00A05812">
        <w:t xml:space="preserve"> dissolution has contributed</w:t>
      </w:r>
      <w:r w:rsidR="00C70D94">
        <w:t xml:space="preserve"> some</w:t>
      </w:r>
      <w:r w:rsidR="00A05812">
        <w:t xml:space="preserve"> legacy pollution </w:t>
      </w:r>
      <w:r w:rsidR="003A7C12">
        <w:t>to</w:t>
      </w:r>
      <w:r w:rsidR="00A05812">
        <w:t xml:space="preserve"> </w:t>
      </w:r>
      <w:r w:rsidR="00DD1BE9">
        <w:t>the Baltic Sea</w:t>
      </w:r>
      <w:r w:rsidR="00A05812">
        <w:t>.</w:t>
      </w:r>
      <w:r w:rsidR="00B30B02">
        <w:t xml:space="preserve">  </w:t>
      </w:r>
      <w:r w:rsidR="00A6158E">
        <w:t xml:space="preserve">Climate change is projected to increase water temperatures, and nearshore environments where munitions reside are </w:t>
      </w:r>
      <w:r w:rsidR="00B71A09">
        <w:t xml:space="preserve">especially </w:t>
      </w:r>
      <w:r w:rsidR="00627091">
        <w:t>sensitive to</w:t>
      </w:r>
      <w:r w:rsidR="00B71A09">
        <w:t xml:space="preserve"> </w:t>
      </w:r>
      <w:r w:rsidR="00953629">
        <w:t>warming</w:t>
      </w:r>
      <w:r w:rsidR="00B71A09">
        <w:t xml:space="preserve"> effects</w:t>
      </w:r>
      <w:r>
        <w:t xml:space="preserve"> (</w:t>
      </w:r>
      <w:r w:rsidR="006B4830">
        <w:t>Friedland et al., 2012; Meier et al., 2022</w:t>
      </w:r>
      <w:r>
        <w:t>)</w:t>
      </w:r>
      <w:r w:rsidR="00A6158E">
        <w:t xml:space="preserve">.  </w:t>
      </w:r>
      <w:r w:rsidR="006A0FA4">
        <w:t xml:space="preserve">In effect bottom water temperatures </w:t>
      </w:r>
      <w:r w:rsidR="006D25F8">
        <w:t>in</w:t>
      </w:r>
      <w:r w:rsidR="006A0FA4">
        <w:t xml:space="preserve"> the Baltic </w:t>
      </w:r>
      <w:r w:rsidR="0017550E">
        <w:t>proper</w:t>
      </w:r>
      <w:r w:rsidR="006A0FA4">
        <w:t xml:space="preserve"> have </w:t>
      </w:r>
      <w:r w:rsidR="0001508F">
        <w:t xml:space="preserve">reportedly </w:t>
      </w:r>
      <w:r w:rsidR="00236ACF">
        <w:t>been increasing</w:t>
      </w:r>
      <w:r w:rsidR="006A0FA4">
        <w:t xml:space="preserve"> </w:t>
      </w:r>
      <w:r w:rsidR="006D25F8">
        <w:t>by ~0.16</w:t>
      </w:r>
      <w:r w:rsidR="006D25F8" w:rsidRPr="006D25F8">
        <w:rPr>
          <w:vertAlign w:val="superscript"/>
        </w:rPr>
        <w:t>o</w:t>
      </w:r>
      <w:r w:rsidR="006D25F8">
        <w:t>C year</w:t>
      </w:r>
      <w:r w:rsidR="006D25F8" w:rsidRPr="006D25F8">
        <w:rPr>
          <w:vertAlign w:val="superscript"/>
        </w:rPr>
        <w:t>-1</w:t>
      </w:r>
      <w:r w:rsidR="006D25F8">
        <w:t xml:space="preserve"> (</w:t>
      </w:r>
      <w:proofErr w:type="spellStart"/>
      <w:r w:rsidR="006D25F8">
        <w:t>Rak</w:t>
      </w:r>
      <w:proofErr w:type="spellEnd"/>
      <w:r w:rsidR="006D25F8">
        <w:t xml:space="preserve"> and </w:t>
      </w:r>
      <w:proofErr w:type="spellStart"/>
      <w:r w:rsidR="006D25F8">
        <w:t>Wieczorek</w:t>
      </w:r>
      <w:proofErr w:type="spellEnd"/>
      <w:r w:rsidR="006D25F8">
        <w:t>, 2012</w:t>
      </w:r>
      <w:r w:rsidR="006A0FA4">
        <w:t xml:space="preserve">).  </w:t>
      </w:r>
      <w:r w:rsidR="0001508F">
        <w:t>Rising</w:t>
      </w:r>
      <w:r w:rsidR="006A0FA4">
        <w:t xml:space="preserve"> temperatures </w:t>
      </w:r>
      <w:r w:rsidR="00E80429">
        <w:t>are</w:t>
      </w:r>
      <w:r w:rsidR="00D726C3">
        <w:t xml:space="preserve"> </w:t>
      </w:r>
      <w:r w:rsidR="006D25F8">
        <w:t xml:space="preserve">further </w:t>
      </w:r>
      <w:r w:rsidR="00D726C3">
        <w:t xml:space="preserve">suggested to </w:t>
      </w:r>
      <w:r w:rsidR="00E80429">
        <w:t>accelerate the</w:t>
      </w:r>
      <w:r w:rsidR="006A0FA4">
        <w:t xml:space="preserve"> </w:t>
      </w:r>
      <w:r w:rsidR="00236ACF">
        <w:t>breakdown</w:t>
      </w:r>
      <w:r w:rsidR="006A0FA4">
        <w:t xml:space="preserve"> of munition casings</w:t>
      </w:r>
      <w:r w:rsidR="00E80429">
        <w:t xml:space="preserve"> (</w:t>
      </w:r>
      <w:proofErr w:type="spellStart"/>
      <w:r w:rsidR="00E80429">
        <w:t>Scharsack</w:t>
      </w:r>
      <w:proofErr w:type="spellEnd"/>
      <w:r w:rsidR="00E80429">
        <w:t xml:space="preserve"> et al., 2021)</w:t>
      </w:r>
      <w:r w:rsidR="006A0FA4">
        <w:t>, and o</w:t>
      </w:r>
      <w:r w:rsidR="00F76D99">
        <w:t xml:space="preserve">ur </w:t>
      </w:r>
      <w:r w:rsidR="006A0FA4">
        <w:t xml:space="preserve">experimental </w:t>
      </w:r>
      <w:r w:rsidR="00F76D99">
        <w:t xml:space="preserve">results </w:t>
      </w:r>
      <w:r w:rsidR="00B71A09">
        <w:t>demonstrate</w:t>
      </w:r>
      <w:r w:rsidR="00F76D99">
        <w:t xml:space="preserve"> that increasing temperatures </w:t>
      </w:r>
      <w:r w:rsidR="006A0FA4">
        <w:t xml:space="preserve">also </w:t>
      </w:r>
      <w:r w:rsidR="00F76D99">
        <w:t xml:space="preserve">cause </w:t>
      </w:r>
      <w:proofErr w:type="spellStart"/>
      <w:r w:rsidR="007C1E1D">
        <w:t>HgFu</w:t>
      </w:r>
      <w:proofErr w:type="spellEnd"/>
      <w:r w:rsidR="00F76D99">
        <w:t xml:space="preserve"> to dissolve faster into surrounding waters.  Climate change is </w:t>
      </w:r>
      <w:r w:rsidR="006D25F8">
        <w:t>additionally</w:t>
      </w:r>
      <w:r w:rsidR="00F76D99">
        <w:t xml:space="preserve"> projected to bring a strong freshening of seawaters</w:t>
      </w:r>
      <w:r>
        <w:t xml:space="preserve"> due to changes in hydrological cycling</w:t>
      </w:r>
      <w:r w:rsidR="006B4830">
        <w:t xml:space="preserve"> (Friedland et al., 2012)</w:t>
      </w:r>
      <w:r w:rsidR="00F76D99">
        <w:t xml:space="preserve">.  </w:t>
      </w:r>
      <w:r w:rsidR="00712184">
        <w:t>However</w:t>
      </w:r>
      <w:r w:rsidR="00F76D99">
        <w:t xml:space="preserve">, </w:t>
      </w:r>
      <w:r w:rsidR="00D57DE1">
        <w:t>salinity</w:t>
      </w:r>
      <w:r w:rsidR="00B71A09">
        <w:t xml:space="preserve"> </w:t>
      </w:r>
      <w:r w:rsidR="00953629">
        <w:t>yielded</w:t>
      </w:r>
      <w:r w:rsidR="00627091">
        <w:t xml:space="preserve"> </w:t>
      </w:r>
      <w:r w:rsidR="00712184">
        <w:t>inconsistent</w:t>
      </w:r>
      <w:r w:rsidR="00B71A09">
        <w:t xml:space="preserve"> influence on </w:t>
      </w:r>
      <w:proofErr w:type="spellStart"/>
      <w:r w:rsidR="007C1E1D">
        <w:t>HgFu</w:t>
      </w:r>
      <w:proofErr w:type="spellEnd"/>
      <w:r w:rsidR="00B71A09">
        <w:t xml:space="preserve"> </w:t>
      </w:r>
      <w:r w:rsidR="00712184">
        <w:t xml:space="preserve">dissolution </w:t>
      </w:r>
      <w:r w:rsidR="00B71A09">
        <w:t>rate</w:t>
      </w:r>
      <w:r w:rsidR="00B1103F">
        <w:t>s</w:t>
      </w:r>
      <w:r w:rsidR="009D4FE8">
        <w:t>,</w:t>
      </w:r>
      <w:r w:rsidR="006A0FA4">
        <w:t xml:space="preserve"> </w:t>
      </w:r>
      <w:r w:rsidR="004D3245">
        <w:t>therefore</w:t>
      </w:r>
      <w:r w:rsidR="00627091">
        <w:t xml:space="preserve"> a freshening of resident seawater </w:t>
      </w:r>
      <w:r w:rsidR="00B1103F">
        <w:t xml:space="preserve">will </w:t>
      </w:r>
      <w:r w:rsidR="00713D88">
        <w:t xml:space="preserve">likely </w:t>
      </w:r>
      <w:r w:rsidR="009B3038">
        <w:t>have</w:t>
      </w:r>
      <w:r w:rsidR="00627091">
        <w:t xml:space="preserve"> less of an impact </w:t>
      </w:r>
      <w:r w:rsidR="00CB4665">
        <w:t xml:space="preserve">towards </w:t>
      </w:r>
      <w:proofErr w:type="spellStart"/>
      <w:r w:rsidR="007C1E1D">
        <w:t>HgFu</w:t>
      </w:r>
      <w:proofErr w:type="spellEnd"/>
      <w:r w:rsidR="00627091">
        <w:t xml:space="preserve"> degradation</w:t>
      </w:r>
      <w:r w:rsidR="006724DC">
        <w:t xml:space="preserve"> originating from </w:t>
      </w:r>
      <w:r w:rsidR="004D3245">
        <w:t>m</w:t>
      </w:r>
      <w:r w:rsidR="006724DC">
        <w:t>unition</w:t>
      </w:r>
      <w:r w:rsidR="004D3245">
        <w:t>s</w:t>
      </w:r>
      <w:r w:rsidR="006724DC">
        <w:t xml:space="preserve"> in the sea</w:t>
      </w:r>
      <w:r w:rsidR="00627091">
        <w:t xml:space="preserve">.  </w:t>
      </w:r>
      <w:r w:rsidR="0035353F">
        <w:t xml:space="preserve">The </w:t>
      </w:r>
      <w:proofErr w:type="spellStart"/>
      <w:r w:rsidR="007C1E1D">
        <w:t>HgFu</w:t>
      </w:r>
      <w:proofErr w:type="spellEnd"/>
      <w:r w:rsidR="0035353F">
        <w:t xml:space="preserve"> rate constant </w:t>
      </w:r>
      <w:r w:rsidR="00E15831">
        <w:t>more than</w:t>
      </w:r>
      <w:r w:rsidR="00D57DE1">
        <w:t xml:space="preserve"> doubled when the temperature rose from 20 to 30</w:t>
      </w:r>
      <w:r w:rsidR="00D57DE1" w:rsidRPr="00D57DE1">
        <w:rPr>
          <w:vertAlign w:val="superscript"/>
        </w:rPr>
        <w:t>o</w:t>
      </w:r>
      <w:r w:rsidR="00D57DE1">
        <w:t>C</w:t>
      </w:r>
      <w:r w:rsidR="0035353F">
        <w:t xml:space="preserve">, yet a freshening from 36 </w:t>
      </w:r>
      <w:proofErr w:type="spellStart"/>
      <w:r w:rsidR="0035353F">
        <w:t>psu</w:t>
      </w:r>
      <w:proofErr w:type="spellEnd"/>
      <w:r w:rsidR="0035353F">
        <w:t xml:space="preserve"> down to 0.1 </w:t>
      </w:r>
      <w:proofErr w:type="spellStart"/>
      <w:r w:rsidR="0035353F">
        <w:t>psu</w:t>
      </w:r>
      <w:proofErr w:type="spellEnd"/>
      <w:r w:rsidR="0035353F">
        <w:t xml:space="preserve"> </w:t>
      </w:r>
      <w:r w:rsidR="00713D88">
        <w:t xml:space="preserve">deferred </w:t>
      </w:r>
      <w:r w:rsidR="0035353F">
        <w:t>only a min</w:t>
      </w:r>
      <w:r>
        <w:t>or</w:t>
      </w:r>
      <w:r w:rsidR="0035353F">
        <w:t xml:space="preserve"> </w:t>
      </w:r>
      <w:r w:rsidR="00712184">
        <w:t>change</w:t>
      </w:r>
      <w:r w:rsidR="0035353F">
        <w:t xml:space="preserve"> (Table 1).</w:t>
      </w:r>
    </w:p>
    <w:p w:rsidR="00B516F9" w:rsidRDefault="00B516F9" w:rsidP="00901C83">
      <w:pPr>
        <w:spacing w:line="480" w:lineRule="auto"/>
        <w:ind w:firstLine="720"/>
        <w:contextualSpacing/>
      </w:pPr>
    </w:p>
    <w:p w:rsidR="00781D71" w:rsidRDefault="00781D71" w:rsidP="00D46C56">
      <w:pPr>
        <w:spacing w:line="480" w:lineRule="auto"/>
        <w:contextualSpacing/>
      </w:pPr>
    </w:p>
    <w:p w:rsidR="00D01614" w:rsidRDefault="00456255" w:rsidP="00D46C56">
      <w:pPr>
        <w:spacing w:line="480" w:lineRule="auto"/>
        <w:contextualSpacing/>
        <w:rPr>
          <w:b/>
        </w:rPr>
      </w:pPr>
      <w:r w:rsidRPr="009C442D">
        <w:rPr>
          <w:b/>
        </w:rPr>
        <w:t>Conclusion</w:t>
      </w:r>
    </w:p>
    <w:p w:rsidR="0079468B" w:rsidRPr="002C40E9" w:rsidRDefault="0079468B" w:rsidP="00D46C56">
      <w:pPr>
        <w:spacing w:line="480" w:lineRule="auto"/>
        <w:contextualSpacing/>
        <w:rPr>
          <w:b/>
        </w:rPr>
      </w:pPr>
    </w:p>
    <w:p w:rsidR="00DF5FFF" w:rsidRDefault="00BF36DB" w:rsidP="00D46C56">
      <w:pPr>
        <w:spacing w:line="480" w:lineRule="auto"/>
        <w:ind w:firstLine="720"/>
        <w:contextualSpacing/>
      </w:pPr>
      <w:r>
        <w:t xml:space="preserve">Millions of tons of relic munitions are present on the seafloor and represent a potential source of Hg to the environment.  </w:t>
      </w:r>
      <w:r w:rsidR="00DF5FFF">
        <w:t xml:space="preserve">It is likely that nearly all of the WWII munitions containing </w:t>
      </w:r>
      <w:proofErr w:type="spellStart"/>
      <w:r w:rsidR="007C1E1D">
        <w:t>HgFu</w:t>
      </w:r>
      <w:proofErr w:type="spellEnd"/>
      <w:r w:rsidR="00DF5FFF">
        <w:t xml:space="preserve"> have been subject to some deterioration, as all are </w:t>
      </w:r>
      <w:r w:rsidR="00236ACF">
        <w:t xml:space="preserve">now </w:t>
      </w:r>
      <w:r w:rsidR="00DF5FFF">
        <w:t xml:space="preserve">over </w:t>
      </w:r>
      <w:r w:rsidR="006D25F8">
        <w:t>75</w:t>
      </w:r>
      <w:r w:rsidR="00DF5FFF">
        <w:t xml:space="preserve"> years old.  </w:t>
      </w:r>
      <w:r w:rsidR="000022AE">
        <w:t>The current</w:t>
      </w:r>
      <w:r w:rsidR="00DF5FFF">
        <w:t xml:space="preserve"> </w:t>
      </w:r>
      <w:r w:rsidR="00DF5FFF">
        <w:lastRenderedPageBreak/>
        <w:t xml:space="preserve">results </w:t>
      </w:r>
      <w:r>
        <w:t>indicate that</w:t>
      </w:r>
      <w:r w:rsidR="00DF5FFF">
        <w:t xml:space="preserve"> </w:t>
      </w:r>
      <w:proofErr w:type="spellStart"/>
      <w:r w:rsidR="007C1E1D">
        <w:t>HgFu</w:t>
      </w:r>
      <w:proofErr w:type="spellEnd"/>
      <w:r w:rsidR="00DF5FFF">
        <w:t xml:space="preserve"> would readily dissolve into surrounding waters </w:t>
      </w:r>
      <w:r w:rsidR="00A76B73">
        <w:t>and</w:t>
      </w:r>
      <w:r w:rsidR="00DF5FFF">
        <w:t xml:space="preserve"> porewaters</w:t>
      </w:r>
      <w:r>
        <w:t xml:space="preserve"> once munitions casings are breached by corrosion and </w:t>
      </w:r>
      <w:proofErr w:type="spellStart"/>
      <w:r>
        <w:t>HgFu</w:t>
      </w:r>
      <w:proofErr w:type="spellEnd"/>
      <w:r>
        <w:t xml:space="preserve"> becomes exposed to ambient seawater</w:t>
      </w:r>
      <w:r w:rsidR="00DF5FFF">
        <w:t xml:space="preserve">.  This would occur under </w:t>
      </w:r>
      <w:r>
        <w:t xml:space="preserve">typical </w:t>
      </w:r>
      <w:r w:rsidR="00DF5FFF">
        <w:t xml:space="preserve">temperature and salinity conditions </w:t>
      </w:r>
      <w:r>
        <w:t>for</w:t>
      </w:r>
      <w:r w:rsidR="00DF5FFF">
        <w:t xml:space="preserve"> the North Sea and the Baltic Sea (i.e. 20</w:t>
      </w:r>
      <w:r w:rsidR="00DF5FFF" w:rsidRPr="00646B01">
        <w:rPr>
          <w:vertAlign w:val="superscript"/>
        </w:rPr>
        <w:t>o</w:t>
      </w:r>
      <w:r w:rsidR="00DF5FFF">
        <w:t xml:space="preserve">C and 18 </w:t>
      </w:r>
      <w:proofErr w:type="spellStart"/>
      <w:r w:rsidR="00DF5FFF">
        <w:t>psu</w:t>
      </w:r>
      <w:proofErr w:type="spellEnd"/>
      <w:r w:rsidR="00DF5FFF">
        <w:t xml:space="preserve">), where many WWII munitions reside.  </w:t>
      </w:r>
      <w:r>
        <w:t>The</w:t>
      </w:r>
      <w:r w:rsidR="00DF5FFF">
        <w:t xml:space="preserve"> Hg </w:t>
      </w:r>
      <w:r>
        <w:t>released</w:t>
      </w:r>
      <w:r w:rsidR="00236ACF">
        <w:t xml:space="preserve"> from damaged or</w:t>
      </w:r>
      <w:r w:rsidR="00DF5FFF">
        <w:t xml:space="preserve"> corroded shells </w:t>
      </w:r>
      <w:r>
        <w:t>is likely to have been transferred into</w:t>
      </w:r>
      <w:r w:rsidR="00236ACF">
        <w:t xml:space="preserve"> </w:t>
      </w:r>
      <w:r w:rsidR="00DF5FFF">
        <w:t>local environment</w:t>
      </w:r>
      <w:r w:rsidR="00961BE9">
        <w:t>s</w:t>
      </w:r>
      <w:r w:rsidR="00DF5FFF">
        <w:t xml:space="preserve"> </w:t>
      </w:r>
      <w:r>
        <w:t>and potentially sequestered in underlying sediments</w:t>
      </w:r>
      <w:r w:rsidR="00A05812">
        <w:t xml:space="preserve">, </w:t>
      </w:r>
      <w:r>
        <w:t>harboring</w:t>
      </w:r>
      <w:r w:rsidR="00A05812">
        <w:t xml:space="preserve"> the </w:t>
      </w:r>
      <w:r w:rsidR="00B1103F">
        <w:t xml:space="preserve">WWs </w:t>
      </w:r>
      <w:r w:rsidR="00CD6449">
        <w:t xml:space="preserve">remnant </w:t>
      </w:r>
      <w:r w:rsidR="00E33BA5">
        <w:t>eve</w:t>
      </w:r>
      <w:r w:rsidR="00B00BB0">
        <w:t>r</w:t>
      </w:r>
      <w:r w:rsidR="00A05812">
        <w:t xml:space="preserve"> longer</w:t>
      </w:r>
      <w:r w:rsidR="00DF5FFF">
        <w:t xml:space="preserve">.  </w:t>
      </w:r>
      <w:r w:rsidR="00D075D0">
        <w:t xml:space="preserve">Furthermore, the degradation of munitions coinciding with increasing seawater temperatures will continue to </w:t>
      </w:r>
      <w:r>
        <w:t>release</w:t>
      </w:r>
      <w:r w:rsidR="00D075D0">
        <w:t xml:space="preserve"> Hg </w:t>
      </w:r>
      <w:r w:rsidR="00B00BB0">
        <w:t>into</w:t>
      </w:r>
      <w:r w:rsidR="00D075D0">
        <w:t xml:space="preserve"> </w:t>
      </w:r>
      <w:r w:rsidR="0058541E">
        <w:t>impacted</w:t>
      </w:r>
      <w:r w:rsidR="00D075D0">
        <w:t xml:space="preserve"> regions as long as they </w:t>
      </w:r>
      <w:r w:rsidR="00BE3517">
        <w:t>reside</w:t>
      </w:r>
      <w:r w:rsidR="00D075D0">
        <w:t xml:space="preserve"> within the </w:t>
      </w:r>
      <w:r w:rsidR="007B405A">
        <w:t xml:space="preserve">brackish </w:t>
      </w:r>
      <w:r w:rsidR="00B1103F">
        <w:t>waters</w:t>
      </w:r>
      <w:r w:rsidR="007B405A">
        <w:t>.</w:t>
      </w:r>
      <w:r w:rsidR="00F44BBE">
        <w:t xml:space="preserve">  T</w:t>
      </w:r>
      <w:r w:rsidR="0055116D">
        <w:t>h</w:t>
      </w:r>
      <w:r w:rsidR="007C41A8">
        <w:t>ese</w:t>
      </w:r>
      <w:r w:rsidR="00F44BBE">
        <w:t xml:space="preserve"> </w:t>
      </w:r>
      <w:r w:rsidR="00644F2F">
        <w:t xml:space="preserve">embedded </w:t>
      </w:r>
      <w:r w:rsidR="00F44BBE">
        <w:t xml:space="preserve">munitions </w:t>
      </w:r>
      <w:r w:rsidR="00E40891">
        <w:t xml:space="preserve">consequently </w:t>
      </w:r>
      <w:r w:rsidR="00F44BBE">
        <w:t xml:space="preserve">provide </w:t>
      </w:r>
      <w:r w:rsidR="002874CA">
        <w:t xml:space="preserve">an </w:t>
      </w:r>
      <w:r w:rsidR="00F227A0">
        <w:t xml:space="preserve">overtly </w:t>
      </w:r>
      <w:r w:rsidR="002874CA">
        <w:t>targeted</w:t>
      </w:r>
      <w:r w:rsidR="00F44BBE">
        <w:t xml:space="preserve"> </w:t>
      </w:r>
      <w:r w:rsidR="006A0FA4">
        <w:t>pollution source</w:t>
      </w:r>
      <w:r w:rsidR="0055116D">
        <w:t xml:space="preserve">, and the eminent </w:t>
      </w:r>
      <w:r w:rsidR="00F44BBE">
        <w:t xml:space="preserve">release </w:t>
      </w:r>
      <w:r w:rsidR="0055116D">
        <w:t xml:space="preserve">of </w:t>
      </w:r>
      <w:proofErr w:type="spellStart"/>
      <w:r w:rsidR="0055116D">
        <w:t>HgFu</w:t>
      </w:r>
      <w:proofErr w:type="spellEnd"/>
      <w:r w:rsidR="0055116D">
        <w:t xml:space="preserve"> impends </w:t>
      </w:r>
      <w:r w:rsidR="000C6FB9">
        <w:t xml:space="preserve">on </w:t>
      </w:r>
      <w:r w:rsidR="002874CA">
        <w:t>any</w:t>
      </w:r>
      <w:r w:rsidR="00B00BB0">
        <w:t xml:space="preserve"> </w:t>
      </w:r>
      <w:r w:rsidR="002874CA">
        <w:t>commitment</w:t>
      </w:r>
      <w:r w:rsidR="00B1103F">
        <w:t xml:space="preserve"> </w:t>
      </w:r>
      <w:r w:rsidR="00F44BBE">
        <w:t>to</w:t>
      </w:r>
      <w:r w:rsidR="007C41A8">
        <w:t>ward</w:t>
      </w:r>
      <w:r w:rsidR="00B00BB0">
        <w:t>s</w:t>
      </w:r>
      <w:r w:rsidR="00F44BBE">
        <w:t xml:space="preserve"> </w:t>
      </w:r>
      <w:r w:rsidR="008A09DD">
        <w:t>general</w:t>
      </w:r>
      <w:r w:rsidR="0055116D">
        <w:t xml:space="preserve"> </w:t>
      </w:r>
      <w:r w:rsidR="00F44BBE">
        <w:t>effort</w:t>
      </w:r>
      <w:r w:rsidR="0055116D">
        <w:t>s</w:t>
      </w:r>
      <w:r w:rsidR="00F44BBE">
        <w:t xml:space="preserve"> to reduce </w:t>
      </w:r>
      <w:r>
        <w:t xml:space="preserve">anthropogenic </w:t>
      </w:r>
      <w:r w:rsidR="00F44BBE">
        <w:t>Hg into the environment</w:t>
      </w:r>
      <w:r w:rsidR="007C41A8">
        <w:t>.</w:t>
      </w:r>
    </w:p>
    <w:p w:rsidR="00D46C56" w:rsidRPr="00B374F3" w:rsidRDefault="00D46C56" w:rsidP="00D46C56">
      <w:pPr>
        <w:spacing w:line="480" w:lineRule="auto"/>
        <w:contextualSpacing/>
      </w:pPr>
    </w:p>
    <w:p w:rsidR="00D46C56" w:rsidRPr="00B374F3" w:rsidRDefault="00D46C56" w:rsidP="00D46C56">
      <w:pPr>
        <w:spacing w:line="480" w:lineRule="auto"/>
        <w:contextualSpacing/>
      </w:pPr>
    </w:p>
    <w:p w:rsidR="00D01614" w:rsidRPr="00D46C56" w:rsidRDefault="00D46C56" w:rsidP="00D46C56">
      <w:pPr>
        <w:spacing w:line="480" w:lineRule="auto"/>
        <w:contextualSpacing/>
        <w:rPr>
          <w:b/>
        </w:rPr>
      </w:pPr>
      <w:r w:rsidRPr="00D46C56">
        <w:rPr>
          <w:b/>
        </w:rPr>
        <w:t>Acknowledgements</w:t>
      </w:r>
    </w:p>
    <w:p w:rsidR="00D46C56" w:rsidRPr="00AC4855" w:rsidRDefault="00271DB5" w:rsidP="00AC4855">
      <w:pPr>
        <w:spacing w:after="0" w:line="480" w:lineRule="auto"/>
        <w:contextualSpacing/>
      </w:pPr>
      <w:r w:rsidRPr="00AC4855">
        <w:t xml:space="preserve">This work was supported </w:t>
      </w:r>
      <w:r w:rsidR="00805924">
        <w:t>under</w:t>
      </w:r>
      <w:r w:rsidR="00AC4855" w:rsidRPr="00AC4855">
        <w:t xml:space="preserve"> a grant from </w:t>
      </w:r>
      <w:proofErr w:type="spellStart"/>
      <w:r w:rsidR="00AC4855" w:rsidRPr="00AC4855">
        <w:t>Wirtschaftsförderung</w:t>
      </w:r>
      <w:proofErr w:type="spellEnd"/>
      <w:r w:rsidR="00AC4855" w:rsidRPr="00AC4855">
        <w:t xml:space="preserve"> und </w:t>
      </w:r>
      <w:proofErr w:type="spellStart"/>
      <w:r w:rsidR="00AC4855" w:rsidRPr="00AC4855">
        <w:t>Technologietransfer</w:t>
      </w:r>
      <w:proofErr w:type="spellEnd"/>
      <w:r w:rsidR="00AC4855" w:rsidRPr="00AC4855">
        <w:t xml:space="preserve"> Schleswig-Holstein GmbH (WT.SH</w:t>
      </w:r>
      <w:r w:rsidR="00805924">
        <w:t>:</w:t>
      </w:r>
      <w:r w:rsidR="00AC4855" w:rsidRPr="00AC4855">
        <w:t xml:space="preserve"> MUNISEE</w:t>
      </w:r>
      <w:r w:rsidR="00AC4855">
        <w:t xml:space="preserve"> Nr.</w:t>
      </w:r>
      <w:r w:rsidR="00FE15F4">
        <w:t xml:space="preserve"> </w:t>
      </w:r>
      <w:r w:rsidR="00AC4855">
        <w:t>123 18 011</w:t>
      </w:r>
      <w:r w:rsidR="00AC4855" w:rsidRPr="00AC4855">
        <w:t xml:space="preserve">).  </w:t>
      </w:r>
      <w:r w:rsidR="006877E6" w:rsidRPr="002A4678">
        <w:t xml:space="preserve">We would also like to thank </w:t>
      </w:r>
      <w:r w:rsidR="00B1103F" w:rsidRPr="002A4678">
        <w:t xml:space="preserve">associates </w:t>
      </w:r>
      <w:r w:rsidR="00D516A1" w:rsidRPr="002A4678">
        <w:t xml:space="preserve">from </w:t>
      </w:r>
      <w:r w:rsidR="009F6038">
        <w:t xml:space="preserve">the </w:t>
      </w:r>
      <w:r w:rsidR="00B1103F" w:rsidRPr="002A4678">
        <w:t>UDEMM</w:t>
      </w:r>
      <w:r w:rsidR="00D516A1" w:rsidRPr="002A4678">
        <w:t xml:space="preserve"> </w:t>
      </w:r>
      <w:r w:rsidR="009F6038">
        <w:t xml:space="preserve">project </w:t>
      </w:r>
      <w:r w:rsidR="00E42E5F">
        <w:t>(</w:t>
      </w:r>
      <w:proofErr w:type="spellStart"/>
      <w:r w:rsidR="00E42E5F" w:rsidRPr="00E42E5F">
        <w:t>U</w:t>
      </w:r>
      <w:r w:rsidR="00E42E5F">
        <w:t>mweltmonitoring</w:t>
      </w:r>
      <w:proofErr w:type="spellEnd"/>
      <w:r w:rsidR="00E42E5F">
        <w:t xml:space="preserve"> </w:t>
      </w:r>
      <w:proofErr w:type="spellStart"/>
      <w:r w:rsidR="00E42E5F">
        <w:t>für</w:t>
      </w:r>
      <w:proofErr w:type="spellEnd"/>
      <w:r w:rsidR="00E42E5F">
        <w:t xml:space="preserve"> die </w:t>
      </w:r>
      <w:proofErr w:type="spellStart"/>
      <w:r w:rsidR="00E42E5F">
        <w:t>DElaboration</w:t>
      </w:r>
      <w:proofErr w:type="spellEnd"/>
      <w:r w:rsidR="00E42E5F">
        <w:t xml:space="preserve"> von Munition </w:t>
      </w:r>
      <w:proofErr w:type="spellStart"/>
      <w:r w:rsidR="00E42E5F">
        <w:t>im</w:t>
      </w:r>
      <w:proofErr w:type="spellEnd"/>
      <w:r w:rsidR="00E42E5F">
        <w:t xml:space="preserve"> Meer)</w:t>
      </w:r>
      <w:r w:rsidR="00B1103F" w:rsidRPr="002A4678">
        <w:t>,</w:t>
      </w:r>
      <w:r w:rsidR="00B1103F">
        <w:t xml:space="preserve"> and </w:t>
      </w:r>
      <w:r w:rsidR="006877E6" w:rsidRPr="00AC4855">
        <w:t xml:space="preserve">Christian Schlosser for assistance with </w:t>
      </w:r>
      <w:r w:rsidR="00764BD8" w:rsidRPr="00AC4855">
        <w:t>experimental design.</w:t>
      </w:r>
    </w:p>
    <w:p w:rsidR="003E2A37" w:rsidRDefault="003E2A37" w:rsidP="00E9007E">
      <w:pPr>
        <w:spacing w:line="480" w:lineRule="auto"/>
        <w:contextualSpacing/>
      </w:pPr>
    </w:p>
    <w:p w:rsidR="00D01614" w:rsidRDefault="00D01614" w:rsidP="00901C83">
      <w:pPr>
        <w:spacing w:line="480" w:lineRule="auto"/>
        <w:contextualSpacing/>
      </w:pPr>
    </w:p>
    <w:p w:rsidR="00D01614" w:rsidRPr="00EE3504" w:rsidRDefault="00D01614" w:rsidP="003E5A6C">
      <w:pPr>
        <w:tabs>
          <w:tab w:val="left" w:pos="1528"/>
        </w:tabs>
        <w:contextualSpacing/>
        <w:rPr>
          <w:b/>
        </w:rPr>
      </w:pPr>
      <w:r w:rsidRPr="00EE3504">
        <w:rPr>
          <w:b/>
        </w:rPr>
        <w:t>References</w:t>
      </w:r>
      <w:r w:rsidR="003E5A6C" w:rsidRPr="00EE3504">
        <w:rPr>
          <w:b/>
        </w:rPr>
        <w:tab/>
      </w:r>
    </w:p>
    <w:p w:rsidR="00B508A4" w:rsidRPr="00B508A4" w:rsidRDefault="00B508A4" w:rsidP="003E5A6C">
      <w:pPr>
        <w:tabs>
          <w:tab w:val="left" w:pos="1528"/>
        </w:tabs>
        <w:contextualSpacing/>
      </w:pPr>
    </w:p>
    <w:p w:rsidR="003E5A6C" w:rsidRDefault="003E5A6C" w:rsidP="003E5A6C">
      <w:pPr>
        <w:tabs>
          <w:tab w:val="left" w:pos="1528"/>
        </w:tabs>
        <w:contextualSpacing/>
      </w:pPr>
      <w:r w:rsidRPr="00B508A4">
        <w:t>Bartlett, F.C.,</w:t>
      </w:r>
      <w:r>
        <w:t xml:space="preserve"> Tompkins, F.C., Young, D.A. (1956).  The Decomposition of Mercury Fulminate.</w:t>
      </w:r>
      <w:r w:rsidR="00834DF6">
        <w:t xml:space="preserve"> </w:t>
      </w:r>
      <w:r w:rsidR="00834DF6" w:rsidRPr="00834DF6">
        <w:rPr>
          <w:i/>
        </w:rPr>
        <w:t>Journal of the Chemical Society (Resumed)</w:t>
      </w:r>
      <w:r w:rsidR="00834DF6">
        <w:t>, 646, pp. 3323-3330.</w:t>
      </w:r>
    </w:p>
    <w:p w:rsidR="00405956" w:rsidRDefault="00405956">
      <w:pPr>
        <w:contextualSpacing/>
      </w:pPr>
    </w:p>
    <w:p w:rsidR="00405956" w:rsidRPr="00F777FF" w:rsidRDefault="00405956">
      <w:pPr>
        <w:contextualSpacing/>
        <w:rPr>
          <w:lang w:val="de-DE"/>
        </w:rPr>
      </w:pPr>
      <w:r w:rsidRPr="00774C55">
        <w:t xml:space="preserve">Beck, W., Evers, J., </w:t>
      </w:r>
      <w:proofErr w:type="spellStart"/>
      <w:r w:rsidRPr="00774C55">
        <w:t>Göbel</w:t>
      </w:r>
      <w:proofErr w:type="spellEnd"/>
      <w:r w:rsidRPr="00774C55">
        <w:t xml:space="preserve">, M., </w:t>
      </w:r>
      <w:proofErr w:type="spellStart"/>
      <w:r w:rsidRPr="00774C55">
        <w:t>Oehlinger</w:t>
      </w:r>
      <w:proofErr w:type="spellEnd"/>
      <w:r w:rsidRPr="00774C55">
        <w:t xml:space="preserve">, G., </w:t>
      </w:r>
      <w:proofErr w:type="spellStart"/>
      <w:r w:rsidRPr="00774C55">
        <w:t>Klapötke</w:t>
      </w:r>
      <w:proofErr w:type="spellEnd"/>
      <w:r w:rsidRPr="00774C55">
        <w:t xml:space="preserve">, T. (2007).  </w:t>
      </w:r>
      <w:r w:rsidRPr="00405956">
        <w:t>The Crystal and Molecular Structure of Mercury Fulminate (</w:t>
      </w:r>
      <w:proofErr w:type="spellStart"/>
      <w:r w:rsidRPr="00405956">
        <w:t>Knallquecksilber</w:t>
      </w:r>
      <w:proofErr w:type="spellEnd"/>
      <w:r w:rsidRPr="00405956">
        <w:t xml:space="preserve">).  </w:t>
      </w:r>
      <w:r w:rsidRPr="002C7185">
        <w:rPr>
          <w:i/>
        </w:rPr>
        <w:t xml:space="preserve">Z. </w:t>
      </w:r>
      <w:proofErr w:type="spellStart"/>
      <w:r w:rsidRPr="002C7185">
        <w:rPr>
          <w:i/>
        </w:rPr>
        <w:t>Anorg</w:t>
      </w:r>
      <w:proofErr w:type="spellEnd"/>
      <w:r w:rsidRPr="002C7185">
        <w:rPr>
          <w:i/>
        </w:rPr>
        <w:t xml:space="preserve">. </w:t>
      </w:r>
      <w:r w:rsidRPr="00F777FF">
        <w:rPr>
          <w:i/>
          <w:lang w:val="de-DE"/>
        </w:rPr>
        <w:t>Allg. Chem</w:t>
      </w:r>
      <w:r w:rsidRPr="00F777FF">
        <w:rPr>
          <w:lang w:val="de-DE"/>
        </w:rPr>
        <w:t>., 1417-1422.</w:t>
      </w:r>
    </w:p>
    <w:p w:rsidR="002C7185" w:rsidRPr="00F777FF" w:rsidRDefault="002C7185">
      <w:pPr>
        <w:contextualSpacing/>
        <w:rPr>
          <w:lang w:val="de-DE"/>
        </w:rPr>
      </w:pPr>
    </w:p>
    <w:p w:rsidR="002C7185" w:rsidRDefault="002C7185">
      <w:pPr>
        <w:contextualSpacing/>
      </w:pPr>
      <w:r w:rsidRPr="002C7185">
        <w:rPr>
          <w:lang w:val="de-DE"/>
        </w:rPr>
        <w:t xml:space="preserve">Beck, A., </w:t>
      </w:r>
      <w:proofErr w:type="spellStart"/>
      <w:r w:rsidRPr="002C7185">
        <w:rPr>
          <w:lang w:val="de-DE"/>
        </w:rPr>
        <w:t>Gledhill</w:t>
      </w:r>
      <w:proofErr w:type="spellEnd"/>
      <w:r w:rsidRPr="002C7185">
        <w:rPr>
          <w:lang w:val="de-DE"/>
        </w:rPr>
        <w:t>, M., Schlos</w:t>
      </w:r>
      <w:r>
        <w:rPr>
          <w:lang w:val="de-DE"/>
        </w:rPr>
        <w:t>ser, C., Stamer, B., Böttcher, C., Sternhelm, J., Greinert, J., Achterberg, E.</w:t>
      </w:r>
      <w:r w:rsidR="00445233">
        <w:rPr>
          <w:lang w:val="de-DE"/>
        </w:rPr>
        <w:t>P</w:t>
      </w:r>
      <w:r>
        <w:rPr>
          <w:lang w:val="de-DE"/>
        </w:rPr>
        <w:t xml:space="preserve">. (2018).  </w:t>
      </w:r>
      <w:r w:rsidRPr="002C7185">
        <w:t>Spread, behavior and ecosystem consequences of conventional munitions compounds i</w:t>
      </w:r>
      <w:r>
        <w:t xml:space="preserve">n coastal marine waters.  </w:t>
      </w:r>
      <w:r w:rsidRPr="002C7185">
        <w:rPr>
          <w:i/>
        </w:rPr>
        <w:t>Front. Mar. Sci</w:t>
      </w:r>
      <w:r>
        <w:t>., 5, 141.</w:t>
      </w:r>
    </w:p>
    <w:p w:rsidR="00B1341F" w:rsidRDefault="00B1341F">
      <w:pPr>
        <w:contextualSpacing/>
      </w:pPr>
    </w:p>
    <w:p w:rsidR="00B1341F" w:rsidRPr="002C7185" w:rsidRDefault="00B1341F" w:rsidP="005B1DD2">
      <w:pPr>
        <w:contextualSpacing/>
      </w:pPr>
      <w:proofErr w:type="spellStart"/>
      <w:r>
        <w:t>Beckers</w:t>
      </w:r>
      <w:proofErr w:type="spellEnd"/>
      <w:r>
        <w:t xml:space="preserve">, F. and </w:t>
      </w:r>
      <w:proofErr w:type="spellStart"/>
      <w:r>
        <w:t>Rinklebe</w:t>
      </w:r>
      <w:proofErr w:type="spellEnd"/>
      <w:r>
        <w:t>, J. (2017)</w:t>
      </w:r>
      <w:r w:rsidR="00A1306D">
        <w:t xml:space="preserve">. Cycling of mercury in the environment: Sources, fate, and human health implications: A review.  </w:t>
      </w:r>
      <w:r w:rsidR="00A1306D" w:rsidRPr="00A1306D">
        <w:rPr>
          <w:i/>
        </w:rPr>
        <w:t>Crit. Rev. Env. Sci. Tec</w:t>
      </w:r>
      <w:r w:rsidR="00A1306D">
        <w:t>., 47, pp. 693-794.</w:t>
      </w:r>
    </w:p>
    <w:p w:rsidR="00093514" w:rsidRPr="002C7185" w:rsidRDefault="00093514" w:rsidP="005B1DD2">
      <w:pPr>
        <w:contextualSpacing/>
      </w:pPr>
    </w:p>
    <w:p w:rsidR="005B1DD2" w:rsidRPr="005B1DD2" w:rsidRDefault="005B1DD2" w:rsidP="005B1DD2">
      <w:pPr>
        <w:contextualSpacing/>
        <w:rPr>
          <w:lang w:val="en-GB"/>
        </w:rPr>
      </w:pPr>
      <w:proofErr w:type="spellStart"/>
      <w:r w:rsidRPr="005B1DD2">
        <w:t>Beldowski</w:t>
      </w:r>
      <w:proofErr w:type="spellEnd"/>
      <w:r w:rsidRPr="005B1DD2">
        <w:t xml:space="preserve">, J., </w:t>
      </w:r>
      <w:proofErr w:type="spellStart"/>
      <w:r w:rsidRPr="005B1DD2">
        <w:t>Szubska</w:t>
      </w:r>
      <w:proofErr w:type="spellEnd"/>
      <w:r w:rsidRPr="005B1DD2">
        <w:t xml:space="preserve">, M., </w:t>
      </w:r>
      <w:proofErr w:type="spellStart"/>
      <w:r w:rsidRPr="005B1DD2">
        <w:t>Siedlewicz</w:t>
      </w:r>
      <w:proofErr w:type="spellEnd"/>
      <w:r w:rsidRPr="005B1DD2">
        <w:t xml:space="preserve">, G., </w:t>
      </w:r>
      <w:proofErr w:type="spellStart"/>
      <w:r w:rsidRPr="005B1DD2">
        <w:t>Korejwo</w:t>
      </w:r>
      <w:proofErr w:type="spellEnd"/>
      <w:r w:rsidRPr="005B1DD2">
        <w:t>, E.</w:t>
      </w:r>
      <w:r>
        <w:t xml:space="preserve">, Grabowski, M., </w:t>
      </w:r>
      <w:proofErr w:type="spellStart"/>
      <w:r>
        <w:t>Beldowska</w:t>
      </w:r>
      <w:proofErr w:type="spellEnd"/>
      <w:r>
        <w:t xml:space="preserve">, M., </w:t>
      </w:r>
      <w:proofErr w:type="spellStart"/>
      <w:r>
        <w:t>Kwasigroch</w:t>
      </w:r>
      <w:proofErr w:type="spellEnd"/>
      <w:r>
        <w:t xml:space="preserve">, U., </w:t>
      </w:r>
      <w:proofErr w:type="spellStart"/>
      <w:r>
        <w:t>Fabisiak</w:t>
      </w:r>
      <w:proofErr w:type="spellEnd"/>
      <w:r>
        <w:t xml:space="preserve">, J., </w:t>
      </w:r>
      <w:proofErr w:type="spellStart"/>
      <w:r>
        <w:t>Lonska</w:t>
      </w:r>
      <w:proofErr w:type="spellEnd"/>
      <w:r>
        <w:t xml:space="preserve">, E., </w:t>
      </w:r>
      <w:proofErr w:type="spellStart"/>
      <w:r>
        <w:t>Szala</w:t>
      </w:r>
      <w:proofErr w:type="spellEnd"/>
      <w:r>
        <w:t xml:space="preserve">, M., </w:t>
      </w:r>
      <w:proofErr w:type="spellStart"/>
      <w:r>
        <w:t>Pempkowiak</w:t>
      </w:r>
      <w:proofErr w:type="spellEnd"/>
      <w:r>
        <w:t xml:space="preserve">, J. </w:t>
      </w:r>
      <w:r w:rsidRPr="005B1DD2">
        <w:t>(2019).</w:t>
      </w:r>
      <w:r w:rsidR="00F50490">
        <w:t xml:space="preserve">  Sea-dumped ammunition as a possible source of mercury to the Baltic Sea Sediments.</w:t>
      </w:r>
      <w:r w:rsidRPr="005B1DD2">
        <w:t xml:space="preserve"> </w:t>
      </w:r>
      <w:r w:rsidRPr="002623DF">
        <w:rPr>
          <w:i/>
          <w:lang w:val="en"/>
        </w:rPr>
        <w:t>Science of the Total Environment</w:t>
      </w:r>
      <w:r>
        <w:rPr>
          <w:lang w:val="en"/>
        </w:rPr>
        <w:t>,</w:t>
      </w:r>
      <w:r w:rsidRPr="00574492">
        <w:rPr>
          <w:lang w:val="en"/>
        </w:rPr>
        <w:t xml:space="preserve"> 674</w:t>
      </w:r>
      <w:r>
        <w:rPr>
          <w:lang w:val="en"/>
        </w:rPr>
        <w:t>, pp. 363-373.</w:t>
      </w:r>
    </w:p>
    <w:p w:rsidR="005B1DD2" w:rsidRDefault="005B1DD2" w:rsidP="005B1DD2">
      <w:pPr>
        <w:contextualSpacing/>
      </w:pPr>
    </w:p>
    <w:p w:rsidR="00093514" w:rsidRDefault="00093514" w:rsidP="005B1DD2">
      <w:pPr>
        <w:contextualSpacing/>
      </w:pPr>
      <w:r>
        <w:t xml:space="preserve">Carton, G. and </w:t>
      </w:r>
      <w:proofErr w:type="spellStart"/>
      <w:r>
        <w:t>Jagusiewicz</w:t>
      </w:r>
      <w:proofErr w:type="spellEnd"/>
      <w:r>
        <w:t xml:space="preserve">, A. (2009).  Historic Disposal of Munitions in U.S. and European Coastal Waters, How Historic Information Can be Used in Characterizing and Managing Risk.  </w:t>
      </w:r>
      <w:r w:rsidRPr="00B508A4">
        <w:rPr>
          <w:i/>
        </w:rPr>
        <w:t>Marine Technology Society Journal</w:t>
      </w:r>
      <w:r w:rsidRPr="00B508A4">
        <w:t>, 43, 4, pp. 16-32.</w:t>
      </w:r>
    </w:p>
    <w:p w:rsidR="00572B9C" w:rsidRDefault="00572B9C" w:rsidP="005B1DD2">
      <w:pPr>
        <w:contextualSpacing/>
      </w:pPr>
    </w:p>
    <w:p w:rsidR="00572B9C" w:rsidRPr="00B508A4" w:rsidRDefault="00572B9C" w:rsidP="005B1DD2">
      <w:pPr>
        <w:contextualSpacing/>
      </w:pPr>
      <w:r>
        <w:t>Command of the Army Council (1943).  Handbook of Enemy Ammunition. Pamphlet, pp. 5-14.</w:t>
      </w:r>
    </w:p>
    <w:p w:rsidR="00B508A4" w:rsidRPr="00B508A4" w:rsidRDefault="00B508A4">
      <w:pPr>
        <w:contextualSpacing/>
      </w:pPr>
    </w:p>
    <w:p w:rsidR="00F50490" w:rsidRDefault="00F50490" w:rsidP="00F50490">
      <w:pPr>
        <w:contextualSpacing/>
      </w:pPr>
      <w:r>
        <w:t>Demining, H.</w:t>
      </w:r>
      <w:r w:rsidRPr="00213BD8">
        <w:t xml:space="preserve"> (2016).  A </w:t>
      </w:r>
      <w:r>
        <w:t>G</w:t>
      </w:r>
      <w:r w:rsidRPr="00213BD8">
        <w:t>uide to S</w:t>
      </w:r>
      <w:r>
        <w:t>urvey and Clearance of Underwater Explosive Ordnance.  Geneva: Geneva International Centre for Humanitarian Demining.</w:t>
      </w:r>
    </w:p>
    <w:p w:rsidR="001623CA" w:rsidRDefault="001623CA" w:rsidP="00F50490">
      <w:pPr>
        <w:contextualSpacing/>
      </w:pPr>
    </w:p>
    <w:p w:rsidR="001623CA" w:rsidRPr="00A42BBA" w:rsidRDefault="001623CA" w:rsidP="00F50490">
      <w:pPr>
        <w:contextualSpacing/>
      </w:pPr>
      <w:r w:rsidRPr="00A42BBA">
        <w:t>DIN EN 13631-3.</w:t>
      </w:r>
      <w:r w:rsidR="00A42BBA">
        <w:t xml:space="preserve">  </w:t>
      </w:r>
      <w:r w:rsidR="00A42BBA" w:rsidRPr="00A42BBA">
        <w:t>Explosives for civil uses</w:t>
      </w:r>
      <w:r w:rsidR="00A42BBA">
        <w:t xml:space="preserve">.  High explosives </w:t>
      </w:r>
      <w:r w:rsidR="003B4A7E">
        <w:t xml:space="preserve">- </w:t>
      </w:r>
      <w:r w:rsidR="00A42BBA">
        <w:t>Part 3: Determination of sensitiveness to friction of explosives.</w:t>
      </w:r>
    </w:p>
    <w:p w:rsidR="001623CA" w:rsidRPr="00A42BBA" w:rsidRDefault="001623CA" w:rsidP="00F50490">
      <w:pPr>
        <w:contextualSpacing/>
      </w:pPr>
    </w:p>
    <w:p w:rsidR="001623CA" w:rsidRPr="00A42BBA" w:rsidRDefault="001623CA" w:rsidP="00F50490">
      <w:pPr>
        <w:contextualSpacing/>
      </w:pPr>
      <w:r w:rsidRPr="00A42BBA">
        <w:t>DIN EN 13631-4.  Explosives for civil uses</w:t>
      </w:r>
      <w:r w:rsidR="00A42BBA">
        <w:t xml:space="preserve">.  High explosives </w:t>
      </w:r>
      <w:r w:rsidR="003B4A7E">
        <w:t xml:space="preserve">- </w:t>
      </w:r>
      <w:r w:rsidR="00A42BBA">
        <w:t>Part 4: Determination of sensitiveness to impact of explosives.</w:t>
      </w:r>
    </w:p>
    <w:p w:rsidR="00F50490" w:rsidRPr="00A42BBA" w:rsidRDefault="00F50490" w:rsidP="00B508A4">
      <w:pPr>
        <w:spacing w:after="0"/>
      </w:pPr>
    </w:p>
    <w:p w:rsidR="00B508A4" w:rsidRPr="00B508A4" w:rsidRDefault="00B508A4" w:rsidP="00B508A4">
      <w:pPr>
        <w:spacing w:after="0"/>
        <w:rPr>
          <w:snapToGrid w:val="0"/>
        </w:rPr>
      </w:pPr>
      <w:r w:rsidRPr="00B508A4">
        <w:t xml:space="preserve">Edwards, B.A., Kushner, D.S., </w:t>
      </w:r>
      <w:proofErr w:type="spellStart"/>
      <w:r w:rsidRPr="00B508A4">
        <w:t>Outridge</w:t>
      </w:r>
      <w:proofErr w:type="spellEnd"/>
      <w:r w:rsidRPr="00B508A4">
        <w:t>, P.M., Wang, F. (2021).</w:t>
      </w:r>
      <w:r w:rsidR="007F0F41">
        <w:t xml:space="preserve"> Fifty years of volcanic mercury emission research:  Knowledge gaps and future directions.</w:t>
      </w:r>
      <w:r w:rsidRPr="00B508A4">
        <w:t xml:space="preserve"> </w:t>
      </w:r>
      <w:r w:rsidRPr="00B508A4">
        <w:rPr>
          <w:i/>
        </w:rPr>
        <w:t xml:space="preserve">Science of the Total Environment, </w:t>
      </w:r>
      <w:r w:rsidRPr="00B508A4">
        <w:t>757, 143800</w:t>
      </w:r>
    </w:p>
    <w:p w:rsidR="005F5AF8" w:rsidRPr="00B508A4" w:rsidRDefault="005F5AF8">
      <w:pPr>
        <w:contextualSpacing/>
      </w:pPr>
    </w:p>
    <w:p w:rsidR="005F5AF8" w:rsidRPr="00B508A4" w:rsidRDefault="005F5AF8" w:rsidP="005F5AF8">
      <w:pPr>
        <w:contextualSpacing/>
      </w:pPr>
      <w:proofErr w:type="spellStart"/>
      <w:r w:rsidRPr="00B508A4">
        <w:t>Fedoroff</w:t>
      </w:r>
      <w:proofErr w:type="spellEnd"/>
      <w:r w:rsidRPr="00B508A4">
        <w:t>, B.T., Sheffield, O.E., Kaye, S.M.: Encyclopedia of Explosives and Related Items.</w:t>
      </w:r>
    </w:p>
    <w:p w:rsidR="005F5AF8" w:rsidRDefault="005F5AF8" w:rsidP="005F5AF8">
      <w:pPr>
        <w:contextualSpacing/>
      </w:pPr>
      <w:r w:rsidRPr="00B508A4">
        <w:t>Picatinny Arsenal</w:t>
      </w:r>
      <w:r>
        <w:t>, New Jersey (1960–1983)</w:t>
      </w:r>
    </w:p>
    <w:p w:rsidR="00B508A4" w:rsidRDefault="00B508A4" w:rsidP="005F5AF8">
      <w:pPr>
        <w:contextualSpacing/>
      </w:pPr>
    </w:p>
    <w:p w:rsidR="007E5748" w:rsidRPr="00FF6EB7" w:rsidRDefault="007E5748" w:rsidP="005F5AF8">
      <w:pPr>
        <w:contextualSpacing/>
      </w:pPr>
      <w:r w:rsidRPr="00774C55">
        <w:t xml:space="preserve">Friedland, R., Neumann, T., </w:t>
      </w:r>
      <w:proofErr w:type="spellStart"/>
      <w:r w:rsidRPr="00774C55">
        <w:t>Schernewski</w:t>
      </w:r>
      <w:proofErr w:type="spellEnd"/>
      <w:r w:rsidRPr="00774C55">
        <w:t xml:space="preserve">, G. (2012).  </w:t>
      </w:r>
      <w:r w:rsidRPr="007E5748">
        <w:t>Climate change and the B</w:t>
      </w:r>
      <w:r>
        <w:t xml:space="preserve">altic Sea action plan:  Model simulations on the future of the western Baltic Sea.  </w:t>
      </w:r>
      <w:r w:rsidRPr="00FF6EB7">
        <w:rPr>
          <w:i/>
        </w:rPr>
        <w:t>Journal of Marine Systems</w:t>
      </w:r>
      <w:r w:rsidRPr="00FF6EB7">
        <w:t>, 105-108, pp. 175-186.</w:t>
      </w:r>
    </w:p>
    <w:p w:rsidR="000B21A4" w:rsidRPr="00FF6EB7" w:rsidRDefault="000B21A4" w:rsidP="005F5AF8">
      <w:pPr>
        <w:contextualSpacing/>
      </w:pPr>
    </w:p>
    <w:p w:rsidR="000B21A4" w:rsidRPr="00FF6EB7" w:rsidRDefault="000B21A4" w:rsidP="005F5AF8">
      <w:pPr>
        <w:contextualSpacing/>
        <w:rPr>
          <w:lang w:val="de-DE"/>
        </w:rPr>
      </w:pPr>
      <w:r w:rsidRPr="00D53DE0">
        <w:t>Garner, W.E.</w:t>
      </w:r>
      <w:r w:rsidR="00D53DE0" w:rsidRPr="00D53DE0">
        <w:t xml:space="preserve"> and </w:t>
      </w:r>
      <w:proofErr w:type="spellStart"/>
      <w:r w:rsidR="00D53DE0" w:rsidRPr="00D53DE0">
        <w:t>H</w:t>
      </w:r>
      <w:r w:rsidR="00D53DE0">
        <w:t>ailes</w:t>
      </w:r>
      <w:proofErr w:type="spellEnd"/>
      <w:r w:rsidR="00D53DE0">
        <w:t xml:space="preserve">, H.R. (1933).  Thermal decomposition and detonation of mercury fulminate.  </w:t>
      </w:r>
      <w:proofErr w:type="spellStart"/>
      <w:r w:rsidR="00D53DE0" w:rsidRPr="00FF6EB7">
        <w:rPr>
          <w:i/>
          <w:lang w:val="de-DE"/>
        </w:rPr>
        <w:t>Proc</w:t>
      </w:r>
      <w:proofErr w:type="spellEnd"/>
      <w:r w:rsidR="00D53DE0" w:rsidRPr="00FF6EB7">
        <w:rPr>
          <w:i/>
          <w:lang w:val="de-DE"/>
        </w:rPr>
        <w:t xml:space="preserve">. R. </w:t>
      </w:r>
      <w:proofErr w:type="spellStart"/>
      <w:r w:rsidR="00D53DE0" w:rsidRPr="00FF6EB7">
        <w:rPr>
          <w:i/>
          <w:lang w:val="de-DE"/>
        </w:rPr>
        <w:t>Soc</w:t>
      </w:r>
      <w:proofErr w:type="spellEnd"/>
      <w:r w:rsidR="00D53DE0" w:rsidRPr="00FF6EB7">
        <w:rPr>
          <w:i/>
          <w:lang w:val="de-DE"/>
        </w:rPr>
        <w:t>. London</w:t>
      </w:r>
      <w:r w:rsidR="00D53DE0" w:rsidRPr="00FF6EB7">
        <w:rPr>
          <w:lang w:val="de-DE"/>
        </w:rPr>
        <w:t>, 139, pp. 576-595.</w:t>
      </w:r>
    </w:p>
    <w:p w:rsidR="00B508A4" w:rsidRPr="00FF6EB7" w:rsidRDefault="00B508A4" w:rsidP="005F5AF8">
      <w:pPr>
        <w:contextualSpacing/>
        <w:rPr>
          <w:lang w:val="de-DE"/>
        </w:rPr>
      </w:pPr>
    </w:p>
    <w:p w:rsidR="00FD7B20" w:rsidRPr="00D577EE" w:rsidRDefault="00FD7B20" w:rsidP="00FD7B20">
      <w:pPr>
        <w:spacing w:after="0"/>
        <w:rPr>
          <w:lang w:val="de-DE"/>
        </w:rPr>
      </w:pPr>
      <w:r w:rsidRPr="009A1F50">
        <w:rPr>
          <w:lang w:val="de-DE"/>
        </w:rPr>
        <w:lastRenderedPageBreak/>
        <w:t>Gosnell, K. (202</w:t>
      </w:r>
      <w:r w:rsidR="009A1F50">
        <w:rPr>
          <w:lang w:val="de-DE"/>
        </w:rPr>
        <w:t>1</w:t>
      </w:r>
      <w:r w:rsidRPr="009A1F50">
        <w:rPr>
          <w:lang w:val="de-DE"/>
        </w:rPr>
        <w:t xml:space="preserve">). </w:t>
      </w:r>
      <w:r w:rsidR="007A493B">
        <w:rPr>
          <w:lang w:val="de-DE"/>
        </w:rPr>
        <w:t xml:space="preserve"> </w:t>
      </w:r>
      <w:r w:rsidRPr="009A1F50">
        <w:rPr>
          <w:lang w:val="de-DE"/>
        </w:rPr>
        <w:t>FIT-</w:t>
      </w:r>
      <w:proofErr w:type="spellStart"/>
      <w:r w:rsidRPr="009A1F50">
        <w:rPr>
          <w:lang w:val="de-DE"/>
        </w:rPr>
        <w:t>Forschungsvorhben</w:t>
      </w:r>
      <w:proofErr w:type="spellEnd"/>
      <w:r w:rsidRPr="009A1F50">
        <w:rPr>
          <w:lang w:val="de-DE"/>
        </w:rPr>
        <w:t>:  Nr. MUNISEE 123 18 011.</w:t>
      </w:r>
      <w:r w:rsidR="009A1F50">
        <w:rPr>
          <w:lang w:val="de-DE"/>
        </w:rPr>
        <w:t xml:space="preserve"> </w:t>
      </w:r>
      <w:r w:rsidRPr="009A1F50">
        <w:rPr>
          <w:lang w:val="de-DE"/>
        </w:rPr>
        <w:t xml:space="preserve">Wirtschaftsförderung und Technologietransfer Schleswig-Holstein </w:t>
      </w:r>
      <w:r w:rsidRPr="00710531">
        <w:rPr>
          <w:lang w:val="de-DE"/>
        </w:rPr>
        <w:t>GmbH</w:t>
      </w:r>
      <w:r w:rsidR="00D577EE">
        <w:rPr>
          <w:lang w:val="de-DE"/>
        </w:rPr>
        <w:t xml:space="preserve">, Report, </w:t>
      </w:r>
      <w:hyperlink r:id="rId8" w:history="1">
        <w:r w:rsidR="00710531" w:rsidRPr="00D577EE">
          <w:rPr>
            <w:rStyle w:val="Hyperlink"/>
            <w:color w:val="auto"/>
            <w:u w:val="none"/>
            <w:lang w:val="de-DE"/>
          </w:rPr>
          <w:t>https://oceanrep.geomar.de/id/eprint/57087/</w:t>
        </w:r>
      </w:hyperlink>
      <w:r w:rsidR="00D577EE">
        <w:rPr>
          <w:rStyle w:val="Hyperlink"/>
          <w:color w:val="auto"/>
          <w:u w:val="none"/>
          <w:lang w:val="de-DE"/>
        </w:rPr>
        <w:t>.</w:t>
      </w:r>
    </w:p>
    <w:p w:rsidR="00FD7B20" w:rsidRPr="00D577EE" w:rsidRDefault="00FD7B20" w:rsidP="00FD7B20">
      <w:pPr>
        <w:spacing w:after="0"/>
        <w:rPr>
          <w:lang w:val="de-DE"/>
        </w:rPr>
      </w:pPr>
    </w:p>
    <w:p w:rsidR="00430054" w:rsidRDefault="00430054" w:rsidP="005F5AF8">
      <w:pPr>
        <w:contextualSpacing/>
      </w:pPr>
      <w:r w:rsidRPr="009A1F50">
        <w:t>HELCOM</w:t>
      </w:r>
      <w:r w:rsidR="00764BD8" w:rsidRPr="009A1F50">
        <w:t xml:space="preserve"> (2013).  Chemical munitions dumped in the Baltic Sea</w:t>
      </w:r>
      <w:r w:rsidR="004563FE" w:rsidRPr="009A1F50">
        <w:t>.  Report of the ad hoc expert group to update and review the existing information on dumped chemical munitions in the Baltic Sea</w:t>
      </w:r>
      <w:r w:rsidR="00C25BA3" w:rsidRPr="009A1F50">
        <w:t xml:space="preserve">. </w:t>
      </w:r>
      <w:r w:rsidR="00764BD8" w:rsidRPr="009A1F50">
        <w:t>Baltic Sea</w:t>
      </w:r>
      <w:r w:rsidR="00764BD8">
        <w:t xml:space="preserve"> Environ. Proc. No 142, </w:t>
      </w:r>
      <w:r w:rsidR="00C25BA3">
        <w:t>pp 36-56</w:t>
      </w:r>
      <w:r w:rsidR="00764BD8">
        <w:t>.</w:t>
      </w:r>
    </w:p>
    <w:p w:rsidR="00C72418" w:rsidRDefault="00C72418">
      <w:pPr>
        <w:contextualSpacing/>
      </w:pPr>
    </w:p>
    <w:p w:rsidR="005F5AF8" w:rsidRPr="00F777FF" w:rsidRDefault="00D01614" w:rsidP="00D01614">
      <w:pPr>
        <w:contextualSpacing/>
        <w:rPr>
          <w:lang w:val="de-DE"/>
        </w:rPr>
      </w:pPr>
      <w:r>
        <w:t xml:space="preserve">Ingraham, W.T.: The deterioration of mercury fulminate when stored under water. </w:t>
      </w:r>
      <w:proofErr w:type="spellStart"/>
      <w:r w:rsidRPr="00F777FF">
        <w:rPr>
          <w:lang w:val="de-DE"/>
        </w:rPr>
        <w:t>Army</w:t>
      </w:r>
      <w:proofErr w:type="spellEnd"/>
      <w:r w:rsidRPr="00F777FF">
        <w:rPr>
          <w:lang w:val="de-DE"/>
        </w:rPr>
        <w:t xml:space="preserve"> </w:t>
      </w:r>
      <w:proofErr w:type="spellStart"/>
      <w:r w:rsidRPr="00F777FF">
        <w:rPr>
          <w:lang w:val="de-DE"/>
        </w:rPr>
        <w:t>Ordnance</w:t>
      </w:r>
      <w:proofErr w:type="spellEnd"/>
      <w:r w:rsidRPr="00F777FF">
        <w:rPr>
          <w:lang w:val="de-DE"/>
        </w:rPr>
        <w:t xml:space="preserve"> 10, 201–202 (1929)</w:t>
      </w:r>
    </w:p>
    <w:p w:rsidR="00093514" w:rsidRPr="00F777FF" w:rsidRDefault="00093514" w:rsidP="00D01614">
      <w:pPr>
        <w:contextualSpacing/>
        <w:rPr>
          <w:lang w:val="de-DE"/>
        </w:rPr>
      </w:pPr>
    </w:p>
    <w:p w:rsidR="00093514" w:rsidRPr="00093514" w:rsidRDefault="00093514" w:rsidP="00D01614">
      <w:pPr>
        <w:contextualSpacing/>
      </w:pPr>
      <w:r w:rsidRPr="00093514">
        <w:rPr>
          <w:lang w:val="de-DE"/>
        </w:rPr>
        <w:t>Kampmeier, M., van der L</w:t>
      </w:r>
      <w:r>
        <w:rPr>
          <w:lang w:val="de-DE"/>
        </w:rPr>
        <w:t xml:space="preserve">ee, E., Wichert, U., Greinert, J. (2020).  </w:t>
      </w:r>
      <w:r w:rsidRPr="00093514">
        <w:t xml:space="preserve">Exploration of </w:t>
      </w:r>
      <w:r w:rsidR="00430054">
        <w:t>t</w:t>
      </w:r>
      <w:r w:rsidRPr="00093514">
        <w:t xml:space="preserve">he munition dumpsite </w:t>
      </w:r>
      <w:proofErr w:type="spellStart"/>
      <w:r w:rsidRPr="00093514">
        <w:t>Kolberger</w:t>
      </w:r>
      <w:proofErr w:type="spellEnd"/>
      <w:r w:rsidRPr="00093514">
        <w:t xml:space="preserve"> Heide in Kiel Bay, Germany:  Example for</w:t>
      </w:r>
      <w:r>
        <w:t xml:space="preserve"> a standardized hydroacoustic and optic monitoring approach.  </w:t>
      </w:r>
      <w:r w:rsidRPr="002C7185">
        <w:rPr>
          <w:i/>
        </w:rPr>
        <w:t>Continental Shelf Research</w:t>
      </w:r>
      <w:r>
        <w:t xml:space="preserve">, 198, </w:t>
      </w:r>
      <w:r w:rsidR="002C7185">
        <w:t>104108.</w:t>
      </w:r>
    </w:p>
    <w:p w:rsidR="00093514" w:rsidRPr="00093514" w:rsidRDefault="00093514" w:rsidP="00D01614">
      <w:pPr>
        <w:contextualSpacing/>
      </w:pPr>
    </w:p>
    <w:p w:rsidR="00093514" w:rsidRDefault="00093514" w:rsidP="00D01614">
      <w:pPr>
        <w:contextualSpacing/>
      </w:pPr>
      <w:proofErr w:type="spellStart"/>
      <w:r>
        <w:t>Kurzer</w:t>
      </w:r>
      <w:proofErr w:type="spellEnd"/>
      <w:r>
        <w:t xml:space="preserve">, F. (2000). Fulminic Acid in the History of Organic Chemistry.  </w:t>
      </w:r>
      <w:r w:rsidRPr="005F5AF8">
        <w:rPr>
          <w:i/>
        </w:rPr>
        <w:t>J. Chem. Educ</w:t>
      </w:r>
      <w:r>
        <w:t>., 77, 851.</w:t>
      </w:r>
    </w:p>
    <w:p w:rsidR="00D01614" w:rsidRDefault="00D01614" w:rsidP="00D01614">
      <w:pPr>
        <w:contextualSpacing/>
      </w:pPr>
    </w:p>
    <w:p w:rsidR="00B1341F" w:rsidRPr="00B1341F" w:rsidRDefault="00B1341F" w:rsidP="00D01614">
      <w:pPr>
        <w:contextualSpacing/>
        <w:rPr>
          <w:color w:val="222222"/>
          <w:shd w:val="clear" w:color="auto" w:fill="FFFFFF"/>
        </w:rPr>
      </w:pPr>
      <w:proofErr w:type="spellStart"/>
      <w:r w:rsidRPr="00B1341F">
        <w:rPr>
          <w:color w:val="222222"/>
          <w:shd w:val="clear" w:color="auto" w:fill="FFFFFF"/>
        </w:rPr>
        <w:t>Lamborg</w:t>
      </w:r>
      <w:proofErr w:type="spellEnd"/>
      <w:r w:rsidRPr="00B1341F">
        <w:rPr>
          <w:color w:val="222222"/>
          <w:shd w:val="clear" w:color="auto" w:fill="FFFFFF"/>
        </w:rPr>
        <w:t xml:space="preserve">, C., Fitzgerald, W., </w:t>
      </w:r>
      <w:proofErr w:type="spellStart"/>
      <w:r w:rsidRPr="00B1341F">
        <w:rPr>
          <w:color w:val="222222"/>
          <w:shd w:val="clear" w:color="auto" w:fill="FFFFFF"/>
        </w:rPr>
        <w:t>Damman</w:t>
      </w:r>
      <w:proofErr w:type="spellEnd"/>
      <w:r w:rsidRPr="00B1341F">
        <w:rPr>
          <w:color w:val="222222"/>
          <w:shd w:val="clear" w:color="auto" w:fill="FFFFFF"/>
        </w:rPr>
        <w:t xml:space="preserve">, A., Benoit, J., </w:t>
      </w:r>
      <w:proofErr w:type="spellStart"/>
      <w:r w:rsidRPr="00B1341F">
        <w:rPr>
          <w:color w:val="222222"/>
          <w:shd w:val="clear" w:color="auto" w:fill="FFFFFF"/>
        </w:rPr>
        <w:t>Balcom</w:t>
      </w:r>
      <w:proofErr w:type="spellEnd"/>
      <w:r w:rsidRPr="00B1341F">
        <w:rPr>
          <w:color w:val="222222"/>
          <w:shd w:val="clear" w:color="auto" w:fill="FFFFFF"/>
        </w:rPr>
        <w:t>, P., Engstrom, D. (2002). Modern and historic atmospheric mercury fluxes in both hemispher</w:t>
      </w:r>
      <w:r>
        <w:rPr>
          <w:color w:val="222222"/>
          <w:shd w:val="clear" w:color="auto" w:fill="FFFFFF"/>
        </w:rPr>
        <w:t xml:space="preserve">es: global and regional mercury cycling implications.  </w:t>
      </w:r>
      <w:r w:rsidRPr="00B1341F">
        <w:rPr>
          <w:i/>
          <w:color w:val="222222"/>
          <w:shd w:val="clear" w:color="auto" w:fill="FFFFFF"/>
        </w:rPr>
        <w:t xml:space="preserve">Glob. </w:t>
      </w:r>
      <w:proofErr w:type="spellStart"/>
      <w:r w:rsidRPr="00B1341F">
        <w:rPr>
          <w:i/>
          <w:color w:val="222222"/>
          <w:shd w:val="clear" w:color="auto" w:fill="FFFFFF"/>
        </w:rPr>
        <w:t>Giogeochem</w:t>
      </w:r>
      <w:proofErr w:type="spellEnd"/>
      <w:r w:rsidRPr="00B1341F">
        <w:rPr>
          <w:i/>
          <w:color w:val="222222"/>
          <w:shd w:val="clear" w:color="auto" w:fill="FFFFFF"/>
        </w:rPr>
        <w:t>. Cycles</w:t>
      </w:r>
      <w:r>
        <w:rPr>
          <w:color w:val="222222"/>
          <w:shd w:val="clear" w:color="auto" w:fill="FFFFFF"/>
        </w:rPr>
        <w:t>, 16, 1104-1114.</w:t>
      </w:r>
      <w:r w:rsidRPr="00B1341F">
        <w:rPr>
          <w:color w:val="222222"/>
          <w:shd w:val="clear" w:color="auto" w:fill="FFFFFF"/>
        </w:rPr>
        <w:t xml:space="preserve"> </w:t>
      </w:r>
    </w:p>
    <w:p w:rsidR="00B1341F" w:rsidRPr="00B1341F" w:rsidRDefault="00B1341F" w:rsidP="00D01614">
      <w:pPr>
        <w:contextualSpacing/>
        <w:rPr>
          <w:color w:val="222222"/>
          <w:shd w:val="clear" w:color="auto" w:fill="FFFFFF"/>
        </w:rPr>
      </w:pPr>
    </w:p>
    <w:p w:rsidR="00D01614" w:rsidRPr="00F777FF" w:rsidRDefault="00D01614" w:rsidP="00D01614">
      <w:pPr>
        <w:contextualSpacing/>
        <w:rPr>
          <w:color w:val="222222"/>
          <w:shd w:val="clear" w:color="auto" w:fill="FFFFFF"/>
          <w:lang w:val="de-DE"/>
        </w:rPr>
      </w:pPr>
      <w:proofErr w:type="spellStart"/>
      <w:r w:rsidRPr="00A63B7E">
        <w:rPr>
          <w:color w:val="222222"/>
          <w:shd w:val="clear" w:color="auto" w:fill="FFFFFF"/>
        </w:rPr>
        <w:t>Matyáš</w:t>
      </w:r>
      <w:proofErr w:type="spellEnd"/>
      <w:r w:rsidRPr="00A63B7E">
        <w:rPr>
          <w:color w:val="222222"/>
          <w:shd w:val="clear" w:color="auto" w:fill="FFFFFF"/>
        </w:rPr>
        <w:t xml:space="preserve">, R., </w:t>
      </w:r>
      <w:r>
        <w:rPr>
          <w:color w:val="222222"/>
          <w:shd w:val="clear" w:color="auto" w:fill="FFFFFF"/>
        </w:rPr>
        <w:t>and</w:t>
      </w:r>
      <w:r w:rsidRPr="00A63B7E">
        <w:rPr>
          <w:color w:val="222222"/>
          <w:shd w:val="clear" w:color="auto" w:fill="FFFFFF"/>
        </w:rPr>
        <w:t xml:space="preserve"> </w:t>
      </w:r>
      <w:proofErr w:type="spellStart"/>
      <w:r w:rsidRPr="00A63B7E">
        <w:rPr>
          <w:color w:val="222222"/>
          <w:shd w:val="clear" w:color="auto" w:fill="FFFFFF"/>
        </w:rPr>
        <w:t>Pachman</w:t>
      </w:r>
      <w:proofErr w:type="spellEnd"/>
      <w:r w:rsidRPr="00A63B7E">
        <w:rPr>
          <w:color w:val="222222"/>
          <w:shd w:val="clear" w:color="auto" w:fill="FFFFFF"/>
        </w:rPr>
        <w:t>, J. (2013). </w:t>
      </w:r>
      <w:r w:rsidRPr="00A63B7E">
        <w:rPr>
          <w:i/>
          <w:iCs/>
          <w:color w:val="222222"/>
          <w:shd w:val="clear" w:color="auto" w:fill="FFFFFF"/>
        </w:rPr>
        <w:t>Primary explosives</w:t>
      </w:r>
      <w:r w:rsidRPr="00A63B7E">
        <w:rPr>
          <w:color w:val="222222"/>
          <w:shd w:val="clear" w:color="auto" w:fill="FFFFFF"/>
        </w:rPr>
        <w:t xml:space="preserve">. </w:t>
      </w:r>
      <w:r w:rsidRPr="00F777FF">
        <w:rPr>
          <w:color w:val="222222"/>
          <w:shd w:val="clear" w:color="auto" w:fill="FFFFFF"/>
          <w:lang w:val="de-DE"/>
        </w:rPr>
        <w:t>Heidelberg: Springer</w:t>
      </w:r>
    </w:p>
    <w:p w:rsidR="003E5A6C" w:rsidRPr="00F777FF" w:rsidRDefault="003E5A6C" w:rsidP="00D01614">
      <w:pPr>
        <w:contextualSpacing/>
        <w:rPr>
          <w:color w:val="222222"/>
          <w:shd w:val="clear" w:color="auto" w:fill="FFFFFF"/>
          <w:lang w:val="de-DE"/>
        </w:rPr>
      </w:pPr>
    </w:p>
    <w:p w:rsidR="007E5748" w:rsidRDefault="007E5748" w:rsidP="00D01614">
      <w:pPr>
        <w:contextualSpacing/>
        <w:rPr>
          <w:color w:val="222222"/>
          <w:shd w:val="clear" w:color="auto" w:fill="FFFFFF"/>
        </w:rPr>
      </w:pPr>
      <w:r w:rsidRPr="007E5748">
        <w:rPr>
          <w:color w:val="222222"/>
          <w:shd w:val="clear" w:color="auto" w:fill="FFFFFF"/>
          <w:lang w:val="de-DE"/>
        </w:rPr>
        <w:t>Meier, H.E. et al</w:t>
      </w:r>
      <w:r>
        <w:rPr>
          <w:color w:val="222222"/>
          <w:shd w:val="clear" w:color="auto" w:fill="FFFFFF"/>
          <w:lang w:val="de-DE"/>
        </w:rPr>
        <w:t xml:space="preserve">. </w:t>
      </w:r>
      <w:r w:rsidRPr="007E5748">
        <w:rPr>
          <w:color w:val="222222"/>
          <w:shd w:val="clear" w:color="auto" w:fill="FFFFFF"/>
        </w:rPr>
        <w:t>(2022).  Climate change in t</w:t>
      </w:r>
      <w:r>
        <w:rPr>
          <w:color w:val="222222"/>
          <w:shd w:val="clear" w:color="auto" w:fill="FFFFFF"/>
        </w:rPr>
        <w:t xml:space="preserve">he Baltic Sea region: a summary. </w:t>
      </w:r>
      <w:r w:rsidRPr="007E5748">
        <w:rPr>
          <w:i/>
          <w:color w:val="222222"/>
          <w:shd w:val="clear" w:color="auto" w:fill="FFFFFF"/>
        </w:rPr>
        <w:t>Earth Syst. Dunam</w:t>
      </w:r>
      <w:r>
        <w:rPr>
          <w:color w:val="222222"/>
          <w:shd w:val="clear" w:color="auto" w:fill="FFFFFF"/>
        </w:rPr>
        <w:t>., 13, pp. 457-593.</w:t>
      </w:r>
    </w:p>
    <w:p w:rsidR="00C75280" w:rsidRDefault="00C75280" w:rsidP="00C75280">
      <w:pPr>
        <w:spacing w:line="240" w:lineRule="auto"/>
        <w:contextualSpacing/>
        <w:rPr>
          <w:color w:val="222222"/>
          <w:shd w:val="clear" w:color="auto" w:fill="FFFFFF"/>
        </w:rPr>
      </w:pPr>
    </w:p>
    <w:p w:rsidR="00C75280" w:rsidRPr="00C75280" w:rsidRDefault="00C75280" w:rsidP="00C75280">
      <w:pPr>
        <w:spacing w:line="240" w:lineRule="auto"/>
        <w:contextualSpacing/>
      </w:pPr>
      <w:r>
        <w:t xml:space="preserve">MELUR (2015). </w:t>
      </w:r>
      <w:proofErr w:type="spellStart"/>
      <w:r>
        <w:t>Munitionsbelastung</w:t>
      </w:r>
      <w:proofErr w:type="spellEnd"/>
      <w:r>
        <w:t xml:space="preserve"> der </w:t>
      </w:r>
      <w:proofErr w:type="spellStart"/>
      <w:r>
        <w:t>Deutschen</w:t>
      </w:r>
      <w:proofErr w:type="spellEnd"/>
      <w:r>
        <w:t xml:space="preserve"> </w:t>
      </w:r>
      <w:proofErr w:type="spellStart"/>
      <w:r>
        <w:t>Meeresgewässer</w:t>
      </w:r>
      <w:proofErr w:type="spellEnd"/>
      <w:r>
        <w:t xml:space="preserve"> - Development and Progress (2014) Rep., Ministry for Energy Transition, Agriculture, Environment and Rural Areas of Schleswig-Holstein, http://www.schleswig-holstein.de/.</w:t>
      </w:r>
    </w:p>
    <w:p w:rsidR="007E5748" w:rsidRPr="007E5748" w:rsidRDefault="007E5748" w:rsidP="00C75280">
      <w:pPr>
        <w:spacing w:line="240" w:lineRule="auto"/>
        <w:contextualSpacing/>
        <w:rPr>
          <w:color w:val="222222"/>
          <w:shd w:val="clear" w:color="auto" w:fill="FFFFFF"/>
        </w:rPr>
      </w:pPr>
    </w:p>
    <w:p w:rsidR="003E5A6C" w:rsidRDefault="003E5A6C" w:rsidP="00D01614">
      <w:pPr>
        <w:contextualSpacing/>
        <w:rPr>
          <w:color w:val="222222"/>
          <w:shd w:val="clear" w:color="auto" w:fill="FFFFFF"/>
        </w:rPr>
      </w:pPr>
      <w:r w:rsidRPr="007E5748">
        <w:rPr>
          <w:color w:val="222222"/>
          <w:shd w:val="clear" w:color="auto" w:fill="FFFFFF"/>
        </w:rPr>
        <w:t xml:space="preserve">Narayana, P.Y. (1944).  </w:t>
      </w:r>
      <w:r>
        <w:rPr>
          <w:color w:val="222222"/>
          <w:shd w:val="clear" w:color="auto" w:fill="FFFFFF"/>
        </w:rPr>
        <w:t xml:space="preserve">The Thermal Decomposition of Mercury Fulminate.  </w:t>
      </w:r>
      <w:r w:rsidRPr="003E5A6C">
        <w:rPr>
          <w:i/>
          <w:color w:val="222222"/>
          <w:shd w:val="clear" w:color="auto" w:fill="FFFFFF"/>
        </w:rPr>
        <w:t>Current Science Association</w:t>
      </w:r>
      <w:r>
        <w:rPr>
          <w:color w:val="222222"/>
          <w:shd w:val="clear" w:color="auto" w:fill="FFFFFF"/>
        </w:rPr>
        <w:t>, 12, pp. 313-315.</w:t>
      </w:r>
    </w:p>
    <w:p w:rsidR="007F0F41" w:rsidRDefault="007F0F41" w:rsidP="00D01614">
      <w:pPr>
        <w:contextualSpacing/>
        <w:rPr>
          <w:color w:val="222222"/>
          <w:shd w:val="clear" w:color="auto" w:fill="FFFFFF"/>
        </w:rPr>
      </w:pPr>
    </w:p>
    <w:p w:rsidR="007F0F41" w:rsidRDefault="007F0F41" w:rsidP="00D01614">
      <w:pPr>
        <w:contextualSpacing/>
        <w:rPr>
          <w:color w:val="222222"/>
          <w:shd w:val="clear" w:color="auto" w:fill="FFFFFF"/>
        </w:rPr>
      </w:pPr>
      <w:proofErr w:type="spellStart"/>
      <w:r>
        <w:rPr>
          <w:color w:val="222222"/>
          <w:shd w:val="clear" w:color="auto" w:fill="FFFFFF"/>
        </w:rPr>
        <w:t>Nriagu</w:t>
      </w:r>
      <w:proofErr w:type="spellEnd"/>
      <w:r>
        <w:rPr>
          <w:color w:val="222222"/>
          <w:shd w:val="clear" w:color="auto" w:fill="FFFFFF"/>
        </w:rPr>
        <w:t xml:space="preserve">, J. and Becker, C. (2003).  Volcanic emissions of mercury to the atmosphere: global and regional inventories. </w:t>
      </w:r>
      <w:r w:rsidRPr="002C7185">
        <w:rPr>
          <w:i/>
          <w:color w:val="222222"/>
          <w:shd w:val="clear" w:color="auto" w:fill="FFFFFF"/>
        </w:rPr>
        <w:t>Science of the total Environment</w:t>
      </w:r>
      <w:r>
        <w:rPr>
          <w:color w:val="222222"/>
          <w:shd w:val="clear" w:color="auto" w:fill="FFFFFF"/>
        </w:rPr>
        <w:t>, 304, pp. 3-12.</w:t>
      </w:r>
    </w:p>
    <w:p w:rsidR="00B508A4" w:rsidRDefault="00B508A4" w:rsidP="00D01614">
      <w:pPr>
        <w:contextualSpacing/>
        <w:rPr>
          <w:color w:val="222222"/>
          <w:shd w:val="clear" w:color="auto" w:fill="FFFFFF"/>
        </w:rPr>
      </w:pPr>
    </w:p>
    <w:p w:rsidR="007F0F41" w:rsidRPr="007F0F41" w:rsidRDefault="007F0F41" w:rsidP="00B508A4">
      <w:pPr>
        <w:spacing w:after="0"/>
        <w:rPr>
          <w:snapToGrid w:val="0"/>
        </w:rPr>
      </w:pPr>
      <w:r w:rsidRPr="002143EA">
        <w:rPr>
          <w:snapToGrid w:val="0"/>
        </w:rPr>
        <w:t xml:space="preserve">Obrist, D., Kirk, J., Zhang, L., Sunderland, E., Jiskra, M., Selin, N. (2018).  </w:t>
      </w:r>
      <w:r w:rsidRPr="007F0F41">
        <w:rPr>
          <w:snapToGrid w:val="0"/>
        </w:rPr>
        <w:t xml:space="preserve">A review of </w:t>
      </w:r>
      <w:r w:rsidR="005C737B">
        <w:rPr>
          <w:snapToGrid w:val="0"/>
        </w:rPr>
        <w:t>g</w:t>
      </w:r>
      <w:r w:rsidRPr="007F0F41">
        <w:rPr>
          <w:snapToGrid w:val="0"/>
        </w:rPr>
        <w:t>lobal environmental mercury processes in response t</w:t>
      </w:r>
      <w:r>
        <w:rPr>
          <w:snapToGrid w:val="0"/>
        </w:rPr>
        <w:t xml:space="preserve">o human and natural perturbations: changes of emissions, climate and land use.  </w:t>
      </w:r>
      <w:proofErr w:type="spellStart"/>
      <w:r w:rsidRPr="007F0F41">
        <w:rPr>
          <w:i/>
          <w:snapToGrid w:val="0"/>
        </w:rPr>
        <w:t>Ambio</w:t>
      </w:r>
      <w:proofErr w:type="spellEnd"/>
      <w:r>
        <w:rPr>
          <w:snapToGrid w:val="0"/>
        </w:rPr>
        <w:t>, 47, 116-140.</w:t>
      </w:r>
    </w:p>
    <w:p w:rsidR="007F0F41" w:rsidRPr="007F0F41" w:rsidRDefault="007F0F41" w:rsidP="00B508A4">
      <w:pPr>
        <w:spacing w:after="0"/>
        <w:rPr>
          <w:snapToGrid w:val="0"/>
        </w:rPr>
      </w:pPr>
    </w:p>
    <w:p w:rsidR="00B508A4" w:rsidRDefault="00B508A4" w:rsidP="00B508A4">
      <w:pPr>
        <w:spacing w:after="0"/>
        <w:rPr>
          <w:snapToGrid w:val="0"/>
        </w:rPr>
      </w:pPr>
      <w:proofErr w:type="spellStart"/>
      <w:r w:rsidRPr="00B508A4">
        <w:rPr>
          <w:snapToGrid w:val="0"/>
        </w:rPr>
        <w:t>Outridge</w:t>
      </w:r>
      <w:proofErr w:type="spellEnd"/>
      <w:r w:rsidRPr="00B508A4">
        <w:rPr>
          <w:snapToGrid w:val="0"/>
        </w:rPr>
        <w:t xml:space="preserve">, P.M., </w:t>
      </w:r>
      <w:r w:rsidR="007F0F41">
        <w:rPr>
          <w:snapToGrid w:val="0"/>
        </w:rPr>
        <w:t xml:space="preserve">Mason, R.P., Wang, F., Guerrero, S., </w:t>
      </w:r>
      <w:proofErr w:type="spellStart"/>
      <w:r w:rsidR="007F0F41">
        <w:rPr>
          <w:snapToGrid w:val="0"/>
        </w:rPr>
        <w:t>Heimburger-Boavida</w:t>
      </w:r>
      <w:proofErr w:type="spellEnd"/>
      <w:r w:rsidR="007F0F41">
        <w:rPr>
          <w:snapToGrid w:val="0"/>
        </w:rPr>
        <w:t xml:space="preserve">, L.E. </w:t>
      </w:r>
      <w:r w:rsidRPr="00B508A4">
        <w:rPr>
          <w:snapToGrid w:val="0"/>
        </w:rPr>
        <w:t>(2018).</w:t>
      </w:r>
      <w:r w:rsidR="007F0F41">
        <w:rPr>
          <w:snapToGrid w:val="0"/>
        </w:rPr>
        <w:t xml:space="preserve"> Updated global and oceanic mercury budgets for the United Nations Global Mercury Assessment 2018. </w:t>
      </w:r>
      <w:r w:rsidRPr="00B508A4">
        <w:rPr>
          <w:i/>
          <w:snapToGrid w:val="0"/>
        </w:rPr>
        <w:t xml:space="preserve"> Environ. Sci. Technol</w:t>
      </w:r>
      <w:r w:rsidRPr="00B508A4">
        <w:rPr>
          <w:snapToGrid w:val="0"/>
        </w:rPr>
        <w:t>. 52, 11466-11477.</w:t>
      </w:r>
    </w:p>
    <w:p w:rsidR="00431EEB" w:rsidRDefault="00431EEB" w:rsidP="00B508A4">
      <w:pPr>
        <w:spacing w:after="0"/>
        <w:rPr>
          <w:i/>
        </w:rPr>
      </w:pPr>
    </w:p>
    <w:p w:rsidR="006D25F8" w:rsidRPr="00C4199D" w:rsidRDefault="006D25F8" w:rsidP="00B508A4">
      <w:pPr>
        <w:spacing w:after="0"/>
        <w:rPr>
          <w:lang w:val="de-DE"/>
        </w:rPr>
      </w:pPr>
      <w:proofErr w:type="spellStart"/>
      <w:r w:rsidRPr="006D25F8">
        <w:lastRenderedPageBreak/>
        <w:t>Rak</w:t>
      </w:r>
      <w:proofErr w:type="spellEnd"/>
      <w:r w:rsidRPr="006D25F8">
        <w:t xml:space="preserve">, D. and </w:t>
      </w:r>
      <w:proofErr w:type="spellStart"/>
      <w:r w:rsidRPr="006D25F8">
        <w:t>Wieczorek</w:t>
      </w:r>
      <w:proofErr w:type="spellEnd"/>
      <w:r w:rsidRPr="006D25F8">
        <w:t>, P</w:t>
      </w:r>
      <w:r>
        <w:t xml:space="preserve">. (2012). Variability of temperature and salinity over the last decade in selected regions of the southern Baltic Sea.  </w:t>
      </w:r>
      <w:proofErr w:type="spellStart"/>
      <w:r w:rsidRPr="00C4199D">
        <w:rPr>
          <w:i/>
          <w:lang w:val="de-DE"/>
        </w:rPr>
        <w:t>Oceanologia</w:t>
      </w:r>
      <w:proofErr w:type="spellEnd"/>
      <w:r w:rsidRPr="00C4199D">
        <w:rPr>
          <w:lang w:val="de-DE"/>
        </w:rPr>
        <w:t>, 3, pp. 339-354.</w:t>
      </w:r>
    </w:p>
    <w:p w:rsidR="006D25F8" w:rsidRPr="00C4199D" w:rsidRDefault="006D25F8" w:rsidP="00B508A4">
      <w:pPr>
        <w:spacing w:after="0"/>
        <w:rPr>
          <w:lang w:val="de-DE"/>
        </w:rPr>
      </w:pPr>
    </w:p>
    <w:p w:rsidR="00E80429" w:rsidRPr="00E80429" w:rsidRDefault="00E80429" w:rsidP="00B508A4">
      <w:pPr>
        <w:spacing w:after="0"/>
      </w:pPr>
      <w:r w:rsidRPr="00E80429">
        <w:rPr>
          <w:lang w:val="de-DE"/>
        </w:rPr>
        <w:t xml:space="preserve">Scharsack, J., </w:t>
      </w:r>
      <w:proofErr w:type="spellStart"/>
      <w:r w:rsidRPr="00E80429">
        <w:rPr>
          <w:lang w:val="de-DE"/>
        </w:rPr>
        <w:t>Koske</w:t>
      </w:r>
      <w:proofErr w:type="spellEnd"/>
      <w:r w:rsidRPr="00E80429">
        <w:rPr>
          <w:lang w:val="de-DE"/>
        </w:rPr>
        <w:t xml:space="preserve">, D., </w:t>
      </w:r>
      <w:proofErr w:type="spellStart"/>
      <w:r w:rsidRPr="00E80429">
        <w:rPr>
          <w:lang w:val="de-DE"/>
        </w:rPr>
        <w:t>Str</w:t>
      </w:r>
      <w:r>
        <w:rPr>
          <w:lang w:val="de-DE"/>
        </w:rPr>
        <w:t>aumer</w:t>
      </w:r>
      <w:proofErr w:type="spellEnd"/>
      <w:r>
        <w:rPr>
          <w:lang w:val="de-DE"/>
        </w:rPr>
        <w:t xml:space="preserve">, K., Kammann, U. (2021).  </w:t>
      </w:r>
      <w:r w:rsidRPr="00E80429">
        <w:t>Effects of climate change o</w:t>
      </w:r>
      <w:r>
        <w:t>n marine dumped munitions and possible consequences for inhabiting biota</w:t>
      </w:r>
      <w:r w:rsidRPr="00E80429">
        <w:rPr>
          <w:i/>
        </w:rPr>
        <w:t>.  Environ. Sci Eur</w:t>
      </w:r>
      <w:r>
        <w:t>, 33:102.</w:t>
      </w:r>
    </w:p>
    <w:p w:rsidR="00093514" w:rsidRPr="00513724" w:rsidRDefault="00093514" w:rsidP="00D01614">
      <w:pPr>
        <w:contextualSpacing/>
        <w:rPr>
          <w:color w:val="222222"/>
          <w:shd w:val="clear" w:color="auto" w:fill="FFFFFF"/>
        </w:rPr>
      </w:pPr>
    </w:p>
    <w:p w:rsidR="00AD13AA" w:rsidRDefault="00AD13AA">
      <w:pPr>
        <w:contextualSpacing/>
      </w:pPr>
      <w:proofErr w:type="spellStart"/>
      <w:r>
        <w:t>Sunda</w:t>
      </w:r>
      <w:proofErr w:type="spellEnd"/>
      <w:r w:rsidR="00EE3504">
        <w:t>, W.G.</w:t>
      </w:r>
      <w:r w:rsidR="00117331">
        <w:t xml:space="preserve">, Price, N.M., Morel, F.M. </w:t>
      </w:r>
      <w:r>
        <w:t>(</w:t>
      </w:r>
      <w:r w:rsidR="00117331">
        <w:t>200</w:t>
      </w:r>
      <w:r w:rsidR="00525298">
        <w:t>5</w:t>
      </w:r>
      <w:r>
        <w:t>)</w:t>
      </w:r>
      <w:r w:rsidR="00EE3504">
        <w:t xml:space="preserve">. </w:t>
      </w:r>
      <w:r w:rsidR="00117331">
        <w:t>Trace metal ion buffers and their use in culture studies</w:t>
      </w:r>
      <w:r w:rsidR="00EE3504">
        <w:t xml:space="preserve">.  </w:t>
      </w:r>
      <w:r w:rsidR="00117331">
        <w:rPr>
          <w:i/>
        </w:rPr>
        <w:t>Algae culturing techniques</w:t>
      </w:r>
      <w:r w:rsidR="00EE3504">
        <w:t xml:space="preserve">, </w:t>
      </w:r>
      <w:r w:rsidR="00117331">
        <w:t>4</w:t>
      </w:r>
      <w:r w:rsidR="00EE3504">
        <w:t xml:space="preserve">, pp. </w:t>
      </w:r>
      <w:r w:rsidR="00117331">
        <w:t>35-63</w:t>
      </w:r>
      <w:r w:rsidR="00EE3504">
        <w:t>.</w:t>
      </w:r>
    </w:p>
    <w:p w:rsidR="002A5BB8" w:rsidRDefault="002A5BB8" w:rsidP="002A5BB8">
      <w:pPr>
        <w:spacing w:line="240" w:lineRule="auto"/>
        <w:contextualSpacing/>
      </w:pPr>
    </w:p>
    <w:p w:rsidR="002A5BB8" w:rsidRDefault="002A5BB8" w:rsidP="002A5BB8">
      <w:pPr>
        <w:spacing w:line="240" w:lineRule="auto"/>
        <w:contextualSpacing/>
      </w:pPr>
      <w:r>
        <w:t>Tomlinson, W.R., Sheffield, O.E. (1971).  Engineering Design Handbook, Explosive Series of</w:t>
      </w:r>
    </w:p>
    <w:p w:rsidR="002A5BB8" w:rsidRDefault="002A5BB8" w:rsidP="002A5BB8">
      <w:pPr>
        <w:spacing w:line="240" w:lineRule="auto"/>
        <w:contextualSpacing/>
      </w:pPr>
      <w:r>
        <w:t>Properties Explosives of Military Interest, report AMCP 706-177.</w:t>
      </w:r>
    </w:p>
    <w:p w:rsidR="002A5BB8" w:rsidRDefault="002A5BB8" w:rsidP="002A5BB8">
      <w:pPr>
        <w:spacing w:line="240" w:lineRule="auto"/>
        <w:contextualSpacing/>
      </w:pPr>
    </w:p>
    <w:p w:rsidR="00AD13AA" w:rsidRDefault="007A493B" w:rsidP="002A5BB8">
      <w:pPr>
        <w:spacing w:line="240" w:lineRule="auto"/>
        <w:contextualSpacing/>
      </w:pPr>
      <w:r>
        <w:t xml:space="preserve">Ullrich, S.M., </w:t>
      </w:r>
      <w:proofErr w:type="spellStart"/>
      <w:r>
        <w:t>Tanton</w:t>
      </w:r>
      <w:proofErr w:type="spellEnd"/>
      <w:r>
        <w:t xml:space="preserve">, T.W., </w:t>
      </w:r>
      <w:proofErr w:type="spellStart"/>
      <w:r>
        <w:t>Abdrashitova</w:t>
      </w:r>
      <w:proofErr w:type="spellEnd"/>
      <w:r>
        <w:t xml:space="preserve">, S.A. (2001).  Mercury in the aquatic environment: a review of factors affecting methylation.  </w:t>
      </w:r>
      <w:r w:rsidRPr="007A493B">
        <w:rPr>
          <w:i/>
        </w:rPr>
        <w:t>Critical Rev. Environ. Sci. Technol</w:t>
      </w:r>
      <w:r>
        <w:t>., 31, pp. 241-293.</w:t>
      </w:r>
    </w:p>
    <w:p w:rsidR="002A5BB8" w:rsidRDefault="002A5BB8">
      <w:pPr>
        <w:contextualSpacing/>
      </w:pPr>
    </w:p>
    <w:sectPr w:rsidR="002A5BB8" w:rsidSect="00D46C56">
      <w:pgSz w:w="12240" w:h="15840"/>
      <w:pgMar w:top="1417" w:right="1417" w:bottom="1134" w:left="1417"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F4033"/>
    <w:multiLevelType w:val="hybridMultilevel"/>
    <w:tmpl w:val="3A3A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214B9"/>
    <w:multiLevelType w:val="hybridMultilevel"/>
    <w:tmpl w:val="F7AC1354"/>
    <w:lvl w:ilvl="0" w:tplc="F4FE7C7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F77956"/>
    <w:multiLevelType w:val="hybridMultilevel"/>
    <w:tmpl w:val="0F6878C4"/>
    <w:lvl w:ilvl="0" w:tplc="6DFCD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AD"/>
    <w:rsid w:val="00000629"/>
    <w:rsid w:val="0000107F"/>
    <w:rsid w:val="000022AE"/>
    <w:rsid w:val="00004D6F"/>
    <w:rsid w:val="0000573F"/>
    <w:rsid w:val="00005C62"/>
    <w:rsid w:val="00012312"/>
    <w:rsid w:val="0001508F"/>
    <w:rsid w:val="0002028B"/>
    <w:rsid w:val="000329B0"/>
    <w:rsid w:val="00040B50"/>
    <w:rsid w:val="00041DF0"/>
    <w:rsid w:val="0004284F"/>
    <w:rsid w:val="00050A14"/>
    <w:rsid w:val="00052FFB"/>
    <w:rsid w:val="00056B86"/>
    <w:rsid w:val="00061AB1"/>
    <w:rsid w:val="00064021"/>
    <w:rsid w:val="00064579"/>
    <w:rsid w:val="00066344"/>
    <w:rsid w:val="00076602"/>
    <w:rsid w:val="00086FAD"/>
    <w:rsid w:val="00093514"/>
    <w:rsid w:val="000A6A3E"/>
    <w:rsid w:val="000A7EDD"/>
    <w:rsid w:val="000B21A4"/>
    <w:rsid w:val="000B2C82"/>
    <w:rsid w:val="000B3655"/>
    <w:rsid w:val="000B5C27"/>
    <w:rsid w:val="000C5251"/>
    <w:rsid w:val="000C6FB9"/>
    <w:rsid w:val="000D1C5D"/>
    <w:rsid w:val="000E02E3"/>
    <w:rsid w:val="000E1314"/>
    <w:rsid w:val="000E4719"/>
    <w:rsid w:val="000E544D"/>
    <w:rsid w:val="000F039F"/>
    <w:rsid w:val="000F1C48"/>
    <w:rsid w:val="000F1FB4"/>
    <w:rsid w:val="000F4BCD"/>
    <w:rsid w:val="000F67D3"/>
    <w:rsid w:val="000F7D65"/>
    <w:rsid w:val="0010027E"/>
    <w:rsid w:val="001040D4"/>
    <w:rsid w:val="001054DE"/>
    <w:rsid w:val="00106B54"/>
    <w:rsid w:val="00112D23"/>
    <w:rsid w:val="001138E5"/>
    <w:rsid w:val="00114BCC"/>
    <w:rsid w:val="00117331"/>
    <w:rsid w:val="0013112F"/>
    <w:rsid w:val="0013122B"/>
    <w:rsid w:val="001318E8"/>
    <w:rsid w:val="00133EFC"/>
    <w:rsid w:val="00136FC7"/>
    <w:rsid w:val="00152470"/>
    <w:rsid w:val="00155147"/>
    <w:rsid w:val="00156F64"/>
    <w:rsid w:val="001605C3"/>
    <w:rsid w:val="001623CA"/>
    <w:rsid w:val="0016643A"/>
    <w:rsid w:val="0017192B"/>
    <w:rsid w:val="00174EF9"/>
    <w:rsid w:val="0017550E"/>
    <w:rsid w:val="00175593"/>
    <w:rsid w:val="00180503"/>
    <w:rsid w:val="00180F5F"/>
    <w:rsid w:val="001820CE"/>
    <w:rsid w:val="00183AF0"/>
    <w:rsid w:val="00187691"/>
    <w:rsid w:val="00190722"/>
    <w:rsid w:val="00193CB9"/>
    <w:rsid w:val="0019448C"/>
    <w:rsid w:val="00195609"/>
    <w:rsid w:val="001960C3"/>
    <w:rsid w:val="00197F31"/>
    <w:rsid w:val="001A0232"/>
    <w:rsid w:val="001A0810"/>
    <w:rsid w:val="001B4D66"/>
    <w:rsid w:val="001B742B"/>
    <w:rsid w:val="001C0292"/>
    <w:rsid w:val="001C1544"/>
    <w:rsid w:val="001C508E"/>
    <w:rsid w:val="001D0CA6"/>
    <w:rsid w:val="001D22B4"/>
    <w:rsid w:val="001D56B0"/>
    <w:rsid w:val="001E2542"/>
    <w:rsid w:val="001E3A16"/>
    <w:rsid w:val="001F650F"/>
    <w:rsid w:val="00206944"/>
    <w:rsid w:val="00213BD8"/>
    <w:rsid w:val="002143EA"/>
    <w:rsid w:val="002270BD"/>
    <w:rsid w:val="00236ACF"/>
    <w:rsid w:val="002448E6"/>
    <w:rsid w:val="002460E7"/>
    <w:rsid w:val="00253EF7"/>
    <w:rsid w:val="00256A64"/>
    <w:rsid w:val="0026194C"/>
    <w:rsid w:val="00263644"/>
    <w:rsid w:val="00266558"/>
    <w:rsid w:val="002711E7"/>
    <w:rsid w:val="00271DB5"/>
    <w:rsid w:val="0027514B"/>
    <w:rsid w:val="00276022"/>
    <w:rsid w:val="002829BA"/>
    <w:rsid w:val="00286A6A"/>
    <w:rsid w:val="002874CA"/>
    <w:rsid w:val="002931B6"/>
    <w:rsid w:val="002A05C8"/>
    <w:rsid w:val="002A4678"/>
    <w:rsid w:val="002A5BB8"/>
    <w:rsid w:val="002A5BDD"/>
    <w:rsid w:val="002B1DFF"/>
    <w:rsid w:val="002C2A84"/>
    <w:rsid w:val="002C40E9"/>
    <w:rsid w:val="002C7185"/>
    <w:rsid w:val="002C7A88"/>
    <w:rsid w:val="002D00FE"/>
    <w:rsid w:val="002D2406"/>
    <w:rsid w:val="002E4409"/>
    <w:rsid w:val="002E5D7F"/>
    <w:rsid w:val="00302056"/>
    <w:rsid w:val="003077D2"/>
    <w:rsid w:val="00317640"/>
    <w:rsid w:val="0032278C"/>
    <w:rsid w:val="0032479C"/>
    <w:rsid w:val="0032538C"/>
    <w:rsid w:val="00325F7E"/>
    <w:rsid w:val="00326F13"/>
    <w:rsid w:val="003313F7"/>
    <w:rsid w:val="003338C2"/>
    <w:rsid w:val="00352F0F"/>
    <w:rsid w:val="0035353F"/>
    <w:rsid w:val="00353E89"/>
    <w:rsid w:val="003578E2"/>
    <w:rsid w:val="003626F5"/>
    <w:rsid w:val="00362854"/>
    <w:rsid w:val="00366A2C"/>
    <w:rsid w:val="00373AF1"/>
    <w:rsid w:val="003826B5"/>
    <w:rsid w:val="00384DD1"/>
    <w:rsid w:val="00387081"/>
    <w:rsid w:val="003913D6"/>
    <w:rsid w:val="003A1615"/>
    <w:rsid w:val="003A27DC"/>
    <w:rsid w:val="003A2FF5"/>
    <w:rsid w:val="003A7C12"/>
    <w:rsid w:val="003B4642"/>
    <w:rsid w:val="003B4A7E"/>
    <w:rsid w:val="003B571A"/>
    <w:rsid w:val="003B6E49"/>
    <w:rsid w:val="003B70B9"/>
    <w:rsid w:val="003C110F"/>
    <w:rsid w:val="003C5E7E"/>
    <w:rsid w:val="003D1B6E"/>
    <w:rsid w:val="003D6110"/>
    <w:rsid w:val="003D6FF1"/>
    <w:rsid w:val="003D7E93"/>
    <w:rsid w:val="003E0DD2"/>
    <w:rsid w:val="003E2709"/>
    <w:rsid w:val="003E2A37"/>
    <w:rsid w:val="003E5A6C"/>
    <w:rsid w:val="003E7FA3"/>
    <w:rsid w:val="003F4F44"/>
    <w:rsid w:val="003F79F8"/>
    <w:rsid w:val="00400081"/>
    <w:rsid w:val="00400CC8"/>
    <w:rsid w:val="00401773"/>
    <w:rsid w:val="00405956"/>
    <w:rsid w:val="004059B3"/>
    <w:rsid w:val="00405A85"/>
    <w:rsid w:val="00416D05"/>
    <w:rsid w:val="004237F4"/>
    <w:rsid w:val="00425A0C"/>
    <w:rsid w:val="00430054"/>
    <w:rsid w:val="00431EEB"/>
    <w:rsid w:val="00437746"/>
    <w:rsid w:val="00443FFE"/>
    <w:rsid w:val="00445233"/>
    <w:rsid w:val="00450131"/>
    <w:rsid w:val="00453FA6"/>
    <w:rsid w:val="00456255"/>
    <w:rsid w:val="004563FE"/>
    <w:rsid w:val="00456462"/>
    <w:rsid w:val="00457006"/>
    <w:rsid w:val="00461118"/>
    <w:rsid w:val="00463D3D"/>
    <w:rsid w:val="004645ED"/>
    <w:rsid w:val="004657B3"/>
    <w:rsid w:val="00467BA2"/>
    <w:rsid w:val="00472781"/>
    <w:rsid w:val="00477249"/>
    <w:rsid w:val="00483F94"/>
    <w:rsid w:val="00486B9A"/>
    <w:rsid w:val="00490F37"/>
    <w:rsid w:val="004A01D0"/>
    <w:rsid w:val="004A1EAF"/>
    <w:rsid w:val="004A312B"/>
    <w:rsid w:val="004B40D5"/>
    <w:rsid w:val="004C1449"/>
    <w:rsid w:val="004C551F"/>
    <w:rsid w:val="004D3245"/>
    <w:rsid w:val="004F22FD"/>
    <w:rsid w:val="00502B7B"/>
    <w:rsid w:val="005038CE"/>
    <w:rsid w:val="00503EFA"/>
    <w:rsid w:val="005076CE"/>
    <w:rsid w:val="005109E0"/>
    <w:rsid w:val="00513724"/>
    <w:rsid w:val="00515931"/>
    <w:rsid w:val="005221E2"/>
    <w:rsid w:val="00523762"/>
    <w:rsid w:val="00525298"/>
    <w:rsid w:val="00525CC2"/>
    <w:rsid w:val="00526356"/>
    <w:rsid w:val="00530D17"/>
    <w:rsid w:val="00541007"/>
    <w:rsid w:val="00544DA8"/>
    <w:rsid w:val="0055116D"/>
    <w:rsid w:val="005531E7"/>
    <w:rsid w:val="0056204F"/>
    <w:rsid w:val="00564388"/>
    <w:rsid w:val="00567C59"/>
    <w:rsid w:val="00571F7C"/>
    <w:rsid w:val="00572B9C"/>
    <w:rsid w:val="005731F6"/>
    <w:rsid w:val="005821BB"/>
    <w:rsid w:val="00585383"/>
    <w:rsid w:val="0058541E"/>
    <w:rsid w:val="005901B1"/>
    <w:rsid w:val="0059060C"/>
    <w:rsid w:val="005926AB"/>
    <w:rsid w:val="00592F35"/>
    <w:rsid w:val="00595F7F"/>
    <w:rsid w:val="005967D2"/>
    <w:rsid w:val="005B0D72"/>
    <w:rsid w:val="005B1DD2"/>
    <w:rsid w:val="005B3FFA"/>
    <w:rsid w:val="005B6242"/>
    <w:rsid w:val="005C737B"/>
    <w:rsid w:val="005D760F"/>
    <w:rsid w:val="005E31F8"/>
    <w:rsid w:val="005E62DE"/>
    <w:rsid w:val="005F24E1"/>
    <w:rsid w:val="005F3485"/>
    <w:rsid w:val="005F5AF8"/>
    <w:rsid w:val="005F6E72"/>
    <w:rsid w:val="00600F06"/>
    <w:rsid w:val="00606C16"/>
    <w:rsid w:val="0061010F"/>
    <w:rsid w:val="00614508"/>
    <w:rsid w:val="006207BF"/>
    <w:rsid w:val="00621171"/>
    <w:rsid w:val="006223F6"/>
    <w:rsid w:val="00623CC1"/>
    <w:rsid w:val="00627091"/>
    <w:rsid w:val="006360B1"/>
    <w:rsid w:val="00641277"/>
    <w:rsid w:val="0064127F"/>
    <w:rsid w:val="00641ACE"/>
    <w:rsid w:val="00642798"/>
    <w:rsid w:val="00644F2F"/>
    <w:rsid w:val="00651BBA"/>
    <w:rsid w:val="006621A5"/>
    <w:rsid w:val="006724DC"/>
    <w:rsid w:val="00672590"/>
    <w:rsid w:val="006749F7"/>
    <w:rsid w:val="00675783"/>
    <w:rsid w:val="0068243F"/>
    <w:rsid w:val="006877E6"/>
    <w:rsid w:val="00691C64"/>
    <w:rsid w:val="0069791A"/>
    <w:rsid w:val="006A0FA4"/>
    <w:rsid w:val="006A1A38"/>
    <w:rsid w:val="006A2893"/>
    <w:rsid w:val="006B2230"/>
    <w:rsid w:val="006B351D"/>
    <w:rsid w:val="006B4830"/>
    <w:rsid w:val="006B7521"/>
    <w:rsid w:val="006C70AA"/>
    <w:rsid w:val="006D00A1"/>
    <w:rsid w:val="006D0282"/>
    <w:rsid w:val="006D1820"/>
    <w:rsid w:val="006D25F8"/>
    <w:rsid w:val="006E298A"/>
    <w:rsid w:val="006E63E0"/>
    <w:rsid w:val="006F2FB1"/>
    <w:rsid w:val="00700B21"/>
    <w:rsid w:val="00702068"/>
    <w:rsid w:val="00702B47"/>
    <w:rsid w:val="0070395C"/>
    <w:rsid w:val="00703BEE"/>
    <w:rsid w:val="00704025"/>
    <w:rsid w:val="0070556F"/>
    <w:rsid w:val="0070676B"/>
    <w:rsid w:val="007067B6"/>
    <w:rsid w:val="00710531"/>
    <w:rsid w:val="00712184"/>
    <w:rsid w:val="00713D88"/>
    <w:rsid w:val="00720AF5"/>
    <w:rsid w:val="00726412"/>
    <w:rsid w:val="00726CAF"/>
    <w:rsid w:val="00730750"/>
    <w:rsid w:val="007309EC"/>
    <w:rsid w:val="007345B9"/>
    <w:rsid w:val="007352D8"/>
    <w:rsid w:val="0075073F"/>
    <w:rsid w:val="007605A2"/>
    <w:rsid w:val="007607E0"/>
    <w:rsid w:val="00764BD8"/>
    <w:rsid w:val="0077042C"/>
    <w:rsid w:val="00770DBC"/>
    <w:rsid w:val="0077214E"/>
    <w:rsid w:val="00774C55"/>
    <w:rsid w:val="00776CF3"/>
    <w:rsid w:val="00777CFC"/>
    <w:rsid w:val="00781D71"/>
    <w:rsid w:val="007824F8"/>
    <w:rsid w:val="0078524E"/>
    <w:rsid w:val="00792FE7"/>
    <w:rsid w:val="0079468B"/>
    <w:rsid w:val="007971C6"/>
    <w:rsid w:val="007A493B"/>
    <w:rsid w:val="007A6259"/>
    <w:rsid w:val="007B0409"/>
    <w:rsid w:val="007B405A"/>
    <w:rsid w:val="007C1E1D"/>
    <w:rsid w:val="007C2943"/>
    <w:rsid w:val="007C41A8"/>
    <w:rsid w:val="007C7836"/>
    <w:rsid w:val="007D1C08"/>
    <w:rsid w:val="007D2A01"/>
    <w:rsid w:val="007D57CE"/>
    <w:rsid w:val="007D75B6"/>
    <w:rsid w:val="007D7750"/>
    <w:rsid w:val="007E5748"/>
    <w:rsid w:val="007F0F41"/>
    <w:rsid w:val="007F1128"/>
    <w:rsid w:val="007F3AA7"/>
    <w:rsid w:val="007F4A97"/>
    <w:rsid w:val="007F5B68"/>
    <w:rsid w:val="007F65D8"/>
    <w:rsid w:val="00805924"/>
    <w:rsid w:val="00812503"/>
    <w:rsid w:val="00815A97"/>
    <w:rsid w:val="0081768B"/>
    <w:rsid w:val="00821B00"/>
    <w:rsid w:val="008222FF"/>
    <w:rsid w:val="00823265"/>
    <w:rsid w:val="008319BE"/>
    <w:rsid w:val="00832F46"/>
    <w:rsid w:val="00834DF6"/>
    <w:rsid w:val="00835593"/>
    <w:rsid w:val="0084003F"/>
    <w:rsid w:val="00844983"/>
    <w:rsid w:val="00844E15"/>
    <w:rsid w:val="008472A7"/>
    <w:rsid w:val="008728C5"/>
    <w:rsid w:val="00882065"/>
    <w:rsid w:val="008911FE"/>
    <w:rsid w:val="00895C03"/>
    <w:rsid w:val="00896582"/>
    <w:rsid w:val="008A09DD"/>
    <w:rsid w:val="008A1303"/>
    <w:rsid w:val="008A6242"/>
    <w:rsid w:val="008C0057"/>
    <w:rsid w:val="008C3AC4"/>
    <w:rsid w:val="008C7CCC"/>
    <w:rsid w:val="008C7CEB"/>
    <w:rsid w:val="008D0261"/>
    <w:rsid w:val="008D1F25"/>
    <w:rsid w:val="008D79EB"/>
    <w:rsid w:val="008E7E10"/>
    <w:rsid w:val="008F1129"/>
    <w:rsid w:val="008F7B56"/>
    <w:rsid w:val="00901C83"/>
    <w:rsid w:val="0090283D"/>
    <w:rsid w:val="00904B84"/>
    <w:rsid w:val="00910650"/>
    <w:rsid w:val="00920828"/>
    <w:rsid w:val="00925D58"/>
    <w:rsid w:val="00936BE8"/>
    <w:rsid w:val="00946E3E"/>
    <w:rsid w:val="0095322B"/>
    <w:rsid w:val="00953629"/>
    <w:rsid w:val="009552E9"/>
    <w:rsid w:val="0096100D"/>
    <w:rsid w:val="00961BE9"/>
    <w:rsid w:val="009630E3"/>
    <w:rsid w:val="009653B0"/>
    <w:rsid w:val="00966467"/>
    <w:rsid w:val="00967045"/>
    <w:rsid w:val="00970122"/>
    <w:rsid w:val="00981220"/>
    <w:rsid w:val="00984865"/>
    <w:rsid w:val="009931D3"/>
    <w:rsid w:val="009937F0"/>
    <w:rsid w:val="00996285"/>
    <w:rsid w:val="009A1F50"/>
    <w:rsid w:val="009B11CB"/>
    <w:rsid w:val="009B1CE8"/>
    <w:rsid w:val="009B3038"/>
    <w:rsid w:val="009B7DCA"/>
    <w:rsid w:val="009C442D"/>
    <w:rsid w:val="009C59D2"/>
    <w:rsid w:val="009D333D"/>
    <w:rsid w:val="009D4FE8"/>
    <w:rsid w:val="009D62FC"/>
    <w:rsid w:val="009D7952"/>
    <w:rsid w:val="009E52CA"/>
    <w:rsid w:val="009E7337"/>
    <w:rsid w:val="009F1FCA"/>
    <w:rsid w:val="009F6038"/>
    <w:rsid w:val="00A032D7"/>
    <w:rsid w:val="00A05812"/>
    <w:rsid w:val="00A05F15"/>
    <w:rsid w:val="00A10B63"/>
    <w:rsid w:val="00A1306D"/>
    <w:rsid w:val="00A1488C"/>
    <w:rsid w:val="00A16E4C"/>
    <w:rsid w:val="00A33154"/>
    <w:rsid w:val="00A33B2C"/>
    <w:rsid w:val="00A33EC1"/>
    <w:rsid w:val="00A35464"/>
    <w:rsid w:val="00A42BBA"/>
    <w:rsid w:val="00A5329B"/>
    <w:rsid w:val="00A6112F"/>
    <w:rsid w:val="00A6158E"/>
    <w:rsid w:val="00A65126"/>
    <w:rsid w:val="00A6682E"/>
    <w:rsid w:val="00A72525"/>
    <w:rsid w:val="00A75960"/>
    <w:rsid w:val="00A76B73"/>
    <w:rsid w:val="00A92BFF"/>
    <w:rsid w:val="00A97B1F"/>
    <w:rsid w:val="00AA0095"/>
    <w:rsid w:val="00AA1B8E"/>
    <w:rsid w:val="00AA3642"/>
    <w:rsid w:val="00AA6385"/>
    <w:rsid w:val="00AA7F1C"/>
    <w:rsid w:val="00AB7D8E"/>
    <w:rsid w:val="00AC3125"/>
    <w:rsid w:val="00AC4855"/>
    <w:rsid w:val="00AC5F9A"/>
    <w:rsid w:val="00AC6FCE"/>
    <w:rsid w:val="00AD13AA"/>
    <w:rsid w:val="00AD2AA8"/>
    <w:rsid w:val="00AD426B"/>
    <w:rsid w:val="00AD4CB6"/>
    <w:rsid w:val="00AD613C"/>
    <w:rsid w:val="00AD6FC3"/>
    <w:rsid w:val="00AD7A41"/>
    <w:rsid w:val="00AD7A58"/>
    <w:rsid w:val="00AE24C6"/>
    <w:rsid w:val="00AE26EB"/>
    <w:rsid w:val="00AE3D26"/>
    <w:rsid w:val="00AF1121"/>
    <w:rsid w:val="00B00BB0"/>
    <w:rsid w:val="00B01E84"/>
    <w:rsid w:val="00B07E53"/>
    <w:rsid w:val="00B1103F"/>
    <w:rsid w:val="00B1168C"/>
    <w:rsid w:val="00B1341F"/>
    <w:rsid w:val="00B228E7"/>
    <w:rsid w:val="00B2305D"/>
    <w:rsid w:val="00B255A3"/>
    <w:rsid w:val="00B26424"/>
    <w:rsid w:val="00B30B02"/>
    <w:rsid w:val="00B36EEB"/>
    <w:rsid w:val="00B374F3"/>
    <w:rsid w:val="00B43248"/>
    <w:rsid w:val="00B43FE7"/>
    <w:rsid w:val="00B508A4"/>
    <w:rsid w:val="00B516F9"/>
    <w:rsid w:val="00B6520C"/>
    <w:rsid w:val="00B71A09"/>
    <w:rsid w:val="00B738E1"/>
    <w:rsid w:val="00B77FC9"/>
    <w:rsid w:val="00B841CE"/>
    <w:rsid w:val="00B84C3A"/>
    <w:rsid w:val="00B85A75"/>
    <w:rsid w:val="00B876AD"/>
    <w:rsid w:val="00B90944"/>
    <w:rsid w:val="00B90D1B"/>
    <w:rsid w:val="00B90E5C"/>
    <w:rsid w:val="00B922CD"/>
    <w:rsid w:val="00B93676"/>
    <w:rsid w:val="00BA0DF6"/>
    <w:rsid w:val="00BA10CB"/>
    <w:rsid w:val="00BA2579"/>
    <w:rsid w:val="00BA38A0"/>
    <w:rsid w:val="00BA43E4"/>
    <w:rsid w:val="00BA4AE6"/>
    <w:rsid w:val="00BB5CAE"/>
    <w:rsid w:val="00BC71D9"/>
    <w:rsid w:val="00BD03D8"/>
    <w:rsid w:val="00BD0E78"/>
    <w:rsid w:val="00BD188C"/>
    <w:rsid w:val="00BE06CF"/>
    <w:rsid w:val="00BE1F0C"/>
    <w:rsid w:val="00BE3517"/>
    <w:rsid w:val="00BE54B0"/>
    <w:rsid w:val="00BE5D86"/>
    <w:rsid w:val="00BE637B"/>
    <w:rsid w:val="00BE6D76"/>
    <w:rsid w:val="00BF36DB"/>
    <w:rsid w:val="00BF6B06"/>
    <w:rsid w:val="00BF73BB"/>
    <w:rsid w:val="00C01EAB"/>
    <w:rsid w:val="00C04569"/>
    <w:rsid w:val="00C1252E"/>
    <w:rsid w:val="00C137E0"/>
    <w:rsid w:val="00C139B5"/>
    <w:rsid w:val="00C20B66"/>
    <w:rsid w:val="00C21414"/>
    <w:rsid w:val="00C22272"/>
    <w:rsid w:val="00C24DDA"/>
    <w:rsid w:val="00C25BA3"/>
    <w:rsid w:val="00C4199D"/>
    <w:rsid w:val="00C45CF6"/>
    <w:rsid w:val="00C47A5E"/>
    <w:rsid w:val="00C50914"/>
    <w:rsid w:val="00C53F9A"/>
    <w:rsid w:val="00C546FB"/>
    <w:rsid w:val="00C56E96"/>
    <w:rsid w:val="00C612E0"/>
    <w:rsid w:val="00C61C30"/>
    <w:rsid w:val="00C648C8"/>
    <w:rsid w:val="00C64A5E"/>
    <w:rsid w:val="00C64CD4"/>
    <w:rsid w:val="00C65371"/>
    <w:rsid w:val="00C66505"/>
    <w:rsid w:val="00C70D94"/>
    <w:rsid w:val="00C72418"/>
    <w:rsid w:val="00C73C3E"/>
    <w:rsid w:val="00C75280"/>
    <w:rsid w:val="00C77456"/>
    <w:rsid w:val="00C80D3C"/>
    <w:rsid w:val="00C824E0"/>
    <w:rsid w:val="00C87446"/>
    <w:rsid w:val="00C90A80"/>
    <w:rsid w:val="00C94C3D"/>
    <w:rsid w:val="00C96E06"/>
    <w:rsid w:val="00CA04F6"/>
    <w:rsid w:val="00CA0B49"/>
    <w:rsid w:val="00CA106A"/>
    <w:rsid w:val="00CA113B"/>
    <w:rsid w:val="00CA30A0"/>
    <w:rsid w:val="00CA79FD"/>
    <w:rsid w:val="00CB24A9"/>
    <w:rsid w:val="00CB4665"/>
    <w:rsid w:val="00CB6E7F"/>
    <w:rsid w:val="00CC0F66"/>
    <w:rsid w:val="00CC4B11"/>
    <w:rsid w:val="00CD13A8"/>
    <w:rsid w:val="00CD4989"/>
    <w:rsid w:val="00CD4C3D"/>
    <w:rsid w:val="00CD5264"/>
    <w:rsid w:val="00CD5FC1"/>
    <w:rsid w:val="00CD6449"/>
    <w:rsid w:val="00CD67FC"/>
    <w:rsid w:val="00CD7482"/>
    <w:rsid w:val="00CE6FB6"/>
    <w:rsid w:val="00CF2DC0"/>
    <w:rsid w:val="00D01614"/>
    <w:rsid w:val="00D02292"/>
    <w:rsid w:val="00D043FE"/>
    <w:rsid w:val="00D075D0"/>
    <w:rsid w:val="00D10784"/>
    <w:rsid w:val="00D123C1"/>
    <w:rsid w:val="00D226A1"/>
    <w:rsid w:val="00D25BFB"/>
    <w:rsid w:val="00D315F9"/>
    <w:rsid w:val="00D31DA0"/>
    <w:rsid w:val="00D34529"/>
    <w:rsid w:val="00D44D36"/>
    <w:rsid w:val="00D46C56"/>
    <w:rsid w:val="00D46CCC"/>
    <w:rsid w:val="00D516A1"/>
    <w:rsid w:val="00D53DE0"/>
    <w:rsid w:val="00D544B9"/>
    <w:rsid w:val="00D552C3"/>
    <w:rsid w:val="00D577EE"/>
    <w:rsid w:val="00D57DE1"/>
    <w:rsid w:val="00D726C3"/>
    <w:rsid w:val="00D76CE0"/>
    <w:rsid w:val="00D84FC8"/>
    <w:rsid w:val="00D94566"/>
    <w:rsid w:val="00D96874"/>
    <w:rsid w:val="00DA19A9"/>
    <w:rsid w:val="00DA3411"/>
    <w:rsid w:val="00DB1B95"/>
    <w:rsid w:val="00DB40D2"/>
    <w:rsid w:val="00DB5C64"/>
    <w:rsid w:val="00DB75AB"/>
    <w:rsid w:val="00DC2DFB"/>
    <w:rsid w:val="00DC30EB"/>
    <w:rsid w:val="00DD0169"/>
    <w:rsid w:val="00DD1BE9"/>
    <w:rsid w:val="00DD44E3"/>
    <w:rsid w:val="00DD4BA8"/>
    <w:rsid w:val="00DD6FE1"/>
    <w:rsid w:val="00DE15EF"/>
    <w:rsid w:val="00DE198F"/>
    <w:rsid w:val="00DE711D"/>
    <w:rsid w:val="00DE73F5"/>
    <w:rsid w:val="00DF5FFF"/>
    <w:rsid w:val="00DF6D10"/>
    <w:rsid w:val="00DF752D"/>
    <w:rsid w:val="00E00BC4"/>
    <w:rsid w:val="00E01AD2"/>
    <w:rsid w:val="00E02548"/>
    <w:rsid w:val="00E04860"/>
    <w:rsid w:val="00E116E1"/>
    <w:rsid w:val="00E1213A"/>
    <w:rsid w:val="00E1349F"/>
    <w:rsid w:val="00E15831"/>
    <w:rsid w:val="00E24927"/>
    <w:rsid w:val="00E27559"/>
    <w:rsid w:val="00E337DE"/>
    <w:rsid w:val="00E33BA5"/>
    <w:rsid w:val="00E40891"/>
    <w:rsid w:val="00E40C9D"/>
    <w:rsid w:val="00E42E5F"/>
    <w:rsid w:val="00E44172"/>
    <w:rsid w:val="00E47832"/>
    <w:rsid w:val="00E536F0"/>
    <w:rsid w:val="00E54EE3"/>
    <w:rsid w:val="00E60E7E"/>
    <w:rsid w:val="00E73F5D"/>
    <w:rsid w:val="00E76440"/>
    <w:rsid w:val="00E80429"/>
    <w:rsid w:val="00E87D10"/>
    <w:rsid w:val="00E9007E"/>
    <w:rsid w:val="00E93BA4"/>
    <w:rsid w:val="00E94E0E"/>
    <w:rsid w:val="00EA06B3"/>
    <w:rsid w:val="00EA43D1"/>
    <w:rsid w:val="00EA7E17"/>
    <w:rsid w:val="00EB078B"/>
    <w:rsid w:val="00EC0918"/>
    <w:rsid w:val="00ED24E4"/>
    <w:rsid w:val="00ED2B5D"/>
    <w:rsid w:val="00ED3A50"/>
    <w:rsid w:val="00EE02B0"/>
    <w:rsid w:val="00EE18F4"/>
    <w:rsid w:val="00EE3504"/>
    <w:rsid w:val="00EF571E"/>
    <w:rsid w:val="00F043A5"/>
    <w:rsid w:val="00F14D10"/>
    <w:rsid w:val="00F16A89"/>
    <w:rsid w:val="00F227A0"/>
    <w:rsid w:val="00F26233"/>
    <w:rsid w:val="00F27625"/>
    <w:rsid w:val="00F3228E"/>
    <w:rsid w:val="00F3239A"/>
    <w:rsid w:val="00F32DA5"/>
    <w:rsid w:val="00F32E6D"/>
    <w:rsid w:val="00F44BBE"/>
    <w:rsid w:val="00F50490"/>
    <w:rsid w:val="00F50FAE"/>
    <w:rsid w:val="00F54D39"/>
    <w:rsid w:val="00F718EE"/>
    <w:rsid w:val="00F72636"/>
    <w:rsid w:val="00F74004"/>
    <w:rsid w:val="00F76D99"/>
    <w:rsid w:val="00F777FF"/>
    <w:rsid w:val="00F82545"/>
    <w:rsid w:val="00F83E8C"/>
    <w:rsid w:val="00F85B5B"/>
    <w:rsid w:val="00FA38DD"/>
    <w:rsid w:val="00FC238A"/>
    <w:rsid w:val="00FC4CC7"/>
    <w:rsid w:val="00FD3FD3"/>
    <w:rsid w:val="00FD6283"/>
    <w:rsid w:val="00FD734F"/>
    <w:rsid w:val="00FD7B20"/>
    <w:rsid w:val="00FD7EF2"/>
    <w:rsid w:val="00FE15F4"/>
    <w:rsid w:val="00FE247E"/>
    <w:rsid w:val="00FE3A8E"/>
    <w:rsid w:val="00FE73AF"/>
    <w:rsid w:val="00FF11EA"/>
    <w:rsid w:val="00FF3730"/>
    <w:rsid w:val="00FF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8F4D"/>
  <w15:chartTrackingRefBased/>
  <w15:docId w15:val="{71155009-2C97-4677-8E3D-205CB9CF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27E"/>
    <w:rPr>
      <w:color w:val="0000FF"/>
      <w:u w:val="single"/>
    </w:rPr>
  </w:style>
  <w:style w:type="character" w:styleId="FollowedHyperlink">
    <w:name w:val="FollowedHyperlink"/>
    <w:basedOn w:val="DefaultParagraphFont"/>
    <w:uiPriority w:val="99"/>
    <w:semiHidden/>
    <w:unhideWhenUsed/>
    <w:rsid w:val="0027514B"/>
    <w:rPr>
      <w:color w:val="954F72" w:themeColor="followedHyperlink"/>
      <w:u w:val="single"/>
    </w:rPr>
  </w:style>
  <w:style w:type="table" w:styleId="TableGrid">
    <w:name w:val="Table Grid"/>
    <w:basedOn w:val="TableNormal"/>
    <w:uiPriority w:val="39"/>
    <w:rsid w:val="00BF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C7241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1820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508A4"/>
    <w:pPr>
      <w:ind w:left="720"/>
      <w:contextualSpacing/>
    </w:pPr>
  </w:style>
  <w:style w:type="character" w:styleId="LineNumber">
    <w:name w:val="line number"/>
    <w:basedOn w:val="DefaultParagraphFont"/>
    <w:uiPriority w:val="99"/>
    <w:semiHidden/>
    <w:unhideWhenUsed/>
    <w:rsid w:val="00D46C56"/>
  </w:style>
  <w:style w:type="character" w:styleId="UnresolvedMention">
    <w:name w:val="Unresolved Mention"/>
    <w:basedOn w:val="DefaultParagraphFont"/>
    <w:uiPriority w:val="99"/>
    <w:semiHidden/>
    <w:unhideWhenUsed/>
    <w:rsid w:val="004C551F"/>
    <w:rPr>
      <w:color w:val="605E5C"/>
      <w:shd w:val="clear" w:color="auto" w:fill="E1DFDD"/>
    </w:rPr>
  </w:style>
  <w:style w:type="table" w:styleId="ListTable2">
    <w:name w:val="List Table 2"/>
    <w:basedOn w:val="TableNormal"/>
    <w:uiPriority w:val="47"/>
    <w:rsid w:val="002931B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3">
    <w:name w:val="Grid Table 6 Colorful Accent 3"/>
    <w:basedOn w:val="TableNormal"/>
    <w:uiPriority w:val="51"/>
    <w:rsid w:val="0040008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object">
    <w:name w:val="object"/>
    <w:basedOn w:val="DefaultParagraphFont"/>
    <w:rsid w:val="00710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16449">
      <w:bodyDiv w:val="1"/>
      <w:marLeft w:val="0"/>
      <w:marRight w:val="0"/>
      <w:marTop w:val="0"/>
      <w:marBottom w:val="0"/>
      <w:divBdr>
        <w:top w:val="none" w:sz="0" w:space="0" w:color="auto"/>
        <w:left w:val="none" w:sz="0" w:space="0" w:color="auto"/>
        <w:bottom w:val="none" w:sz="0" w:space="0" w:color="auto"/>
        <w:right w:val="none" w:sz="0" w:space="0" w:color="auto"/>
      </w:divBdr>
    </w:div>
    <w:div w:id="382482295">
      <w:bodyDiv w:val="1"/>
      <w:marLeft w:val="0"/>
      <w:marRight w:val="0"/>
      <w:marTop w:val="0"/>
      <w:marBottom w:val="0"/>
      <w:divBdr>
        <w:top w:val="none" w:sz="0" w:space="0" w:color="auto"/>
        <w:left w:val="none" w:sz="0" w:space="0" w:color="auto"/>
        <w:bottom w:val="none" w:sz="0" w:space="0" w:color="auto"/>
        <w:right w:val="none" w:sz="0" w:space="0" w:color="auto"/>
      </w:divBdr>
      <w:divsChild>
        <w:div w:id="1396277005">
          <w:marLeft w:val="0"/>
          <w:marRight w:val="0"/>
          <w:marTop w:val="0"/>
          <w:marBottom w:val="0"/>
          <w:divBdr>
            <w:top w:val="none" w:sz="0" w:space="0" w:color="auto"/>
            <w:left w:val="none" w:sz="0" w:space="0" w:color="auto"/>
            <w:bottom w:val="none" w:sz="0" w:space="0" w:color="auto"/>
            <w:right w:val="none" w:sz="0" w:space="0" w:color="auto"/>
          </w:divBdr>
        </w:div>
        <w:div w:id="815486434">
          <w:marLeft w:val="0"/>
          <w:marRight w:val="0"/>
          <w:marTop w:val="0"/>
          <w:marBottom w:val="0"/>
          <w:divBdr>
            <w:top w:val="none" w:sz="0" w:space="0" w:color="auto"/>
            <w:left w:val="none" w:sz="0" w:space="0" w:color="auto"/>
            <w:bottom w:val="none" w:sz="0" w:space="0" w:color="auto"/>
            <w:right w:val="none" w:sz="0" w:space="0" w:color="auto"/>
          </w:divBdr>
        </w:div>
        <w:div w:id="1327703458">
          <w:marLeft w:val="0"/>
          <w:marRight w:val="0"/>
          <w:marTop w:val="0"/>
          <w:marBottom w:val="0"/>
          <w:divBdr>
            <w:top w:val="none" w:sz="0" w:space="0" w:color="auto"/>
            <w:left w:val="none" w:sz="0" w:space="0" w:color="auto"/>
            <w:bottom w:val="none" w:sz="0" w:space="0" w:color="auto"/>
            <w:right w:val="none" w:sz="0" w:space="0" w:color="auto"/>
          </w:divBdr>
        </w:div>
        <w:div w:id="1343125039">
          <w:marLeft w:val="0"/>
          <w:marRight w:val="0"/>
          <w:marTop w:val="0"/>
          <w:marBottom w:val="0"/>
          <w:divBdr>
            <w:top w:val="none" w:sz="0" w:space="0" w:color="auto"/>
            <w:left w:val="none" w:sz="0" w:space="0" w:color="auto"/>
            <w:bottom w:val="none" w:sz="0" w:space="0" w:color="auto"/>
            <w:right w:val="none" w:sz="0" w:space="0" w:color="auto"/>
          </w:divBdr>
        </w:div>
      </w:divsChild>
    </w:div>
    <w:div w:id="15084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rep.geomar.de/id/eprint/57087/"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jbeck\Dropbox\Work%20GEOMAR\04_Manuscripts\2022_Kati_Hg-fulminate\220627_FH_HGdissol_re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2967117284417"/>
          <c:y val="5.3107851498297005E-2"/>
          <c:w val="0.67649490833513359"/>
          <c:h val="0.7586345559540929"/>
        </c:manualLayout>
      </c:layout>
      <c:scatterChart>
        <c:scatterStyle val="lineMarker"/>
        <c:varyColors val="0"/>
        <c:ser>
          <c:idx val="4"/>
          <c:order val="0"/>
          <c:tx>
            <c:v>5°C</c:v>
          </c:tx>
          <c:spPr>
            <a:ln w="28575" cap="rnd">
              <a:noFill/>
              <a:round/>
            </a:ln>
            <a:effectLst/>
          </c:spPr>
          <c:marker>
            <c:symbol val="circle"/>
            <c:size val="7"/>
            <c:spPr>
              <a:solidFill>
                <a:schemeClr val="tx1"/>
              </a:solidFill>
              <a:ln>
                <a:solidFill>
                  <a:schemeClr val="tx1"/>
                </a:solidFill>
              </a:ln>
            </c:spPr>
          </c:marker>
          <c:trendline>
            <c:trendlineType val="linear"/>
            <c:dispRSqr val="1"/>
            <c:dispEq val="1"/>
            <c:trendlineLbl>
              <c:layout>
                <c:manualLayout>
                  <c:x val="2.867699721073182E-2"/>
                  <c:y val="0.16725608015503354"/>
                </c:manualLayout>
              </c:layout>
              <c:tx>
                <c:rich>
                  <a:bodyPr/>
                  <a:lstStyle/>
                  <a:p>
                    <a:pPr>
                      <a:defRPr sz="1050"/>
                    </a:pPr>
                    <a:r>
                      <a:rPr lang="en-US" sz="1050" baseline="0"/>
                      <a:t>y = 28x + 17</a:t>
                    </a:r>
                    <a:br>
                      <a:rPr lang="en-US" sz="1050" baseline="0"/>
                    </a:br>
                    <a:r>
                      <a:rPr lang="en-US" sz="1050" baseline="0"/>
                      <a:t>R² = 0.99</a:t>
                    </a:r>
                    <a:endParaRPr lang="en-US" sz="1050"/>
                  </a:p>
                </c:rich>
              </c:tx>
              <c:numFmt formatCode="General" sourceLinked="0"/>
            </c:trendlineLbl>
          </c:trendline>
          <c:xVal>
            <c:numRef>
              <c:f>NewCalcs!$D$5:$J$5</c:f>
              <c:numCache>
                <c:formatCode>General</c:formatCode>
                <c:ptCount val="7"/>
                <c:pt idx="1">
                  <c:v>4.1666666664241347E-2</c:v>
                </c:pt>
                <c:pt idx="2">
                  <c:v>0.21875</c:v>
                </c:pt>
                <c:pt idx="3">
                  <c:v>1.0416666666642413</c:v>
                </c:pt>
                <c:pt idx="4">
                  <c:v>1.2291666666642413</c:v>
                </c:pt>
                <c:pt idx="5">
                  <c:v>1.9895833333357587</c:v>
                </c:pt>
                <c:pt idx="6">
                  <c:v>2.21875</c:v>
                </c:pt>
              </c:numCache>
            </c:numRef>
          </c:xVal>
          <c:yVal>
            <c:numRef>
              <c:f>NewCalcs!$D$23:$J$23</c:f>
              <c:numCache>
                <c:formatCode>0.0</c:formatCode>
                <c:ptCount val="7"/>
                <c:pt idx="1">
                  <c:v>17.74689790748506</c:v>
                </c:pt>
                <c:pt idx="2">
                  <c:v>25.483647656300402</c:v>
                </c:pt>
                <c:pt idx="3">
                  <c:v>43.295673515503722</c:v>
                </c:pt>
                <c:pt idx="4">
                  <c:v>54.383746139710716</c:v>
                </c:pt>
                <c:pt idx="5">
                  <c:v>75.729281026952762</c:v>
                </c:pt>
                <c:pt idx="6">
                  <c:v>80.014313645220852</c:v>
                </c:pt>
              </c:numCache>
            </c:numRef>
          </c:yVal>
          <c:smooth val="0"/>
          <c:extLst>
            <c:ext xmlns:c16="http://schemas.microsoft.com/office/drawing/2014/chart" uri="{C3380CC4-5D6E-409C-BE32-E72D297353CC}">
              <c16:uniqueId val="{00000001-C355-4355-8566-0E306BF6160D}"/>
            </c:ext>
          </c:extLst>
        </c:ser>
        <c:ser>
          <c:idx val="5"/>
          <c:order val="1"/>
          <c:tx>
            <c:v>20°C</c:v>
          </c:tx>
          <c:spPr>
            <a:ln w="28575" cap="rnd">
              <a:noFill/>
              <a:round/>
            </a:ln>
            <a:effectLst/>
          </c:spPr>
          <c:marker>
            <c:symbol val="triangle"/>
            <c:size val="7"/>
            <c:spPr>
              <a:solidFill>
                <a:schemeClr val="bg1"/>
              </a:solidFill>
              <a:ln>
                <a:solidFill>
                  <a:schemeClr val="tx1"/>
                </a:solidFill>
              </a:ln>
            </c:spPr>
          </c:marker>
          <c:xVal>
            <c:numRef>
              <c:f>NewCalcs!$D$5:$J$5</c:f>
              <c:numCache>
                <c:formatCode>General</c:formatCode>
                <c:ptCount val="7"/>
                <c:pt idx="1">
                  <c:v>4.1666666664241347E-2</c:v>
                </c:pt>
                <c:pt idx="2">
                  <c:v>0.21875</c:v>
                </c:pt>
                <c:pt idx="3">
                  <c:v>1.0416666666642413</c:v>
                </c:pt>
                <c:pt idx="4">
                  <c:v>1.2291666666642413</c:v>
                </c:pt>
                <c:pt idx="5">
                  <c:v>1.9895833333357587</c:v>
                </c:pt>
                <c:pt idx="6">
                  <c:v>2.21875</c:v>
                </c:pt>
              </c:numCache>
            </c:numRef>
          </c:xVal>
          <c:yVal>
            <c:numRef>
              <c:f>NewCalcs!$D$10:$J$10</c:f>
              <c:numCache>
                <c:formatCode>0.0</c:formatCode>
                <c:ptCount val="7"/>
                <c:pt idx="1">
                  <c:v>28.344815294145498</c:v>
                </c:pt>
                <c:pt idx="2">
                  <c:v>57.380828583053606</c:v>
                </c:pt>
                <c:pt idx="3">
                  <c:v>115.21176910197003</c:v>
                </c:pt>
                <c:pt idx="4">
                  <c:v>142.6300891921982</c:v>
                </c:pt>
                <c:pt idx="5">
                  <c:v>150.00678373879268</c:v>
                </c:pt>
                <c:pt idx="6">
                  <c:v>148.83875133732403</c:v>
                </c:pt>
              </c:numCache>
            </c:numRef>
          </c:yVal>
          <c:smooth val="0"/>
          <c:extLst>
            <c:ext xmlns:c16="http://schemas.microsoft.com/office/drawing/2014/chart" uri="{C3380CC4-5D6E-409C-BE32-E72D297353CC}">
              <c16:uniqueId val="{00000002-C355-4355-8566-0E306BF6160D}"/>
            </c:ext>
          </c:extLst>
        </c:ser>
        <c:ser>
          <c:idx val="3"/>
          <c:order val="2"/>
          <c:tx>
            <c:v>30°C</c:v>
          </c:tx>
          <c:spPr>
            <a:ln w="28575">
              <a:noFill/>
            </a:ln>
          </c:spPr>
          <c:marker>
            <c:symbol val="diamond"/>
            <c:size val="7"/>
            <c:spPr>
              <a:solidFill>
                <a:schemeClr val="tx1"/>
              </a:solidFill>
              <a:ln>
                <a:solidFill>
                  <a:schemeClr val="tx1"/>
                </a:solidFill>
              </a:ln>
            </c:spPr>
          </c:marker>
          <c:xVal>
            <c:numRef>
              <c:f>NewCalcs!$D$5:$J$5</c:f>
              <c:numCache>
                <c:formatCode>General</c:formatCode>
                <c:ptCount val="7"/>
                <c:pt idx="1">
                  <c:v>4.1666666664241347E-2</c:v>
                </c:pt>
                <c:pt idx="2">
                  <c:v>0.21875</c:v>
                </c:pt>
                <c:pt idx="3">
                  <c:v>1.0416666666642413</c:v>
                </c:pt>
                <c:pt idx="4">
                  <c:v>1.2291666666642413</c:v>
                </c:pt>
                <c:pt idx="5">
                  <c:v>1.9895833333357587</c:v>
                </c:pt>
                <c:pt idx="6">
                  <c:v>2.21875</c:v>
                </c:pt>
              </c:numCache>
            </c:numRef>
          </c:xVal>
          <c:yVal>
            <c:numRef>
              <c:f>NewCalcs!$D$36:$J$36</c:f>
              <c:numCache>
                <c:formatCode>0.0</c:formatCode>
                <c:ptCount val="7"/>
                <c:pt idx="1">
                  <c:v>68.508955615530425</c:v>
                </c:pt>
                <c:pt idx="2">
                  <c:v>110.40465011674996</c:v>
                </c:pt>
                <c:pt idx="3">
                  <c:v>145.09835369577019</c:v>
                </c:pt>
                <c:pt idx="4">
                  <c:v>142.28731952072698</c:v>
                </c:pt>
                <c:pt idx="5">
                  <c:v>145.0776554135586</c:v>
                </c:pt>
                <c:pt idx="6">
                  <c:v>143.74744291791242</c:v>
                </c:pt>
              </c:numCache>
            </c:numRef>
          </c:yVal>
          <c:smooth val="0"/>
          <c:extLst>
            <c:ext xmlns:c16="http://schemas.microsoft.com/office/drawing/2014/chart" uri="{C3380CC4-5D6E-409C-BE32-E72D297353CC}">
              <c16:uniqueId val="{00000003-C355-4355-8566-0E306BF6160D}"/>
            </c:ext>
          </c:extLst>
        </c:ser>
        <c:ser>
          <c:idx val="1"/>
          <c:order val="3"/>
          <c:spPr>
            <a:ln w="28575">
              <a:noFill/>
            </a:ln>
          </c:spPr>
          <c:marker>
            <c:symbol val="none"/>
          </c:marker>
          <c:trendline>
            <c:trendlineType val="linear"/>
            <c:dispRSqr val="1"/>
            <c:dispEq val="1"/>
            <c:trendlineLbl>
              <c:layout>
                <c:manualLayout>
                  <c:x val="0.14457220756582342"/>
                  <c:y val="-7.8388388796592975E-2"/>
                </c:manualLayout>
              </c:layout>
              <c:tx>
                <c:rich>
                  <a:bodyPr/>
                  <a:lstStyle/>
                  <a:p>
                    <a:pPr>
                      <a:defRPr/>
                    </a:pPr>
                    <a:r>
                      <a:rPr lang="en-US" baseline="0"/>
                      <a:t>y = 236x + 58</a:t>
                    </a:r>
                    <a:endParaRPr lang="en-US"/>
                  </a:p>
                </c:rich>
              </c:tx>
              <c:numFmt formatCode="#,##0.00" sourceLinked="0"/>
            </c:trendlineLbl>
          </c:trendline>
          <c:xVal>
            <c:numRef>
              <c:f>NewCalcs!$D$5:$J$5</c:f>
              <c:numCache>
                <c:formatCode>General</c:formatCode>
                <c:ptCount val="7"/>
                <c:pt idx="1">
                  <c:v>4.1666666664241347E-2</c:v>
                </c:pt>
                <c:pt idx="2">
                  <c:v>0.21875</c:v>
                </c:pt>
                <c:pt idx="3">
                  <c:v>1.0416666666642413</c:v>
                </c:pt>
                <c:pt idx="4">
                  <c:v>1.2291666666642413</c:v>
                </c:pt>
                <c:pt idx="5">
                  <c:v>1.9895833333357587</c:v>
                </c:pt>
                <c:pt idx="6">
                  <c:v>2.21875</c:v>
                </c:pt>
              </c:numCache>
            </c:numRef>
          </c:xVal>
          <c:yVal>
            <c:numRef>
              <c:f>NewCalcs!$D$36:$F$36</c:f>
              <c:numCache>
                <c:formatCode>0.0</c:formatCode>
                <c:ptCount val="3"/>
                <c:pt idx="1">
                  <c:v>68.508955615530425</c:v>
                </c:pt>
                <c:pt idx="2">
                  <c:v>110.40465011674996</c:v>
                </c:pt>
              </c:numCache>
            </c:numRef>
          </c:yVal>
          <c:smooth val="0"/>
          <c:extLst>
            <c:ext xmlns:c16="http://schemas.microsoft.com/office/drawing/2014/chart" uri="{C3380CC4-5D6E-409C-BE32-E72D297353CC}">
              <c16:uniqueId val="{00000005-C355-4355-8566-0E306BF6160D}"/>
            </c:ext>
          </c:extLst>
        </c:ser>
        <c:ser>
          <c:idx val="0"/>
          <c:order val="4"/>
          <c:spPr>
            <a:ln w="28575" cap="rnd">
              <a:noFill/>
              <a:round/>
            </a:ln>
            <a:effectLst/>
          </c:spPr>
          <c:marker>
            <c:symbol val="none"/>
          </c:marker>
          <c:trendline>
            <c:trendlineType val="linear"/>
            <c:dispRSqr val="1"/>
            <c:dispEq val="1"/>
            <c:trendlineLbl>
              <c:layout>
                <c:manualLayout>
                  <c:x val="0.17641285851567515"/>
                  <c:y val="8.1158921786431706E-2"/>
                </c:manualLayout>
              </c:layout>
              <c:tx>
                <c:rich>
                  <a:bodyPr/>
                  <a:lstStyle/>
                  <a:p>
                    <a:pPr>
                      <a:defRPr/>
                    </a:pPr>
                    <a:r>
                      <a:rPr lang="en-US" baseline="0"/>
                      <a:t>y = 87x + 30</a:t>
                    </a:r>
                    <a:br>
                      <a:rPr lang="en-US" baseline="0"/>
                    </a:br>
                    <a:r>
                      <a:rPr lang="en-US" baseline="0"/>
                      <a:t>R² = 0.98</a:t>
                    </a:r>
                    <a:endParaRPr lang="en-US"/>
                  </a:p>
                </c:rich>
              </c:tx>
              <c:numFmt formatCode="General" sourceLinked="0"/>
            </c:trendlineLbl>
          </c:trendline>
          <c:xVal>
            <c:numRef>
              <c:f>NewCalcs!$D$5:$J$5</c:f>
              <c:numCache>
                <c:formatCode>General</c:formatCode>
                <c:ptCount val="7"/>
                <c:pt idx="1">
                  <c:v>4.1666666664241347E-2</c:v>
                </c:pt>
                <c:pt idx="2">
                  <c:v>0.21875</c:v>
                </c:pt>
                <c:pt idx="3">
                  <c:v>1.0416666666642413</c:v>
                </c:pt>
                <c:pt idx="4">
                  <c:v>1.2291666666642413</c:v>
                </c:pt>
                <c:pt idx="5">
                  <c:v>1.9895833333357587</c:v>
                </c:pt>
                <c:pt idx="6">
                  <c:v>2.21875</c:v>
                </c:pt>
              </c:numCache>
            </c:numRef>
          </c:xVal>
          <c:yVal>
            <c:numRef>
              <c:f>NewCalcs!$D$10:$H$10</c:f>
              <c:numCache>
                <c:formatCode>0.0</c:formatCode>
                <c:ptCount val="5"/>
                <c:pt idx="1">
                  <c:v>28.344815294145498</c:v>
                </c:pt>
                <c:pt idx="2">
                  <c:v>57.380828583053606</c:v>
                </c:pt>
                <c:pt idx="3">
                  <c:v>115.21176910197003</c:v>
                </c:pt>
                <c:pt idx="4">
                  <c:v>142.6300891921982</c:v>
                </c:pt>
              </c:numCache>
            </c:numRef>
          </c:yVal>
          <c:smooth val="0"/>
          <c:extLst>
            <c:ext xmlns:c16="http://schemas.microsoft.com/office/drawing/2014/chart" uri="{C3380CC4-5D6E-409C-BE32-E72D297353CC}">
              <c16:uniqueId val="{00000007-C355-4355-8566-0E306BF6160D}"/>
            </c:ext>
          </c:extLst>
        </c:ser>
        <c:dLbls>
          <c:showLegendKey val="0"/>
          <c:showVal val="0"/>
          <c:showCatName val="0"/>
          <c:showSerName val="0"/>
          <c:showPercent val="0"/>
          <c:showBubbleSize val="0"/>
        </c:dLbls>
        <c:axId val="695996984"/>
        <c:axId val="695998296"/>
      </c:scatterChart>
      <c:valAx>
        <c:axId val="695996984"/>
        <c:scaling>
          <c:orientation val="minMax"/>
          <c:max val="2.5"/>
          <c:min val="0"/>
        </c:scaling>
        <c:delete val="0"/>
        <c:axPos val="b"/>
        <c:title>
          <c:tx>
            <c:rich>
              <a:bodyPr/>
              <a:lstStyle/>
              <a:p>
                <a:pPr>
                  <a:defRPr sz="1200"/>
                </a:pPr>
                <a:r>
                  <a:rPr lang="en-US" sz="1200"/>
                  <a:t>Time (d)</a:t>
                </a:r>
              </a:p>
            </c:rich>
          </c:tx>
          <c:overlay val="0"/>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95998296"/>
        <c:crosses val="autoZero"/>
        <c:crossBetween val="midCat"/>
      </c:valAx>
      <c:valAx>
        <c:axId val="695998296"/>
        <c:scaling>
          <c:orientation val="minMax"/>
        </c:scaling>
        <c:delete val="0"/>
        <c:axPos val="l"/>
        <c:title>
          <c:tx>
            <c:rich>
              <a:bodyPr/>
              <a:lstStyle/>
              <a:p>
                <a:pPr>
                  <a:defRPr sz="1200"/>
                </a:pPr>
                <a:r>
                  <a:rPr lang="en-US" sz="1200"/>
                  <a:t>Dissolved</a:t>
                </a:r>
                <a:r>
                  <a:rPr lang="en-US" sz="1200" baseline="0"/>
                  <a:t> Hg (mg L</a:t>
                </a:r>
                <a:r>
                  <a:rPr lang="en-US" sz="1200" baseline="30000"/>
                  <a:t>-1</a:t>
                </a:r>
                <a:r>
                  <a:rPr lang="en-US" sz="1200" baseline="0"/>
                  <a:t>)</a:t>
                </a:r>
                <a:endParaRPr lang="en-US" sz="1200"/>
              </a:p>
            </c:rich>
          </c:tx>
          <c:layout>
            <c:manualLayout>
              <c:xMode val="edge"/>
              <c:yMode val="edge"/>
              <c:x val="1.5874338233318108E-3"/>
              <c:y val="0.13299579695021096"/>
            </c:manualLayout>
          </c:layout>
          <c:overlay val="0"/>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95996984"/>
        <c:crosses val="autoZero"/>
        <c:crossBetween val="midCat"/>
      </c:valAx>
      <c:spPr>
        <a:ln>
          <a:solidFill>
            <a:schemeClr val="tx1"/>
          </a:solidFill>
        </a:ln>
      </c:spPr>
    </c:plotArea>
    <c:legend>
      <c:legendPos val="r"/>
      <c:legendEntry>
        <c:idx val="3"/>
        <c:delete val="1"/>
      </c:legendEntry>
      <c:legendEntry>
        <c:idx val="4"/>
        <c:delete val="1"/>
      </c:legendEntry>
      <c:legendEntry>
        <c:idx val="5"/>
        <c:delete val="1"/>
      </c:legendEntry>
      <c:legendEntry>
        <c:idx val="6"/>
        <c:delete val="1"/>
      </c:legendEntry>
      <c:legendEntry>
        <c:idx val="7"/>
        <c:delete val="1"/>
      </c:legendEntry>
      <c:layout>
        <c:manualLayout>
          <c:xMode val="edge"/>
          <c:yMode val="edge"/>
          <c:x val="0.85097560534356098"/>
          <c:y val="0.25379259477275989"/>
          <c:w val="0.13253285318857327"/>
          <c:h val="0.30323209991626898"/>
        </c:manualLayout>
      </c:layout>
      <c:overlay val="0"/>
      <c:spPr>
        <a:ln>
          <a:solidFill>
            <a:schemeClr val="tx1"/>
          </a:solidFill>
        </a:ln>
      </c:spPr>
      <c:txPr>
        <a:bodyPr/>
        <a:lstStyle/>
        <a:p>
          <a:pPr>
            <a:defRPr sz="1100"/>
          </a:pPr>
          <a:endParaRPr lang="en-US"/>
        </a:p>
      </c:txPr>
    </c:legend>
    <c:plotVisOnly val="1"/>
    <c:dispBlanksAs val="gap"/>
    <c:showDLblsOverMax val="0"/>
    <c:extLst/>
  </c:chart>
  <c:spPr>
    <a:ln>
      <a:noFill/>
    </a:ln>
  </c:spPr>
  <c:txPr>
    <a:bodyPr/>
    <a:lstStyle/>
    <a:p>
      <a:pPr>
        <a:defRPr/>
      </a:pPr>
      <a:endParaRPr lang="en-US"/>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4551</Words>
  <Characters>25946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Gosnell, Kathleen</dc:creator>
  <cp:keywords/>
  <dc:description/>
  <cp:lastModifiedBy>Gosnell, Kathleen</cp:lastModifiedBy>
  <cp:revision>64</cp:revision>
  <dcterms:created xsi:type="dcterms:W3CDTF">2022-09-18T21:05:00Z</dcterms:created>
  <dcterms:modified xsi:type="dcterms:W3CDTF">2022-10-20T09:45:00Z</dcterms:modified>
</cp:coreProperties>
</file>