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jpeg" ContentType="image/jpeg"/>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2F2F2" w:themeFill="background1" w:themeFillShade="f2"/>
        <w:jc w:val="center"/>
        <w:rPr>
          <w:b/>
          <w:b/>
          <w:sz w:val="28"/>
        </w:rPr>
      </w:pPr>
      <w:r>
        <w:rPr>
          <w:b/>
          <w:sz w:val="28"/>
        </w:rPr>
        <w:t>Journal of Geophysical Research: Solid Earth</w:t>
      </w:r>
    </w:p>
    <w:p>
      <w:pPr>
        <w:pStyle w:val="Normal"/>
        <w:shd w:val="clear" w:color="auto" w:fill="F2F2F2" w:themeFill="background1" w:themeFillShade="f2"/>
        <w:jc w:val="center"/>
        <w:rPr>
          <w:b/>
          <w:b/>
          <w:sz w:val="40"/>
          <w:szCs w:val="36"/>
        </w:rPr>
      </w:pPr>
      <w:r>
        <w:rPr>
          <w:b/>
          <w:sz w:val="28"/>
        </w:rPr>
        <w:t>Supplementary Material</w:t>
      </w:r>
    </w:p>
    <w:p>
      <w:pPr>
        <w:pStyle w:val="Title"/>
        <w:rPr/>
      </w:pPr>
      <w:r>
        <w:rPr/>
      </w:r>
    </w:p>
    <w:p>
      <w:pPr>
        <w:pStyle w:val="Title"/>
        <w:rPr/>
      </w:pPr>
      <w:r>
        <w:rPr/>
        <w:t>The Mid-Lithospheric Discontinuity caused by channel flow of proto-cratonic mantle</w:t>
      </w:r>
    </w:p>
    <w:p>
      <w:pPr>
        <w:pStyle w:val="Normal"/>
        <w:jc w:val="center"/>
        <w:rPr/>
      </w:pPr>
      <w:r>
        <w:rPr>
          <w:lang w:val="es-ES"/>
        </w:rPr>
        <w:t>Haibin Yang *</w:t>
      </w:r>
      <w:r>
        <w:rPr>
          <w:vertAlign w:val="superscript"/>
          <w:lang w:val="es-ES"/>
        </w:rPr>
        <w:t>a, b</w:t>
      </w:r>
      <w:r>
        <w:rPr>
          <w:lang w:val="es-ES"/>
        </w:rPr>
        <w:t xml:space="preserve">, Irina M. Artemieva </w:t>
      </w:r>
      <w:r>
        <w:rPr>
          <w:vertAlign w:val="superscript"/>
          <w:lang w:val="es-ES"/>
        </w:rPr>
        <w:t>c, d, e</w:t>
      </w:r>
      <w:r>
        <w:rPr>
          <w:lang w:val="es-ES"/>
        </w:rPr>
        <w:t xml:space="preserve">, Hans Thybo </w:t>
      </w:r>
      <w:r>
        <w:rPr>
          <w:vertAlign w:val="superscript"/>
          <w:lang w:val="es-ES"/>
        </w:rPr>
        <w:t>c</w:t>
      </w:r>
      <w:r>
        <w:rPr>
          <w:vertAlign w:val="superscript"/>
          <w:lang w:val="es-ES"/>
        </w:rPr>
        <w:t xml:space="preserve">, </w:t>
      </w:r>
      <w:r>
        <w:rPr>
          <w:vertAlign w:val="superscript"/>
          <w:lang w:val="es-ES"/>
        </w:rPr>
        <w:t>e</w:t>
      </w:r>
      <w:r>
        <w:rPr>
          <w:vertAlign w:val="superscript"/>
          <w:lang w:val="es-ES"/>
        </w:rPr>
        <w:t>, f</w:t>
      </w:r>
    </w:p>
    <w:p>
      <w:pPr>
        <w:pStyle w:val="Normal"/>
        <w:rPr>
          <w:vertAlign w:val="superscript"/>
          <w:lang w:val="es-ES"/>
        </w:rPr>
      </w:pPr>
      <w:r>
        <w:rPr>
          <w:vertAlign w:val="superscript"/>
          <w:lang w:val="es-ES"/>
        </w:rPr>
      </w:r>
    </w:p>
    <w:p>
      <w:pPr>
        <w:pStyle w:val="Normal"/>
        <w:rPr>
          <w:vertAlign w:val="superscript"/>
          <w:lang w:val="es-ES"/>
        </w:rPr>
      </w:pPr>
      <w:r>
        <w:rPr>
          <w:vertAlign w:val="superscript"/>
          <w:lang w:val="es-ES"/>
        </w:rPr>
      </w:r>
    </w:p>
    <w:p>
      <w:pPr>
        <w:pStyle w:val="ListParagraph"/>
        <w:numPr>
          <w:ilvl w:val="0"/>
          <w:numId w:val="0"/>
        </w:numPr>
        <w:ind w:left="420" w:hanging="0"/>
        <w:rPr/>
      </w:pPr>
      <w:r>
        <w:rPr>
          <w:sz w:val="20"/>
        </w:rPr>
        <w:t xml:space="preserve">a. </w:t>
      </w:r>
      <w:r>
        <w:rPr>
          <w:sz w:val="20"/>
        </w:rPr>
        <w:t xml:space="preserve">School of Earth Sciences, </w:t>
      </w:r>
      <w:r>
        <w:rPr>
          <w:sz w:val="20"/>
        </w:rPr>
        <w:t>Zhejiang University</w:t>
      </w:r>
      <w:r>
        <w:rPr>
          <w:sz w:val="20"/>
        </w:rPr>
        <w:t>, Ha</w:t>
      </w:r>
      <w:r>
        <w:rPr>
          <w:sz w:val="20"/>
        </w:rPr>
        <w:t>ngzhou</w:t>
      </w:r>
      <w:r>
        <w:rPr>
          <w:sz w:val="20"/>
        </w:rPr>
        <w:t xml:space="preserve">, </w:t>
      </w:r>
      <w:r>
        <w:rPr>
          <w:sz w:val="20"/>
        </w:rPr>
        <w:t>China</w:t>
      </w:r>
    </w:p>
    <w:p>
      <w:pPr>
        <w:pStyle w:val="ListParagraph"/>
        <w:numPr>
          <w:ilvl w:val="0"/>
          <w:numId w:val="0"/>
        </w:numPr>
        <w:ind w:left="420" w:hanging="0"/>
        <w:rPr/>
      </w:pPr>
      <w:r>
        <w:rPr>
          <w:sz w:val="20"/>
        </w:rPr>
        <w:t xml:space="preserve">b. </w:t>
      </w:r>
      <w:r>
        <w:rPr>
          <w:sz w:val="20"/>
        </w:rPr>
        <w:t>Research School of Earth Sciences, Australian National University, Canberra, Australia</w:t>
      </w:r>
    </w:p>
    <w:p>
      <w:pPr>
        <w:pStyle w:val="ListParagraph"/>
        <w:numPr>
          <w:ilvl w:val="0"/>
          <w:numId w:val="0"/>
        </w:numPr>
        <w:ind w:left="420" w:hanging="0"/>
        <w:rPr/>
      </w:pPr>
      <w:r>
        <w:rPr>
          <w:sz w:val="20"/>
        </w:rPr>
        <w:t xml:space="preserve">c. </w:t>
      </w:r>
      <w:r>
        <w:rPr>
          <w:sz w:val="20"/>
        </w:rPr>
        <w:t>SinoProbe Laboratory, Chinese Academy of Geological Sciences, Beijing,China</w:t>
      </w:r>
    </w:p>
    <w:p>
      <w:pPr>
        <w:pStyle w:val="ListParagraph"/>
        <w:numPr>
          <w:ilvl w:val="0"/>
          <w:numId w:val="0"/>
        </w:numPr>
        <w:ind w:left="420" w:hanging="0"/>
        <w:rPr/>
      </w:pPr>
      <w:r>
        <w:rPr>
          <w:sz w:val="20"/>
        </w:rPr>
        <w:t xml:space="preserve">d. </w:t>
      </w:r>
      <w:r>
        <w:rPr>
          <w:sz w:val="20"/>
        </w:rPr>
        <w:t xml:space="preserve">Section of </w:t>
      </w:r>
      <w:r>
        <w:rPr>
          <w:sz w:val="20"/>
        </w:rPr>
        <w:t>Marine</w:t>
      </w:r>
      <w:r>
        <w:rPr>
          <w:sz w:val="20"/>
        </w:rPr>
        <w:t xml:space="preserve"> </w:t>
      </w:r>
      <w:r>
        <w:rPr>
          <w:sz w:val="20"/>
        </w:rPr>
        <w:t>Geod</w:t>
      </w:r>
      <w:r>
        <w:rPr>
          <w:sz w:val="20"/>
        </w:rPr>
        <w:t>ynamics, GEOMAR Helmholtz Center for Ocean Research, Kiel , Germany</w:t>
      </w:r>
    </w:p>
    <w:p>
      <w:pPr>
        <w:pStyle w:val="ListParagraph"/>
        <w:numPr>
          <w:ilvl w:val="0"/>
          <w:numId w:val="0"/>
        </w:numPr>
        <w:ind w:left="420" w:hanging="0"/>
        <w:rPr/>
      </w:pPr>
      <w:r>
        <w:rPr>
          <w:sz w:val="20"/>
        </w:rPr>
        <w:t xml:space="preserve">e. </w:t>
      </w:r>
      <w:r>
        <w:rPr>
          <w:sz w:val="20"/>
        </w:rPr>
        <w:t>State Key Laboratory of Geological Processes and Mineral Resources, School of Earth Sciences, China University of Geosciences, Wuhan, China</w:t>
      </w:r>
    </w:p>
    <w:p>
      <w:pPr>
        <w:pStyle w:val="ListParagraph"/>
        <w:numPr>
          <w:ilvl w:val="0"/>
          <w:numId w:val="0"/>
        </w:numPr>
        <w:ind w:left="420" w:hanging="0"/>
        <w:rPr/>
      </w:pPr>
      <w:r>
        <w:rPr>
          <w:sz w:val="20"/>
        </w:rPr>
        <w:t xml:space="preserve">f. </w:t>
      </w:r>
      <w:r>
        <w:rPr>
          <w:sz w:val="20"/>
        </w:rPr>
        <w:t>Eurasia Institute of Earth Science, Istanbul Technical University, Maslak, 34469 Istanbul, Turkey</w:t>
      </w:r>
    </w:p>
    <w:p>
      <w:pPr>
        <w:pStyle w:val="Normal"/>
        <w:rPr/>
      </w:pPr>
      <w:r>
        <w:rPr/>
      </w:r>
    </w:p>
    <w:p>
      <w:pPr>
        <w:pStyle w:val="Normal"/>
        <w:rPr/>
      </w:pPr>
      <w:r>
        <w:rPr/>
        <w:t>Corresponding author: Haibin Yang</w:t>
      </w:r>
    </w:p>
    <w:p>
      <w:pPr>
        <w:pStyle w:val="Normal"/>
        <w:rPr/>
      </w:pPr>
      <w:r>
        <w:rPr/>
        <w:t xml:space="preserve">Email: </w:t>
      </w:r>
      <w:hyperlink r:id="rId2">
        <w:r>
          <w:rPr>
            <w:rStyle w:val="InternetLink"/>
            <w:color w:val="1155CC"/>
            <w:u w:val="single"/>
          </w:rPr>
          <w:t>haibin.yang@anu.edu.au</w:t>
        </w:r>
      </w:hyperlink>
    </w:p>
    <w:p>
      <w:pPr>
        <w:pStyle w:val="Normal"/>
        <w:rPr/>
      </w:pPr>
      <w:r>
        <w:rPr/>
      </w:r>
    </w:p>
    <w:p>
      <w:pPr>
        <w:pStyle w:val="Normal"/>
        <w:rPr/>
      </w:pPr>
      <w:r>
        <w:rPr/>
      </w:r>
    </w:p>
    <w:p>
      <w:pPr>
        <w:pStyle w:val="Normal"/>
        <w:rPr>
          <w:b/>
          <w:b/>
        </w:rPr>
      </w:pPr>
      <w:r>
        <w:rPr>
          <w:b/>
        </w:rPr>
        <w:t>This file includes:</w:t>
      </w:r>
    </w:p>
    <w:p>
      <w:pPr>
        <w:pStyle w:val="Normal"/>
        <w:rPr/>
      </w:pPr>
      <w:r>
        <w:rPr/>
        <w:t>1. Methods description</w:t>
      </w:r>
    </w:p>
    <w:p>
      <w:pPr>
        <w:pStyle w:val="Normal"/>
        <w:rPr/>
      </w:pPr>
      <w:r>
        <w:rPr/>
        <w:t>2. Table S1: Parameters of the reference model</w:t>
      </w:r>
    </w:p>
    <w:p>
      <w:pPr>
        <w:pStyle w:val="Normal"/>
        <w:rPr/>
      </w:pPr>
      <w:r>
        <w:rPr/>
        <w:t>3. References to Methods and Table S1</w:t>
      </w:r>
    </w:p>
    <w:p>
      <w:pPr>
        <w:pStyle w:val="Normal"/>
        <w:rPr/>
      </w:pPr>
      <w:r>
        <w:rPr/>
        <w:t xml:space="preserve">4. Table S2: Model codes and model parameters </w:t>
      </w:r>
    </w:p>
    <w:p>
      <w:pPr>
        <w:pStyle w:val="Normal"/>
        <w:rPr/>
      </w:pPr>
      <w:r>
        <w:rPr/>
        <w:t>5. References to Figure 1</w:t>
      </w:r>
    </w:p>
    <w:p>
      <w:pPr>
        <w:pStyle w:val="Normal"/>
        <w:rPr/>
      </w:pPr>
      <w:r>
        <w:rPr/>
        <w:t>6. Supplementary Figures S1-S3</w:t>
      </w:r>
    </w:p>
    <w:p>
      <w:pPr>
        <w:pStyle w:val="Normal"/>
        <w:rPr>
          <w:spacing w:val="5"/>
          <w:sz w:val="28"/>
          <w:szCs w:val="32"/>
        </w:rPr>
      </w:pPr>
      <w:r>
        <w:rPr>
          <w:spacing w:val="5"/>
          <w:sz w:val="28"/>
          <w:szCs w:val="32"/>
        </w:rPr>
      </w:r>
      <w:r>
        <w:br w:type="page"/>
      </w:r>
    </w:p>
    <w:p>
      <w:pPr>
        <w:pStyle w:val="Heading1"/>
        <w:rPr/>
      </w:pPr>
      <w:r>
        <w:rPr/>
        <w:t>1. Methods</w:t>
      </w:r>
    </w:p>
    <w:p>
      <w:pPr>
        <w:pStyle w:val="Normal"/>
        <w:rPr/>
      </w:pPr>
      <w:r>
        <w:rPr/>
        <w:t xml:space="preserve">We model the long-term evolution of the Archean cratonic mantle by the particle-in-cell, finite-element, geodynamics code Underworld2 </w:t>
      </w:r>
      <w:r>
        <w:fldChar w:fldCharType="begin"/>
      </w:r>
      <w:r>
        <w:instrText>ADDIN EN.CITE &lt;EndNote&gt;&lt;Cite&gt;&lt;Author&gt;Moresi&lt;/Author&gt;&lt;Year&gt;2007&lt;/Year&gt;&lt;RecNum&gt;548&lt;/RecNum&gt;&lt;DisplayText&gt;(Moresi et al., 2007)&lt;/DisplayText&gt;&lt;record&gt;&lt;rec-number&gt;548&lt;/rec-number&gt;&lt;foreign-keys&gt;&lt;key app="EN" db-id="sva2xp2fn0t5zper59dprxwaaxftxvr0xffs" timestamp="1511413655" guid="5e550f1b-329e-4e14-bb0c-d3d339edf080"&gt;548&lt;/key&gt;&lt;/foreign-keys&gt;&lt;ref-type name="Journal Article"&gt;17&lt;/ref-type&gt;&lt;contributors&gt;&lt;authors&gt;&lt;author&gt;Moresi, L.&lt;/author&gt;&lt;author&gt;Quenette, S.&lt;/author&gt;&lt;author&gt;Lemiale, V.&lt;/author&gt;&lt;author&gt;Meriaux, C.&lt;/author&gt;&lt;author&gt;Appelbe, B.&lt;/author&gt;&lt;author&gt;Mühlhaus, H.-B.&lt;/author&gt;&lt;/authors&gt;&lt;/contributors&gt;&lt;titles&gt;&lt;title&gt;Computational approaches to studying non-linear dynamics of the crust and mantle&lt;/title&gt;&lt;secondary-title&gt;Physics of the Earth and Planetary Interiors&lt;/secondary-title&gt;&lt;/titles&gt;&lt;periodical&gt;&lt;full-title&gt;Physics of the Earth and Planetary Interiors&lt;/full-title&gt;&lt;/periodical&gt;&lt;pages&gt;69-82&lt;/pages&gt;&lt;volume&gt;163&lt;/volume&gt;&lt;number&gt;1&lt;/number&gt;&lt;dates&gt;&lt;year&gt;2007&lt;/year&gt;&lt;/dates&gt;&lt;isbn&gt;0031-9201&lt;/isbn&gt;&lt;urls&gt;&lt;/urls&gt;&lt;/record&gt;&lt;/Cite&gt;&lt;/EndNote&gt;</w:instrText>
      </w:r>
      <w:r>
        <w:fldChar w:fldCharType="separate"/>
      </w:r>
      <w:bookmarkStart w:id="0" w:name="__Fieldmark__52_1615512126"/>
      <w:r>
        <w:rPr/>
        <w:t>(Moresi et al., 2007)</w:t>
      </w:r>
      <w:r>
        <w:rPr/>
      </w:r>
      <w:r>
        <w:fldChar w:fldCharType="end"/>
      </w:r>
      <w:hyperlink w:anchor="_ENREF_3">
        <w:bookmarkEnd w:id="0"/>
        <w:r>
          <w:rPr/>
          <w:t>, which solves the thermo-mechanically coupled conservation equations of mass and momentum:</w:t>
        </w:r>
      </w:hyperlink>
    </w:p>
    <w:tbl>
      <w:tblPr>
        <w:tblW w:w="8504" w:type="dxa"/>
        <w:jc w:val="left"/>
        <w:tblInd w:w="0" w:type="dxa"/>
        <w:tblBorders/>
        <w:tblCellMar>
          <w:top w:w="0" w:type="dxa"/>
          <w:left w:w="108" w:type="dxa"/>
          <w:bottom w:w="0" w:type="dxa"/>
          <w:right w:w="108" w:type="dxa"/>
        </w:tblCellMar>
        <w:tblLook w:val="0400" w:noVBand="1" w:noHBand="0" w:lastColumn="0" w:firstColumn="0" w:lastRow="0" w:firstRow="0"/>
      </w:tblPr>
      <w:tblGrid>
        <w:gridCol w:w="7554"/>
        <w:gridCol w:w="949"/>
      </w:tblGrid>
      <w:tr>
        <w:trPr/>
        <w:tc>
          <w:tcPr>
            <w:tcW w:w="7554" w:type="dxa"/>
            <w:tcBorders/>
            <w:shd w:fill="auto" w:val="clear"/>
            <w:vAlign w:val="center"/>
          </w:tcPr>
          <w:p>
            <w:pPr>
              <w:pStyle w:val="Normal"/>
              <w:rPr/>
            </w:pPr>
            <w:r>
              <w:rPr/>
            </w:r>
            <m:oMath xmlns:m="http://schemas.openxmlformats.org/officeDocument/2006/math">
              <m:r>
                <w:rPr>
                  <w:rFonts w:ascii="Cambria Math" w:hAnsi="Cambria Math"/>
                </w:rPr>
                <m:t xml:space="preserve">∇</m:t>
              </m:r>
              <m:r>
                <w:rPr>
                  <w:rFonts w:ascii="Cambria Math" w:hAnsi="Cambria Math"/>
                </w:rPr>
                <m:t xml:space="preserve">∙</m:t>
              </m:r>
              <m:r>
                <w:rPr>
                  <w:rFonts w:ascii="Cambria Math" w:hAnsi="Cambria Math"/>
                </w:rPr>
                <m:t xml:space="preserve">u</m:t>
              </m:r>
              <m:r>
                <w:rPr>
                  <w:rFonts w:ascii="Cambria Math" w:hAnsi="Cambria Math"/>
                </w:rPr>
                <m:t xml:space="preserve">=</m:t>
              </m:r>
              <m:r>
                <w:rPr>
                  <w:rFonts w:ascii="Cambria Math" w:hAnsi="Cambria Math"/>
                </w:rPr>
                <m:t xml:space="preserve">0</m:t>
              </m:r>
            </m:oMath>
          </w:p>
        </w:tc>
        <w:tc>
          <w:tcPr>
            <w:tcW w:w="949" w:type="dxa"/>
            <w:tcBorders/>
            <w:shd w:fill="auto" w:val="clear"/>
            <w:vAlign w:val="center"/>
          </w:tcPr>
          <w:p>
            <w:pPr>
              <w:pStyle w:val="Normal"/>
              <w:rPr/>
            </w:pPr>
            <w:r>
              <w:rPr/>
              <w:t>(1)</w:t>
            </w:r>
          </w:p>
        </w:tc>
      </w:tr>
      <w:tr>
        <w:trPr/>
        <w:tc>
          <w:tcPr>
            <w:tcW w:w="7554" w:type="dxa"/>
            <w:tcBorders/>
            <w:shd w:fill="auto" w:val="clear"/>
            <w:vAlign w:val="center"/>
          </w:tcPr>
          <w:p>
            <w:pPr>
              <w:pStyle w:val="Normal"/>
              <w:rPr/>
            </w:pPr>
            <w:r>
              <w:rPr/>
            </w:r>
            <m:oMath xmlns:m="http://schemas.openxmlformats.org/officeDocument/2006/math">
              <m:r>
                <w:rPr>
                  <w:rFonts w:ascii="Cambria Math" w:hAnsi="Cambria Math"/>
                </w:rPr>
                <m:t xml:space="preserve">∇</m:t>
              </m:r>
              <m:r>
                <w:rPr>
                  <w:rFonts w:ascii="Cambria Math" w:hAnsi="Cambria Math"/>
                </w:rPr>
                <m:t xml:space="preserve">∙</m:t>
              </m:r>
              <m:sSup>
                <m:e>
                  <m:r>
                    <w:rPr>
                      <w:rFonts w:ascii="Cambria Math" w:hAnsi="Cambria Math"/>
                    </w:rPr>
                    <m:t xml:space="preserve">σ</m:t>
                  </m:r>
                </m:e>
                <m:sup>
                  <m:r>
                    <w:rPr>
                      <w:rFonts w:ascii="Cambria Math" w:hAnsi="Cambria Math"/>
                    </w:rPr>
                    <m:t xml:space="preserve">'</m:t>
                  </m:r>
                </m:sup>
              </m:sSup>
              <m:r>
                <w:rPr>
                  <w:rFonts w:ascii="Cambria Math" w:hAnsi="Cambria Math"/>
                </w:rPr>
                <m:t xml:space="preserve">−</m:t>
              </m:r>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ρg</m:t>
              </m:r>
              <m:r>
                <w:rPr>
                  <w:rFonts w:ascii="Cambria Math" w:hAnsi="Cambria Math"/>
                </w:rPr>
                <m:t xml:space="preserve">=</m:t>
              </m:r>
              <m:r>
                <w:rPr>
                  <w:rFonts w:ascii="Cambria Math" w:hAnsi="Cambria Math"/>
                </w:rPr>
                <m:t xml:space="preserve">0</m:t>
              </m:r>
            </m:oMath>
          </w:p>
        </w:tc>
        <w:tc>
          <w:tcPr>
            <w:tcW w:w="949" w:type="dxa"/>
            <w:tcBorders/>
            <w:shd w:fill="auto" w:val="clear"/>
            <w:vAlign w:val="center"/>
          </w:tcPr>
          <w:p>
            <w:pPr>
              <w:pStyle w:val="Normal"/>
              <w:rPr/>
            </w:pPr>
            <w:r>
              <w:rPr/>
              <w:t>(2)</w:t>
            </w:r>
          </w:p>
        </w:tc>
      </w:tr>
    </w:tbl>
    <w:p>
      <w:pPr>
        <w:pStyle w:val="Normal"/>
        <w:rPr/>
      </w:pPr>
      <w:r>
        <w:rPr/>
        <w:t xml:space="preserve">where </w:t>
      </w:r>
      <w:r>
        <w:rPr/>
      </w:r>
      <m:oMath xmlns:m="http://schemas.openxmlformats.org/officeDocument/2006/math">
        <m:r>
          <w:rPr>
            <w:rFonts w:ascii="Cambria Math" w:hAnsi="Cambria Math"/>
          </w:rPr>
          <m:t xml:space="preserve">u</m:t>
        </m:r>
      </m:oMath>
      <w:r>
        <w:rPr/>
        <w:t xml:space="preserve"> is velocity, </w:t>
      </w:r>
      <w:r>
        <w:rPr/>
      </w:r>
      <m:oMath xmlns:m="http://schemas.openxmlformats.org/officeDocument/2006/math">
        <m:sSup>
          <m:e>
            <m:r>
              <w:rPr>
                <w:rFonts w:ascii="Cambria Math" w:hAnsi="Cambria Math"/>
              </w:rPr>
              <m:t xml:space="preserve">σ</m:t>
            </m:r>
          </m:e>
          <m:sup>
            <m:r>
              <w:rPr>
                <w:rFonts w:ascii="Cambria Math" w:hAnsi="Cambria Math"/>
              </w:rPr>
              <m:t xml:space="preserve">'</m:t>
            </m:r>
          </m:sup>
        </m:sSup>
      </m:oMath>
      <w:r>
        <w:rPr/>
        <w:t xml:space="preserve"> is deviatoric stress, </w:t>
      </w:r>
      <w:r>
        <w:rPr/>
      </w:r>
      <m:oMath xmlns:m="http://schemas.openxmlformats.org/officeDocument/2006/math">
        <m:r>
          <w:rPr>
            <w:rFonts w:ascii="Cambria Math" w:hAnsi="Cambria Math"/>
          </w:rPr>
          <m:t xml:space="preserve">P</m:t>
        </m:r>
      </m:oMath>
      <w:r>
        <w:rPr/>
        <w:t xml:space="preserve"> is pressure,</w:t>
      </w:r>
      <w:r>
        <w:rPr/>
      </w:r>
      <m:oMath xmlns:m="http://schemas.openxmlformats.org/officeDocument/2006/math">
        <m:r>
          <w:rPr>
            <w:rFonts w:ascii="Cambria Math" w:hAnsi="Cambria Math"/>
          </w:rPr>
          <m:t xml:space="preserve">ρ</m:t>
        </m:r>
      </m:oMath>
      <w:r>
        <w:rPr/>
        <w:t xml:space="preserve"> is density and </w:t>
      </w:r>
      <w:r>
        <w:rPr/>
      </w:r>
      <m:oMath xmlns:m="http://schemas.openxmlformats.org/officeDocument/2006/math">
        <m:r>
          <w:rPr>
            <w:rFonts w:ascii="Cambria Math" w:hAnsi="Cambria Math"/>
          </w:rPr>
          <m:t xml:space="preserve">g</m:t>
        </m:r>
      </m:oMath>
      <w:r>
        <w:rPr/>
        <w:t xml:space="preserve"> is gravitational acceleration. For the equation of conservation of mass (1), we assume incompressibility condition. Lateral and secular changes in temperature are incorporated through the heat conservation equation:</w:t>
      </w:r>
    </w:p>
    <w:tbl>
      <w:tblPr>
        <w:tblW w:w="9453" w:type="dxa"/>
        <w:jc w:val="left"/>
        <w:tblInd w:w="0" w:type="dxa"/>
        <w:tblBorders/>
        <w:tblCellMar>
          <w:top w:w="0" w:type="dxa"/>
          <w:left w:w="108" w:type="dxa"/>
          <w:bottom w:w="0" w:type="dxa"/>
          <w:right w:w="108" w:type="dxa"/>
        </w:tblCellMar>
        <w:tblLook w:val="0400" w:noVBand="1" w:noHBand="0" w:lastColumn="0" w:firstColumn="0" w:lastRow="0" w:firstRow="0"/>
      </w:tblPr>
      <w:tblGrid>
        <w:gridCol w:w="7554"/>
        <w:gridCol w:w="949"/>
        <w:gridCol w:w="950"/>
      </w:tblGrid>
      <w:tr>
        <w:trPr/>
        <w:tc>
          <w:tcPr>
            <w:tcW w:w="7554" w:type="dxa"/>
            <w:tcBorders/>
            <w:shd w:fill="auto" w:val="clear"/>
            <w:vAlign w:val="center"/>
          </w:tcPr>
          <w:p>
            <w:pPr>
              <w:pStyle w:val="Normal"/>
              <w:rPr/>
            </w:pPr>
            <w:r>
              <w:rPr/>
            </w:r>
            <m:oMath xmlns:m="http://schemas.openxmlformats.org/officeDocument/2006/math">
              <m:r>
                <w:rPr>
                  <w:rFonts w:ascii="Cambria Math" w:hAnsi="Cambria Math"/>
                </w:rPr>
                <m:t xml:space="preserve">ρ</m:t>
              </m:r>
              <m:sSub>
                <m:e>
                  <m:r>
                    <w:rPr>
                      <w:rFonts w:ascii="Cambria Math" w:hAnsi="Cambria Math"/>
                    </w:rPr>
                    <m:t xml:space="preserve">c</m:t>
                  </m:r>
                </m:e>
                <m:sub>
                  <m:r>
                    <w:rPr>
                      <w:rFonts w:ascii="Cambria Math" w:hAnsi="Cambria Math"/>
                    </w:rPr>
                    <m:t xml:space="preserve">p</m:t>
                  </m:r>
                </m:sub>
              </m:sSub>
              <m:d>
                <m:dPr>
                  <m:begChr m:val="("/>
                  <m:endChr m:val=")"/>
                </m:dPr>
                <m:e>
                  <m:f>
                    <m:num>
                      <m:r>
                        <w:rPr>
                          <w:rFonts w:ascii="Cambria Math" w:hAnsi="Cambria Math"/>
                        </w:rPr>
                        <m:t xml:space="preserve">∂</m:t>
                      </m:r>
                      <m:r>
                        <w:rPr>
                          <w:rFonts w:ascii="Cambria Math" w:hAnsi="Cambria Math"/>
                        </w:rPr>
                        <m:t xml:space="preserve">T</m:t>
                      </m:r>
                    </m:num>
                    <m:den>
                      <m:r>
                        <w:rPr>
                          <w:rFonts w:ascii="Cambria Math" w:hAnsi="Cambria Math"/>
                        </w:rPr>
                        <m:t xml:space="preserve">∂</m:t>
                      </m:r>
                      <m:r>
                        <w:rPr>
                          <w:rFonts w:ascii="Cambria Math" w:hAnsi="Cambria Math"/>
                        </w:rPr>
                        <m:t xml:space="preserve">t</m:t>
                      </m:r>
                    </m:den>
                  </m:f>
                  <m:r>
                    <w:rPr>
                      <w:rFonts w:ascii="Cambria Math" w:hAnsi="Cambria Math"/>
                    </w:rPr>
                    <m:t xml:space="preserve">+</m:t>
                  </m:r>
                  <m:r>
                    <w:rPr>
                      <w:rFonts w:ascii="Cambria Math" w:hAnsi="Cambria Math"/>
                    </w:rPr>
                    <m:t xml:space="preserve">u</m:t>
                  </m:r>
                  <m:r>
                    <w:rPr>
                      <w:rFonts w:ascii="Cambria Math" w:hAnsi="Cambria Math"/>
                    </w:rPr>
                    <m:t xml:space="preserve">∙</m:t>
                  </m:r>
                  <m:r>
                    <w:rPr>
                      <w:rFonts w:ascii="Cambria Math" w:hAnsi="Cambria Math"/>
                    </w:rPr>
                    <m:t xml:space="preserve">∇</m:t>
                  </m:r>
                  <m:r>
                    <w:rPr>
                      <w:rFonts w:ascii="Cambria Math" w:hAnsi="Cambria Math"/>
                    </w:rPr>
                    <m:t xml:space="preserve">T</m:t>
                  </m:r>
                </m:e>
              </m:d>
              <m:r>
                <w:rPr>
                  <w:rFonts w:ascii="Cambria Math" w:hAnsi="Cambria Math"/>
                </w:rPr>
                <m:t xml:space="preserve">−</m:t>
              </m:r>
              <m:r>
                <w:rPr>
                  <w:rFonts w:ascii="Cambria Math" w:hAnsi="Cambria Math"/>
                </w:rPr>
                <m:t xml:space="preserve">∇</m:t>
              </m:r>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H</m:t>
              </m:r>
              <m:r>
                <w:rPr>
                  <w:rFonts w:ascii="Cambria Math" w:hAnsi="Cambria Math"/>
                </w:rPr>
                <m:t xml:space="preserve">=</m:t>
              </m:r>
              <m:r>
                <w:rPr>
                  <w:rFonts w:ascii="Cambria Math" w:hAnsi="Cambria Math"/>
                </w:rPr>
                <m:t xml:space="preserve">0</m:t>
              </m:r>
            </m:oMath>
          </w:p>
        </w:tc>
        <w:tc>
          <w:tcPr>
            <w:tcW w:w="949" w:type="dxa"/>
            <w:tcBorders/>
            <w:shd w:fill="auto" w:val="clear"/>
            <w:vAlign w:val="center"/>
          </w:tcPr>
          <w:p>
            <w:pPr>
              <w:pStyle w:val="Normal"/>
              <w:rPr/>
            </w:pPr>
            <w:r>
              <w:rPr/>
              <w:t>(3)</w:t>
            </w:r>
          </w:p>
        </w:tc>
        <w:tc>
          <w:tcPr>
            <w:tcW w:w="950" w:type="dxa"/>
            <w:tcBorders/>
            <w:shd w:fill="auto" w:val="clear"/>
          </w:tcPr>
          <w:p>
            <w:pPr>
              <w:pStyle w:val="Normal"/>
              <w:rPr/>
            </w:pPr>
            <w:r>
              <w:rPr/>
            </w:r>
          </w:p>
        </w:tc>
      </w:tr>
    </w:tbl>
    <w:p>
      <w:pPr>
        <w:pStyle w:val="Normal"/>
        <w:rPr/>
      </w:pPr>
      <w:r>
        <w:rPr/>
        <w:t xml:space="preserve">where </w:t>
      </w:r>
      <w:r>
        <w:rPr/>
      </w:r>
      <m:oMath xmlns:m="http://schemas.openxmlformats.org/officeDocument/2006/math">
        <m:r>
          <w:rPr>
            <w:rFonts w:ascii="Cambria Math" w:hAnsi="Cambria Math"/>
          </w:rPr>
          <m:t xml:space="preserve">ρ</m:t>
        </m:r>
      </m:oMath>
      <w:r>
        <w:rPr/>
        <w:t xml:space="preserve"> is density, </w:t>
      </w:r>
      <w:r>
        <w:rPr/>
      </w:r>
      <m:oMath xmlns:m="http://schemas.openxmlformats.org/officeDocument/2006/math">
        <m:sSub>
          <m:e>
            <m:r>
              <w:rPr>
                <w:rFonts w:ascii="Cambria Math" w:hAnsi="Cambria Math"/>
              </w:rPr>
              <m:t xml:space="preserve">c</m:t>
            </m:r>
          </m:e>
          <m:sub>
            <m:r>
              <w:rPr>
                <w:rFonts w:ascii="Cambria Math" w:hAnsi="Cambria Math"/>
              </w:rPr>
              <m:t xml:space="preserve">p</m:t>
            </m:r>
          </m:sub>
        </m:sSub>
      </m:oMath>
      <w:r>
        <w:rPr/>
        <w:t xml:space="preserve"> is heat capacity, </w:t>
      </w:r>
      <w:r>
        <w:rPr/>
      </w:r>
      <m:oMath xmlns:m="http://schemas.openxmlformats.org/officeDocument/2006/math">
        <m:r>
          <w:rPr>
            <w:rFonts w:ascii="Cambria Math" w:hAnsi="Cambria Math"/>
          </w:rPr>
          <m:t xml:space="preserve">k</m:t>
        </m:r>
      </m:oMath>
      <w:r>
        <w:rPr/>
        <w:t xml:space="preserve"> is thermal conductivity and </w:t>
      </w:r>
      <w:r>
        <w:rPr/>
      </w:r>
      <m:oMath xmlns:m="http://schemas.openxmlformats.org/officeDocument/2006/math">
        <m:r>
          <w:rPr>
            <w:rFonts w:ascii="Cambria Math" w:hAnsi="Cambria Math"/>
          </w:rPr>
          <m:t xml:space="preserve">H</m:t>
        </m:r>
      </m:oMath>
      <w:r>
        <w:rPr/>
        <w:t xml:space="preserve"> is heat production (only radioactive heat sources are considered). The model domain is a rectangular box with a dimension of 4000 km x 660 km (</w:t>
      </w:r>
      <w:r>
        <w:rPr>
          <w:color w:val="0070C0"/>
        </w:rPr>
        <w:t>Fig</w:t>
      </w:r>
      <w:r>
        <w:rPr/>
        <w:t xml:space="preserve">. </w:t>
      </w:r>
      <w:r>
        <w:rPr>
          <w:color w:val="2F5496" w:themeColor="accent1" w:themeShade="bf"/>
        </w:rPr>
        <w:t>2a</w:t>
      </w:r>
      <w:r>
        <w:rPr/>
        <w:t xml:space="preserve">), which is resolved on 540 x 240 bilinear elements. We adopt edge-parallel free slip and edge-normal zero slip at all four boundaries. The model parameters for the three model layers (crust, lithospheric mantle, and sublithospheric mantle) are specified in </w:t>
      </w:r>
      <w:r>
        <w:rPr>
          <w:color w:val="2F5496" w:themeColor="accent1" w:themeShade="bf"/>
        </w:rPr>
        <w:t>Table S1</w:t>
      </w:r>
      <w:r>
        <w:rPr/>
        <w:t>; and we assume that density and thermal conductivity are temperature dependent.</w:t>
      </w:r>
    </w:p>
    <w:p>
      <w:pPr>
        <w:pStyle w:val="Normal"/>
        <w:rPr>
          <w:b/>
          <w:b/>
        </w:rPr>
      </w:pPr>
      <w:r>
        <w:rPr>
          <w:b/>
        </w:rPr>
        <w:tab/>
      </w:r>
      <w:r>
        <w:rPr/>
        <w:t>Non-Newtonian viscous deformation in the mantle is specified by:</w:t>
      </w:r>
    </w:p>
    <w:tbl>
      <w:tblPr>
        <w:tblW w:w="9555" w:type="dxa"/>
        <w:jc w:val="left"/>
        <w:tblInd w:w="0" w:type="dxa"/>
        <w:tblBorders/>
        <w:tblCellMar>
          <w:top w:w="0" w:type="dxa"/>
          <w:left w:w="108" w:type="dxa"/>
          <w:bottom w:w="0" w:type="dxa"/>
          <w:right w:w="108" w:type="dxa"/>
        </w:tblCellMar>
        <w:tblLook w:val="0400" w:noVBand="1" w:noHBand="0" w:lastColumn="0" w:firstColumn="0" w:lastRow="0" w:firstRow="0"/>
      </w:tblPr>
      <w:tblGrid>
        <w:gridCol w:w="7452"/>
        <w:gridCol w:w="1051"/>
        <w:gridCol w:w="1052"/>
      </w:tblGrid>
      <w:tr>
        <w:trPr/>
        <w:tc>
          <w:tcPr>
            <w:tcW w:w="7452" w:type="dxa"/>
            <w:tcBorders/>
            <w:shd w:fill="auto" w:val="clear"/>
            <w:vAlign w:val="center"/>
          </w:tcPr>
          <w:p>
            <w:pPr>
              <w:pStyle w:val="Normal"/>
              <w:rPr/>
            </w:pPr>
            <w:r>
              <w:rPr/>
            </w:r>
            <m:oMath xmlns:m="http://schemas.openxmlformats.org/officeDocument/2006/math">
              <m:eqArr>
                <m:e>
                  <m:r>
                    <w:rPr>
                      <w:rFonts w:ascii="Cambria Math" w:hAnsi="Cambria Math"/>
                    </w:rPr>
                    <m:t xml:space="preserve">σ</m:t>
                  </m:r>
                </m:e>
                <m:e>
                  <m:sSup>
                    <m:e>
                      <m:r>
                        <w:rPr>
                          <w:rFonts w:ascii="Cambria Math" w:hAnsi="Cambria Math"/>
                        </w:rPr>
                        <m:t xml:space="preserve">A</m:t>
                      </m:r>
                      <m:d>
                        <m:dPr>
                          <m:begChr m:val="("/>
                          <m:endChr m:val=")"/>
                        </m:dPr>
                        <m:e/>
                        <m:e>
                          <m:r>
                            <w:rPr>
                              <w:rFonts w:ascii="Cambria Math" w:hAnsi="Cambria Math"/>
                            </w:rPr>
                            <m:t xml:space="preserve">'</m:t>
                          </m:r>
                        </m:e>
                      </m:d>
                    </m:e>
                    <m:sup>
                      <m:r>
                        <w:rPr>
                          <w:rFonts w:ascii="Cambria Math" w:hAnsi="Cambria Math"/>
                        </w:rPr>
                        <m:t xml:space="preserve">n</m:t>
                      </m:r>
                    </m:sup>
                  </m:sSup>
                  <m:r>
                    <w:rPr>
                      <w:rFonts w:ascii="Cambria Math" w:hAnsi="Cambria Math"/>
                    </w:rPr>
                    <m:t xml:space="preserve">exp</m:t>
                  </m:r>
                  <m:d>
                    <m:dPr>
                      <m:begChr m:val="("/>
                      <m:endChr m:val=")"/>
                    </m:dPr>
                    <m:e>
                      <m:f>
                        <m:num>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VP</m:t>
                          </m:r>
                        </m:num>
                        <m:den>
                          <m:r>
                            <w:rPr>
                              <w:rFonts w:ascii="Cambria Math" w:hAnsi="Cambria Math"/>
                            </w:rPr>
                            <m:t xml:space="preserve">RT</m:t>
                          </m:r>
                        </m:den>
                      </m:f>
                    </m:e>
                  </m:d>
                </m:e>
                <m:e>
                  <m:acc>
                    <m:accPr>
                      <m:chr m:val="´"/>
                    </m:accPr>
                    <m:e>
                      <m:r>
                        <w:rPr>
                          <w:rFonts w:ascii="Cambria Math" w:hAnsi="Cambria Math"/>
                        </w:rPr>
                        <m:t xml:space="preserve">ε</m:t>
                      </m:r>
                    </m:e>
                  </m:acc>
                </m:e>
              </m:eqArr>
            </m:oMath>
          </w:p>
        </w:tc>
        <w:tc>
          <w:tcPr>
            <w:tcW w:w="1051" w:type="dxa"/>
            <w:tcBorders/>
            <w:shd w:fill="auto" w:val="clear"/>
            <w:vAlign w:val="center"/>
          </w:tcPr>
          <w:p>
            <w:pPr>
              <w:pStyle w:val="Normal"/>
              <w:rPr/>
            </w:pPr>
            <w:r>
              <w:rPr/>
              <w:t>(4)</w:t>
            </w:r>
          </w:p>
        </w:tc>
        <w:tc>
          <w:tcPr>
            <w:tcW w:w="1052" w:type="dxa"/>
            <w:tcBorders/>
            <w:shd w:fill="auto" w:val="clear"/>
          </w:tcPr>
          <w:p>
            <w:pPr>
              <w:pStyle w:val="Normal"/>
              <w:rPr/>
            </w:pPr>
            <w:bookmarkStart w:id="1" w:name="_Hlk74238017"/>
            <w:bookmarkStart w:id="2" w:name="_Hlk74238017"/>
            <w:bookmarkEnd w:id="2"/>
            <w:r>
              <w:rPr/>
            </w:r>
          </w:p>
        </w:tc>
      </w:tr>
    </w:tbl>
    <w:p>
      <w:pPr>
        <w:pStyle w:val="Normal"/>
        <w:rPr/>
      </w:pPr>
      <w:r>
        <w:rPr/>
        <w:t>where</w:t>
      </w:r>
      <w:r>
        <w:rPr/>
      </w:r>
      <m:oMath xmlns:m="http://schemas.openxmlformats.org/officeDocument/2006/math">
        <m:acc>
          <m:accPr>
            <m:chr m:val="´"/>
          </m:accPr>
          <m:e>
            <m:r>
              <w:rPr>
                <w:rFonts w:ascii="Cambria Math" w:hAnsi="Cambria Math"/>
              </w:rPr>
              <m:t xml:space="preserve">ε</m:t>
            </m:r>
          </m:e>
        </m:acc>
      </m:oMath>
      <w:r>
        <w:rPr/>
        <w:t xml:space="preserve"> is strain rate, </w:t>
      </w:r>
      <w:r>
        <w:rPr/>
      </w:r>
      <m:oMath xmlns:m="http://schemas.openxmlformats.org/officeDocument/2006/math">
        <m:r>
          <w:rPr>
            <w:rFonts w:ascii="Cambria Math" w:hAnsi="Cambria Math"/>
          </w:rPr>
          <m:t xml:space="preserve">A</m:t>
        </m:r>
      </m:oMath>
      <w:r>
        <w:rPr/>
        <w:t xml:space="preserve"> a material constant, </w:t>
      </w:r>
      <w:r>
        <w:rPr/>
      </w:r>
      <m:oMath xmlns:m="http://schemas.openxmlformats.org/officeDocument/2006/math">
        <m:r>
          <w:rPr>
            <w:rFonts w:ascii="Cambria Math" w:hAnsi="Cambria Math"/>
          </w:rPr>
          <m:t xml:space="preserve">n</m:t>
        </m:r>
      </m:oMath>
      <w:r>
        <w:rPr/>
        <w:t xml:space="preserve"> the stress exponent, </w:t>
      </w:r>
      <w:r>
        <w:rPr/>
      </w:r>
      <m:oMath xmlns:m="http://schemas.openxmlformats.org/officeDocument/2006/math">
        <m:r>
          <w:rPr>
            <w:rFonts w:ascii="Cambria Math" w:hAnsi="Cambria Math"/>
          </w:rPr>
          <m:t xml:space="preserve">E</m:t>
        </m:r>
      </m:oMath>
      <w:r>
        <w:rPr/>
        <w:t xml:space="preserve"> the activation energy, </w:t>
      </w:r>
      <w:r>
        <w:rPr/>
      </w:r>
      <m:oMath xmlns:m="http://schemas.openxmlformats.org/officeDocument/2006/math">
        <m:r>
          <w:rPr>
            <w:rFonts w:ascii="Cambria Math" w:hAnsi="Cambria Math"/>
          </w:rPr>
          <m:t xml:space="preserve">V</m:t>
        </m:r>
      </m:oMath>
      <w:r>
        <w:rPr/>
        <w:t xml:space="preserve"> the activation volume, and</w:t>
      </w:r>
      <w:r>
        <w:rPr/>
      </w:r>
      <m:oMath xmlns:m="http://schemas.openxmlformats.org/officeDocument/2006/math">
        <m:r>
          <w:rPr>
            <w:rFonts w:ascii="Cambria Math" w:hAnsi="Cambria Math"/>
          </w:rPr>
          <m:t xml:space="preserve">R</m:t>
        </m:r>
      </m:oMath>
      <w:r>
        <w:rPr/>
        <w:t xml:space="preserve"> the gas constant. </w:t>
      </w:r>
      <w:r>
        <w:rPr>
          <w:color w:val="000000" w:themeColor="text1"/>
        </w:rPr>
        <w:t>Mantle dehydration due to melt extraction</w:t>
      </w:r>
      <w:r>
        <w:rPr>
          <w:color w:val="FF0000"/>
        </w:rPr>
        <w:t xml:space="preserve"> </w:t>
      </w:r>
      <w:r>
        <w:rPr>
          <w:color w:val="000000" w:themeColor="text1"/>
        </w:rPr>
        <w:t xml:space="preserve">during craton formation may increase the viscosity of the cratonic root </w:t>
      </w:r>
      <w:r>
        <w:fldChar w:fldCharType="begin"/>
      </w:r>
      <w:r>
        <w:instrText>ADDIN EN.CITE &lt;EndNote&gt;&lt;Cite&gt;&lt;Author&gt;Hirth&lt;/Author&gt;&lt;Year&gt;2003&lt;/Year&gt;&lt;RecNum&gt;74&lt;/RecNum&gt;&lt;DisplayText&gt;(Hirth and Kohlstedt, 2003)&lt;/DisplayText&gt;&lt;record&gt;&lt;rec-number&gt;74&lt;/rec-number&gt;&lt;foreign-keys&gt;&lt;key app="EN" db-id="sva2xp2fn0t5zper59dprxwaaxftxvr0xffs" timestamp="1445339916" guid="62c24a99-28dd-40d8-85da-9b23fbd49452"&gt;74&lt;/key&gt;&lt;/foreign-keys&gt;&lt;ref-type name="Book Section"&gt;5&lt;/ref-type&gt;&lt;contributors&gt;&lt;authors&gt;&lt;author&gt;Hirth, G.&lt;/author&gt;&lt;author&gt;Kohlstedt, D.&lt;/author&gt;&lt;/authors&gt;&lt;/contributors&gt;&lt;titles&gt;&lt;title&gt;Rheology of the Upper Mantle and the Mantle Wedge: A View from the Experimentalists&lt;/title&gt;&lt;secondary-title&gt;Inside the Subduction Factory&lt;/secondary-title&gt;&lt;/titles&gt;&lt;pages&gt;83-105&lt;/pages&gt;&lt;keywords&gt;&lt;keyword&gt;Subduction zones&lt;/keyword&gt;&lt;/keywords&gt;&lt;dates&gt;&lt;year&gt;2003&lt;/year&gt;&lt;/dates&gt;&lt;publisher&gt;American Geophysical Union&lt;/publisher&gt;&lt;isbn&gt;9781118668573&lt;/isbn&gt;&lt;urls&gt;&lt;related-urls&gt;&lt;url&gt;http://dx.doi.org/10.1029/138GM06&lt;/url&gt;&lt;/related-urls&gt;&lt;/urls&gt;&lt;electronic-resource-num&gt;10.1029/138GM06&lt;/electronic-resource-num&gt;&lt;/record&gt;&lt;/Cite&gt;&lt;/EndNote&gt;</w:instrText>
      </w:r>
      <w:r>
        <w:fldChar w:fldCharType="separate"/>
      </w:r>
      <w:bookmarkStart w:id="3" w:name="__Fieldmark__140_1615512126"/>
      <w:r>
        <w:rPr>
          <w:color w:val="000000" w:themeColor="text1"/>
        </w:rPr>
        <w:t>(Hirth and Kohlstedt, 2003)</w:t>
      </w:r>
      <w:r>
        <w:rPr>
          <w:color w:val="000000" w:themeColor="text1"/>
        </w:rPr>
      </w:r>
      <w:r>
        <w:fldChar w:fldCharType="end"/>
      </w:r>
      <w:hyperlink w:anchor="_ENREF_2">
        <w:bookmarkEnd w:id="3"/>
        <w:r>
          <w:rPr/>
          <w:t xml:space="preserve">. </w:t>
        </w:r>
      </w:hyperlink>
      <w:r>
        <w:rPr>
          <w:color w:val="000000" w:themeColor="text1"/>
        </w:rPr>
        <w:t>Therefore,</w:t>
      </w:r>
      <w:r>
        <w:rPr/>
        <w:t xml:space="preserve"> we assume that at the same strain rate and temperature, the intrinsic viscous strength in the sub-lithospheric mantle is 1/5 of that in the lithospheric mantle. The effective viscosity is given by</w:t>
      </w:r>
    </w:p>
    <w:tbl>
      <w:tblPr>
        <w:tblW w:w="8504" w:type="dxa"/>
        <w:jc w:val="left"/>
        <w:tblInd w:w="0" w:type="dxa"/>
        <w:tblBorders/>
        <w:tblCellMar>
          <w:top w:w="0" w:type="dxa"/>
          <w:left w:w="108" w:type="dxa"/>
          <w:bottom w:w="0" w:type="dxa"/>
          <w:right w:w="108" w:type="dxa"/>
        </w:tblCellMar>
        <w:tblLook w:val="0400" w:noVBand="1" w:noHBand="0" w:lastColumn="0" w:firstColumn="0" w:lastRow="0" w:firstRow="0"/>
      </w:tblPr>
      <w:tblGrid>
        <w:gridCol w:w="7452"/>
        <w:gridCol w:w="1051"/>
      </w:tblGrid>
      <w:tr>
        <w:trPr/>
        <w:tc>
          <w:tcPr>
            <w:tcW w:w="7452" w:type="dxa"/>
            <w:tcBorders/>
            <w:shd w:fill="auto" w:val="clear"/>
            <w:vAlign w:val="center"/>
          </w:tcPr>
          <w:p>
            <w:pPr>
              <w:pStyle w:val="Normal"/>
              <w:rPr/>
            </w:pPr>
            <w:r>
              <w:rPr/>
            </w:r>
            <m:oMath xmlns:m="http://schemas.openxmlformats.org/officeDocument/2006/math">
              <m:sSub>
                <m:e>
                  <m:r>
                    <w:rPr>
                      <w:rFonts w:ascii="Cambria Math" w:hAnsi="Cambria Math"/>
                    </w:rPr>
                    <m:t xml:space="preserve">η</m:t>
                  </m:r>
                </m:e>
                <m:sub>
                  <m:r>
                    <w:rPr>
                      <w:rFonts w:ascii="Cambria Math" w:hAnsi="Cambria Math"/>
                    </w:rPr>
                    <m:t xml:space="preserve">eff</m:t>
                  </m:r>
                </m:sub>
              </m:sSub>
              <m:r>
                <w:rPr>
                  <w:rFonts w:ascii="Cambria Math" w:hAnsi="Cambria Math"/>
                </w:rPr>
                <m:t xml:space="preserve">=</m:t>
              </m:r>
              <m:f>
                <m:num>
                  <m:sSub>
                    <m:e>
                      <m:r>
                        <w:rPr>
                          <w:rFonts w:ascii="Cambria Math" w:hAnsi="Cambria Math"/>
                        </w:rPr>
                        <m:t xml:space="preserve">σ</m:t>
                      </m:r>
                    </m:e>
                    <m:sub>
                      <m:r>
                        <w:rPr>
                          <w:rFonts w:ascii="Cambria Math" w:hAnsi="Cambria Math"/>
                        </w:rPr>
                        <m:t xml:space="preserve">II</m:t>
                      </m:r>
                    </m:sub>
                  </m:sSub>
                </m:num>
                <m:den>
                  <m:r>
                    <w:rPr>
                      <w:rFonts w:ascii="Cambria Math" w:hAnsi="Cambria Math"/>
                    </w:rPr>
                    <m:t xml:space="preserve">2</m:t>
                  </m:r>
                  <m:sSub>
                    <m:e>
                      <m:acc>
                        <m:accPr>
                          <m:chr m:val="´"/>
                        </m:accPr>
                        <m:e>
                          <m:r>
                            <w:rPr>
                              <w:rFonts w:ascii="Cambria Math" w:hAnsi="Cambria Math"/>
                            </w:rPr>
                            <m:t xml:space="preserve">ε</m:t>
                          </m:r>
                        </m:e>
                      </m:acc>
                    </m:e>
                    <m:sub>
                      <m:r>
                        <w:rPr>
                          <w:rFonts w:ascii="Cambria Math" w:hAnsi="Cambria Math"/>
                        </w:rPr>
                        <m:t xml:space="preserve">II</m:t>
                      </m:r>
                    </m:sub>
                  </m:sSub>
                </m:den>
              </m:f>
            </m:oMath>
            <w:r>
              <w:rPr/>
              <w:t xml:space="preserve"> </w:t>
            </w:r>
            <w:r>
              <w:rPr/>
              <w:t xml:space="preserve">= </w:t>
            </w:r>
            <w:r>
              <w:rPr/>
            </w:r>
            <m:oMath xmlns:m="http://schemas.openxmlformats.org/officeDocument/2006/math">
              <m:f>
                <m:num>
                  <m:sSup>
                    <m:e>
                      <m:sSub>
                        <m:e>
                          <m:r>
                            <w:rPr>
                              <w:rFonts w:ascii="Cambria Math" w:hAnsi="Cambria Math"/>
                            </w:rPr>
                            <m:t xml:space="preserve">σ</m:t>
                          </m:r>
                        </m:e>
                        <m:sub>
                          <m:r>
                            <w:rPr>
                              <w:rFonts w:ascii="Cambria Math" w:hAnsi="Cambria Math"/>
                            </w:rPr>
                            <m:t xml:space="preserve">II</m:t>
                          </m:r>
                        </m:sub>
                      </m:sSub>
                    </m:e>
                    <m:sup>
                      <m:r>
                        <w:rPr>
                          <w:rFonts w:ascii="Cambria Math" w:hAnsi="Cambria Math"/>
                        </w:rPr>
                        <m:t xml:space="preserve">1</m:t>
                      </m:r>
                      <m:r>
                        <w:rPr>
                          <w:rFonts w:ascii="Cambria Math" w:hAnsi="Cambria Math"/>
                        </w:rPr>
                        <m:t xml:space="preserve">−</m:t>
                      </m:r>
                      <m:r>
                        <w:rPr>
                          <w:rFonts w:ascii="Cambria Math" w:hAnsi="Cambria Math"/>
                        </w:rPr>
                        <m:t xml:space="preserve">n</m:t>
                      </m:r>
                    </m:sup>
                  </m:sSup>
                </m:num>
                <m:den>
                  <m:r>
                    <w:rPr>
                      <w:rFonts w:ascii="Cambria Math" w:hAnsi="Cambria Math"/>
                    </w:rPr>
                    <m:t xml:space="preserve">2</m:t>
                  </m:r>
                  <m:r>
                    <w:rPr>
                      <w:rFonts w:ascii="Cambria Math" w:hAnsi="Cambria Math"/>
                    </w:rPr>
                    <m:t xml:space="preserve">A</m:t>
                  </m:r>
                </m:den>
              </m:f>
              <m:r>
                <w:rPr>
                  <w:rFonts w:ascii="Cambria Math" w:hAnsi="Cambria Math"/>
                </w:rPr>
                <m:t xml:space="preserve">exp</m:t>
              </m:r>
              <m:d>
                <m:dPr>
                  <m:begChr m:val="("/>
                  <m:endChr m:val=")"/>
                </m:dPr>
                <m:e>
                  <m:f>
                    <m:num>
                      <m:r>
                        <w:rPr>
                          <w:rFonts w:ascii="Cambria Math" w:hAnsi="Cambria Math"/>
                        </w:rPr>
                        <m:t xml:space="preserve">E</m:t>
                      </m:r>
                      <m:r>
                        <w:rPr>
                          <w:rFonts w:ascii="Cambria Math" w:hAnsi="Cambria Math"/>
                        </w:rPr>
                        <m:t xml:space="preserve">+</m:t>
                      </m:r>
                      <m:r>
                        <w:rPr>
                          <w:rFonts w:ascii="Cambria Math" w:hAnsi="Cambria Math"/>
                        </w:rPr>
                        <m:t xml:space="preserve">VP</m:t>
                      </m:r>
                    </m:num>
                    <m:den>
                      <m:r>
                        <w:rPr>
                          <w:rFonts w:ascii="Cambria Math" w:hAnsi="Cambria Math"/>
                        </w:rPr>
                        <m:t xml:space="preserve">RT</m:t>
                      </m:r>
                    </m:den>
                  </m:f>
                </m:e>
              </m:d>
            </m:oMath>
          </w:p>
        </w:tc>
        <w:tc>
          <w:tcPr>
            <w:tcW w:w="1051" w:type="dxa"/>
            <w:tcBorders/>
            <w:shd w:fill="auto" w:val="clear"/>
            <w:vAlign w:val="center"/>
          </w:tcPr>
          <w:p>
            <w:pPr>
              <w:pStyle w:val="Normal"/>
              <w:rPr/>
            </w:pPr>
            <w:r>
              <w:rPr/>
              <w:t>(5)</w:t>
            </w:r>
          </w:p>
        </w:tc>
      </w:tr>
    </w:tbl>
    <w:p>
      <w:pPr>
        <w:pStyle w:val="Normal"/>
        <w:rPr/>
      </w:pPr>
      <w:r>
        <w:rPr/>
        <w:t xml:space="preserve">where </w:t>
      </w:r>
      <w:r>
        <w:rPr/>
      </w:r>
      <m:oMath xmlns:m="http://schemas.openxmlformats.org/officeDocument/2006/math">
        <m:sSub>
          <m:e>
            <m:r>
              <w:rPr>
                <w:rFonts w:ascii="Cambria Math" w:hAnsi="Cambria Math"/>
              </w:rPr>
              <m:t xml:space="preserve">σ</m:t>
            </m:r>
          </m:e>
          <m:sub>
            <m:r>
              <w:rPr>
                <w:rFonts w:ascii="Cambria Math" w:hAnsi="Cambria Math"/>
              </w:rPr>
              <m:t xml:space="preserve">II</m:t>
            </m:r>
          </m:sub>
        </m:sSub>
      </m:oMath>
      <w:r>
        <w:rPr/>
        <w:t xml:space="preserve"> and </w:t>
      </w:r>
      <w:r>
        <w:rPr/>
      </w:r>
      <m:oMath xmlns:m="http://schemas.openxmlformats.org/officeDocument/2006/math">
        <m:sSub>
          <m:e>
            <m:acc>
              <m:accPr>
                <m:chr m:val="´"/>
              </m:accPr>
              <m:e>
                <m:r>
                  <w:rPr>
                    <w:rFonts w:ascii="Cambria Math" w:hAnsi="Cambria Math"/>
                  </w:rPr>
                  <m:t xml:space="preserve">ε</m:t>
                </m:r>
              </m:e>
            </m:acc>
          </m:e>
          <m:sub>
            <m:r>
              <w:rPr>
                <w:rFonts w:ascii="Cambria Math" w:hAnsi="Cambria Math"/>
              </w:rPr>
              <m:t xml:space="preserve">II</m:t>
            </m:r>
          </m:sub>
        </m:sSub>
      </m:oMath>
      <w:r>
        <w:rPr/>
        <w:t xml:space="preserve"> are the square roots of the second invariants of stress and strain rate, respectively. The effective viscosity is restricted to the range between 10</w:t>
      </w:r>
      <w:r>
        <w:rPr>
          <w:vertAlign w:val="superscript"/>
        </w:rPr>
        <w:t>18</w:t>
      </w:r>
      <w:r>
        <w:rPr/>
        <w:t xml:space="preserve"> Pas and 10</w:t>
      </w:r>
      <w:r>
        <w:rPr>
          <w:vertAlign w:val="superscript"/>
        </w:rPr>
        <w:t xml:space="preserve">24 </w:t>
      </w:r>
      <w:r>
        <w:rPr/>
        <w:t>Pas.</w:t>
      </w:r>
    </w:p>
    <w:p>
      <w:pPr>
        <w:pStyle w:val="Normal"/>
        <w:rPr/>
      </w:pPr>
      <w:r>
        <w:rPr/>
      </w:r>
    </w:p>
    <w:p>
      <w:pPr>
        <w:pStyle w:val="Normal"/>
        <w:rPr/>
      </w:pPr>
      <w:r>
        <w:rPr/>
      </w:r>
    </w:p>
    <w:p>
      <w:pPr>
        <w:pStyle w:val="Normal"/>
        <w:rPr/>
      </w:pPr>
      <w:r>
        <w:rPr/>
      </w:r>
      <w:r>
        <w:br w:type="page"/>
      </w:r>
    </w:p>
    <w:p>
      <w:pPr>
        <w:pStyle w:val="Heading1"/>
        <w:rPr/>
      </w:pPr>
      <w:r>
        <w:rPr/>
        <w:t>2. Table S1. Parameters of the end-member model (Figure 2)</w:t>
      </w:r>
    </w:p>
    <w:p>
      <w:pPr>
        <w:pStyle w:val="Normal"/>
        <w:rPr/>
      </w:pPr>
      <w:r>
        <w:rPr/>
        <w:t xml:space="preserve">Density depends on temperature </w:t>
      </w:r>
      <w:r>
        <w:rPr>
          <w:i/>
        </w:rPr>
        <w:t>T</w:t>
      </w:r>
      <w:r>
        <w:rPr/>
        <w:t xml:space="preserve"> as </w:t>
      </w:r>
      <w:r>
        <w:rPr/>
      </w:r>
      <m:oMath xmlns:m="http://schemas.openxmlformats.org/officeDocument/2006/math">
        <m:sSub>
          <m:e>
            <m:r>
              <w:rPr>
                <w:rFonts w:ascii="Cambria Math" w:hAnsi="Cambria Math"/>
              </w:rPr>
              <m:t xml:space="preserve">ρ</m:t>
            </m:r>
            <m:r>
              <w:rPr>
                <w:rFonts w:ascii="Cambria Math" w:hAnsi="Cambria Math"/>
              </w:rPr>
              <m:t xml:space="preserve">=</m:t>
            </m:r>
            <m:r>
              <w:rPr>
                <w:rFonts w:ascii="Cambria Math" w:hAnsi="Cambria Math"/>
              </w:rPr>
              <m:t xml:space="preserve">ρ</m:t>
            </m:r>
          </m:e>
          <m:sub>
            <m:r>
              <w:rPr>
                <w:rFonts w:ascii="Cambria Math" w:hAnsi="Cambria Math"/>
              </w:rPr>
              <m:t xml:space="preserve">o</m:t>
            </m:r>
          </m:sub>
        </m:sSub>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α</m:t>
            </m:r>
            <m:d>
              <m:dPr>
                <m:begChr m:val="("/>
                <m:endChr m:val=")"/>
              </m:dPr>
              <m:e>
                <m:r>
                  <w:rPr>
                    <w:rFonts w:ascii="Cambria Math" w:hAnsi="Cambria Math"/>
                  </w:rPr>
                  <m:t xml:space="preserve">T</m:t>
                </m:r>
                <m:r>
                  <w:rPr>
                    <w:rFonts w:ascii="Cambria Math" w:hAnsi="Cambria Math"/>
                  </w:rPr>
                  <m:t xml:space="preserve">−</m:t>
                </m:r>
                <m:sSub>
                  <m:e>
                    <m:r>
                      <w:rPr>
                        <w:rFonts w:ascii="Cambria Math" w:hAnsi="Cambria Math"/>
                      </w:rPr>
                      <m:t xml:space="preserve">T</m:t>
                    </m:r>
                  </m:e>
                  <m:sub>
                    <m:r>
                      <w:rPr>
                        <w:rFonts w:ascii="Cambria Math" w:hAnsi="Cambria Math"/>
                      </w:rPr>
                      <m:t xml:space="preserve">0</m:t>
                    </m:r>
                  </m:sub>
                </m:sSub>
              </m:e>
            </m:d>
          </m:e>
        </m:d>
        <m:r>
          <w:rPr>
            <w:rFonts w:ascii="Cambria Math" w:hAnsi="Cambria Math"/>
          </w:rPr>
          <m:t xml:space="preserve">,</m:t>
        </m:r>
      </m:oMath>
      <w:r>
        <w:rPr/>
        <w:t xml:space="preserve"> where </w:t>
      </w:r>
      <w:r>
        <w:rPr/>
      </w:r>
      <m:oMath xmlns:m="http://schemas.openxmlformats.org/officeDocument/2006/math">
        <m:sSub>
          <m:e>
            <m:r>
              <w:rPr>
                <w:rFonts w:ascii="Cambria Math" w:hAnsi="Cambria Math"/>
              </w:rPr>
              <m:t xml:space="preserve">ρ</m:t>
            </m:r>
          </m:e>
          <m:sub>
            <m:r>
              <m:rPr>
                <m:lit/>
                <m:nor/>
              </m:rPr>
              <w:rPr>
                <w:rFonts w:ascii="Cambria Math" w:hAnsi="Cambria Math"/>
              </w:rPr>
              <m:t xml:space="preserve">0</m:t>
            </m:r>
          </m:sub>
        </m:sSub>
      </m:oMath>
      <w:r>
        <w:rPr>
          <w:lang w:eastAsia="en-US"/>
        </w:rPr>
        <w:t xml:space="preserve"> is standard (SPT) density at </w:t>
      </w:r>
      <w:r>
        <w:rPr>
          <w:lang w:eastAsia="en-US"/>
        </w:rPr>
      </w:r>
      <m:oMath xmlns:m="http://schemas.openxmlformats.org/officeDocument/2006/math">
        <m:sSub>
          <m:e>
            <m:r>
              <w:rPr>
                <w:rFonts w:ascii="Cambria Math" w:hAnsi="Cambria Math"/>
              </w:rPr>
              <m:t xml:space="preserve">P</m:t>
            </m:r>
          </m:e>
          <m:sub>
            <m:r>
              <w:rPr>
                <w:rFonts w:ascii="Cambria Math" w:hAnsi="Cambria Math"/>
              </w:rPr>
              <m:t xml:space="preserve">O</m:t>
            </m:r>
          </m:sub>
        </m:sSub>
        <m:r>
          <w:rPr>
            <w:rFonts w:ascii="Cambria Math" w:hAnsi="Cambria Math"/>
          </w:rPr>
          <m:t xml:space="preserve">=</m:t>
        </m:r>
        <m:r>
          <w:rPr>
            <w:rFonts w:ascii="Cambria Math" w:hAnsi="Cambria Math"/>
          </w:rPr>
          <m:t xml:space="preserve">0</m:t>
        </m:r>
      </m:oMath>
      <w:r>
        <w:rPr>
          <w:lang w:eastAsia="en-US"/>
        </w:rPr>
        <w:t>.1</w:t>
      </w:r>
      <w:r>
        <w:rPr>
          <w:i/>
          <w:lang w:eastAsia="en-US"/>
        </w:rPr>
        <w:t xml:space="preserve"> </w:t>
      </w:r>
      <w:r>
        <w:rPr>
          <w:lang w:eastAsia="en-US"/>
        </w:rPr>
        <w:t>MPa</w:t>
      </w:r>
      <w:r>
        <w:rPr>
          <w:i/>
          <w:lang w:eastAsia="en-US"/>
        </w:rPr>
        <w:t xml:space="preserve"> </w:t>
      </w:r>
      <w:r>
        <w:rPr>
          <w:lang w:eastAsia="en-US"/>
        </w:rPr>
        <w:t xml:space="preserve">and </w:t>
      </w:r>
      <w:r>
        <w:rPr>
          <w:lang w:eastAsia="en-US"/>
        </w:rPr>
      </w:r>
      <m:oMath xmlns:m="http://schemas.openxmlformats.org/officeDocument/2006/math">
        <m:sSub>
          <m:e>
            <m:r>
              <w:rPr>
                <w:rFonts w:ascii="Cambria Math" w:hAnsi="Cambria Math"/>
              </w:rPr>
              <m:t xml:space="preserve">T</m:t>
            </m:r>
          </m:e>
          <m:sub>
            <m:r>
              <w:rPr>
                <w:rFonts w:ascii="Cambria Math" w:hAnsi="Cambria Math"/>
              </w:rPr>
              <m:t xml:space="preserve">0</m:t>
            </m:r>
          </m:sub>
        </m:sSub>
        <m:r>
          <w:rPr>
            <w:rFonts w:ascii="Cambria Math" w:hAnsi="Cambria Math"/>
          </w:rPr>
          <m:t xml:space="preserve">=</m:t>
        </m:r>
        <m:r>
          <w:rPr>
            <w:rFonts w:ascii="Cambria Math" w:hAnsi="Cambria Math"/>
          </w:rPr>
          <m:t xml:space="preserve">273</m:t>
        </m:r>
      </m:oMath>
      <w:r>
        <w:rPr>
          <w:lang w:eastAsia="en-US"/>
        </w:rPr>
        <w:t xml:space="preserve"> K; </w:t>
      </w:r>
      <w:r>
        <w:rPr>
          <w:lang w:eastAsia="en-US"/>
        </w:rPr>
      </w:r>
      <m:oMath xmlns:m="http://schemas.openxmlformats.org/officeDocument/2006/math">
        <m:r>
          <w:rPr>
            <w:rFonts w:ascii="Cambria Math" w:hAnsi="Cambria Math"/>
          </w:rPr>
          <m:t xml:space="preserve">α</m:t>
        </m:r>
      </m:oMath>
      <w:r>
        <w:rPr>
          <w:lang w:eastAsia="en-US"/>
        </w:rPr>
        <w:t xml:space="preserve"> = 1.0×10</w:t>
      </w:r>
      <w:r>
        <w:rPr>
          <w:vertAlign w:val="superscript"/>
          <w:lang w:eastAsia="en-US"/>
        </w:rPr>
        <w:t xml:space="preserve">-5 </w:t>
      </w:r>
      <w:r>
        <w:rPr>
          <w:rFonts w:eastAsia="Calibri"/>
          <w:lang w:eastAsia="en-US"/>
        </w:rPr>
        <w:t>K</w:t>
      </w:r>
      <w:r>
        <w:rPr>
          <w:rFonts w:eastAsia="Calibri"/>
          <w:vertAlign w:val="superscript"/>
          <w:lang w:eastAsia="en-US"/>
        </w:rPr>
        <w:t xml:space="preserve">-1 </w:t>
      </w:r>
      <w:r>
        <w:rPr>
          <w:lang w:eastAsia="en-US"/>
        </w:rPr>
        <w:t>is thermal expansion;</w:t>
      </w:r>
      <w:r>
        <w:rPr/>
        <w:t xml:space="preserve"> </w:t>
      </w:r>
      <w:r>
        <w:rPr/>
      </w:r>
      <m:oMath xmlns:m="http://schemas.openxmlformats.org/officeDocument/2006/math">
        <m:r>
          <w:rPr>
            <w:rFonts w:ascii="Cambria Math" w:hAnsi="Cambria Math"/>
          </w:rPr>
          <m:t xml:space="preserve">k</m:t>
        </m:r>
      </m:oMath>
      <w:r>
        <w:rPr/>
        <w:t xml:space="preserve"> is temperature-dependent thermal conductivity, and</w:t>
      </w:r>
      <w:r>
        <w:rPr/>
      </w:r>
      <m:oMath xmlns:m="http://schemas.openxmlformats.org/officeDocument/2006/math">
        <m:r>
          <w:rPr>
            <w:rFonts w:ascii="Cambria Math" w:hAnsi="Cambria Math"/>
          </w:rPr>
          <m:t xml:space="preserve">Cp</m:t>
        </m:r>
        <m:r>
          <w:rPr>
            <w:rFonts w:ascii="Cambria Math" w:hAnsi="Cambria Math"/>
          </w:rPr>
          <m:t xml:space="preserve">=</m:t>
        </m:r>
        <m:r>
          <w:rPr>
            <w:rFonts w:ascii="Cambria Math" w:hAnsi="Cambria Math"/>
          </w:rPr>
          <m:t xml:space="preserve">1</m:t>
        </m:r>
        <m:r>
          <w:rPr>
            <w:rFonts w:ascii="Cambria Math" w:hAnsi="Cambria Math"/>
          </w:rPr>
          <m:t xml:space="preserve">2</m:t>
        </m:r>
        <m:r>
          <w:rPr>
            <w:rFonts w:ascii="Cambria Math" w:hAnsi="Cambria Math"/>
          </w:rPr>
          <m:t xml:space="preserve">00</m:t>
        </m:r>
        <m:f>
          <m:fPr>
            <m:type m:val="lin"/>
          </m:fPr>
          <m:num>
            <m:r>
              <w:rPr>
                <w:rFonts w:ascii="Cambria Math" w:hAnsi="Cambria Math"/>
              </w:rPr>
              <m:t xml:space="preserve">J</m:t>
            </m:r>
          </m:num>
          <m:den>
            <m:r>
              <w:rPr>
                <w:rFonts w:ascii="Cambria Math" w:hAnsi="Cambria Math"/>
              </w:rPr>
              <m:t xml:space="preserve">K</m:t>
            </m:r>
          </m:den>
        </m:f>
      </m:oMath>
      <w:r>
        <w:rPr/>
        <w:t xml:space="preserve"> is heat capacity. </w:t>
      </w:r>
    </w:p>
    <w:p>
      <w:pPr>
        <w:pStyle w:val="Normal"/>
        <w:rPr/>
      </w:pPr>
      <w:r>
        <w:rPr/>
        <w:t>The results for reference model evolution are shown in Figures 3-4. Models with other parameters are tested as well (Table S2, Figures 5-8, S2-S3).</w:t>
      </w:r>
    </w:p>
    <w:p>
      <w:pPr>
        <w:pStyle w:val="Normal"/>
        <w:rPr>
          <w:b/>
          <w:b/>
          <w:bCs/>
          <w:szCs w:val="18"/>
        </w:rPr>
      </w:pPr>
      <w:r>
        <w:rPr>
          <w:b/>
          <w:bCs/>
          <w:szCs w:val="18"/>
        </w:rPr>
      </w:r>
    </w:p>
    <w:tbl>
      <w:tblPr>
        <w:tblStyle w:val="a8"/>
        <w:tblW w:w="5000" w:type="pct"/>
        <w:jc w:val="left"/>
        <w:tblInd w:w="0" w:type="dxa"/>
        <w:tblCellMar>
          <w:top w:w="0" w:type="dxa"/>
          <w:left w:w="108" w:type="dxa"/>
          <w:bottom w:w="0" w:type="dxa"/>
          <w:right w:w="108" w:type="dxa"/>
        </w:tblCellMar>
        <w:tblLook w:val="04a0" w:noVBand="1" w:noHBand="0" w:lastColumn="0" w:firstColumn="1" w:lastRow="0" w:firstRow="1"/>
      </w:tblPr>
      <w:tblGrid>
        <w:gridCol w:w="2410"/>
        <w:gridCol w:w="2175"/>
        <w:gridCol w:w="2178"/>
        <w:gridCol w:w="2308"/>
      </w:tblGrid>
      <w:tr>
        <w:trPr>
          <w:trHeight w:val="88" w:hRule="atLeast"/>
        </w:trPr>
        <w:tc>
          <w:tcPr>
            <w:tcW w:w="2410" w:type="dxa"/>
            <w:vMerge w:val="restart"/>
            <w:tcBorders/>
            <w:shd w:fill="auto" w:val="clear"/>
            <w:tcMar>
              <w:left w:w="108" w:type="dxa"/>
            </w:tcMar>
          </w:tcPr>
          <w:p>
            <w:pPr>
              <w:pStyle w:val="Normal"/>
              <w:rPr>
                <w:szCs w:val="24"/>
                <w:lang w:eastAsia="en-US"/>
              </w:rPr>
            </w:pPr>
            <w:r>
              <w:rPr>
                <w:szCs w:val="24"/>
                <w:lang w:eastAsia="en-US"/>
              </w:rPr>
            </w:r>
          </w:p>
        </w:tc>
        <w:tc>
          <w:tcPr>
            <w:tcW w:w="2175" w:type="dxa"/>
            <w:tcBorders/>
            <w:shd w:fill="auto" w:val="clear"/>
            <w:tcMar>
              <w:left w:w="108" w:type="dxa"/>
            </w:tcMar>
          </w:tcPr>
          <w:p>
            <w:pPr>
              <w:pStyle w:val="Normal"/>
              <w:rPr>
                <w:szCs w:val="24"/>
                <w:lang w:eastAsia="en-US"/>
              </w:rPr>
            </w:pPr>
            <w:r>
              <w:rPr>
                <w:szCs w:val="24"/>
                <w:lang w:eastAsia="en-US"/>
              </w:rPr>
              <w:t xml:space="preserve"> </w:t>
            </w:r>
            <w:r>
              <w:rPr>
                <w:szCs w:val="24"/>
                <w:lang w:eastAsia="en-US"/>
              </w:rPr>
              <w:t>Crust</w:t>
            </w:r>
          </w:p>
        </w:tc>
        <w:tc>
          <w:tcPr>
            <w:tcW w:w="2178" w:type="dxa"/>
            <w:tcBorders/>
            <w:shd w:fill="auto" w:val="clear"/>
            <w:tcMar>
              <w:left w:w="108" w:type="dxa"/>
            </w:tcMar>
          </w:tcPr>
          <w:p>
            <w:pPr>
              <w:pStyle w:val="Normal"/>
              <w:rPr>
                <w:szCs w:val="24"/>
                <w:lang w:eastAsia="en-US"/>
              </w:rPr>
            </w:pPr>
            <w:r>
              <w:rPr>
                <w:szCs w:val="24"/>
                <w:lang w:eastAsia="en-US"/>
              </w:rPr>
              <w:t>Lithospheric Mantle</w:t>
            </w:r>
          </w:p>
        </w:tc>
        <w:tc>
          <w:tcPr>
            <w:tcW w:w="2308" w:type="dxa"/>
            <w:tcBorders/>
            <w:shd w:fill="auto" w:val="clear"/>
            <w:tcMar>
              <w:left w:w="108" w:type="dxa"/>
            </w:tcMar>
          </w:tcPr>
          <w:p>
            <w:pPr>
              <w:pStyle w:val="Normal"/>
              <w:rPr>
                <w:szCs w:val="24"/>
                <w:lang w:eastAsia="en-US"/>
              </w:rPr>
            </w:pPr>
            <w:r>
              <w:rPr>
                <w:szCs w:val="24"/>
                <w:lang w:eastAsia="en-US"/>
              </w:rPr>
              <w:t>Sub-lithospheric Mantle</w:t>
            </w:r>
          </w:p>
        </w:tc>
      </w:tr>
      <w:tr>
        <w:trPr>
          <w:trHeight w:val="512" w:hRule="atLeast"/>
        </w:trPr>
        <w:tc>
          <w:tcPr>
            <w:tcW w:w="2410" w:type="dxa"/>
            <w:vMerge w:val="continue"/>
            <w:tcBorders/>
            <w:shd w:fill="auto" w:val="clear"/>
            <w:tcMar>
              <w:left w:w="108" w:type="dxa"/>
            </w:tcMar>
          </w:tcPr>
          <w:p>
            <w:pPr>
              <w:pStyle w:val="Normal"/>
              <w:rPr>
                <w:szCs w:val="24"/>
                <w:lang w:eastAsia="en-US"/>
              </w:rPr>
            </w:pPr>
            <w:r>
              <w:rPr>
                <w:szCs w:val="24"/>
                <w:lang w:eastAsia="en-US"/>
              </w:rPr>
            </w:r>
          </w:p>
        </w:tc>
        <w:tc>
          <w:tcPr>
            <w:tcW w:w="2175" w:type="dxa"/>
            <w:tcBorders/>
            <w:shd w:fill="auto" w:val="clear"/>
            <w:tcMar>
              <w:left w:w="108" w:type="dxa"/>
            </w:tcMar>
          </w:tcPr>
          <w:p>
            <w:pPr>
              <w:pStyle w:val="Normal"/>
              <w:rPr>
                <w:szCs w:val="24"/>
                <w:lang w:eastAsia="en-US"/>
              </w:rPr>
            </w:pPr>
            <w:r>
              <w:rPr>
                <w:szCs w:val="24"/>
                <w:lang w:eastAsia="en-US"/>
              </w:rPr>
              <w:t>Wet quartzite</w:t>
            </w:r>
            <w:r>
              <w:rPr>
                <w:szCs w:val="24"/>
                <w:vertAlign w:val="superscript"/>
                <w:lang w:eastAsia="en-US"/>
              </w:rPr>
              <w:t>[1]</w:t>
            </w:r>
          </w:p>
        </w:tc>
        <w:tc>
          <w:tcPr>
            <w:tcW w:w="2178" w:type="dxa"/>
            <w:tcBorders/>
            <w:shd w:fill="auto" w:val="clear"/>
            <w:tcMar>
              <w:left w:w="108" w:type="dxa"/>
            </w:tcMar>
          </w:tcPr>
          <w:p>
            <w:pPr>
              <w:pStyle w:val="Normal"/>
              <w:rPr>
                <w:szCs w:val="24"/>
                <w:lang w:eastAsia="en-US"/>
              </w:rPr>
            </w:pPr>
            <w:r>
              <w:rPr>
                <w:szCs w:val="24"/>
                <w:lang w:eastAsia="en-US"/>
              </w:rPr>
              <w:t>Dry olivine</w:t>
            </w:r>
            <w:r>
              <w:rPr>
                <w:szCs w:val="24"/>
                <w:vertAlign w:val="superscript"/>
                <w:lang w:eastAsia="en-US"/>
              </w:rPr>
              <w:t>[2]</w:t>
            </w:r>
          </w:p>
        </w:tc>
        <w:tc>
          <w:tcPr>
            <w:tcW w:w="2308" w:type="dxa"/>
            <w:tcBorders/>
            <w:shd w:fill="auto" w:val="clear"/>
            <w:tcMar>
              <w:left w:w="108" w:type="dxa"/>
            </w:tcMar>
          </w:tcPr>
          <w:p>
            <w:pPr>
              <w:pStyle w:val="Normal"/>
              <w:rPr>
                <w:szCs w:val="24"/>
                <w:lang w:eastAsia="en-US"/>
              </w:rPr>
            </w:pPr>
            <w:r>
              <w:rPr>
                <w:szCs w:val="24"/>
                <w:lang w:eastAsia="en-US"/>
              </w:rPr>
              <w:t>Dry olivine</w:t>
            </w:r>
            <w:r>
              <w:rPr>
                <w:szCs w:val="24"/>
                <w:vertAlign w:val="superscript"/>
                <w:lang w:eastAsia="en-US"/>
              </w:rPr>
              <w:t>[2]</w:t>
            </w:r>
          </w:p>
        </w:tc>
      </w:tr>
      <w:tr>
        <w:trPr/>
        <w:tc>
          <w:tcPr>
            <w:tcW w:w="2410" w:type="dxa"/>
            <w:tcBorders/>
            <w:shd w:fill="auto" w:val="clear"/>
            <w:tcMar>
              <w:left w:w="108" w:type="dxa"/>
            </w:tcMar>
            <w:vAlign w:val="center"/>
          </w:tcPr>
          <w:p>
            <w:pPr>
              <w:pStyle w:val="Normal"/>
              <w:rPr>
                <w:szCs w:val="24"/>
                <w:lang w:eastAsia="en-US"/>
              </w:rPr>
            </w:pPr>
            <w:r>
              <w:rPr>
                <w:szCs w:val="24"/>
                <w:lang w:eastAsia="en-US"/>
              </w:rPr>
            </w:r>
            <m:oMath xmlns:m="http://schemas.openxmlformats.org/officeDocument/2006/math">
              <m:r>
                <w:rPr>
                  <w:rFonts w:ascii="Cambria Math" w:hAnsi="Cambria Math"/>
                </w:rPr>
                <m:t xml:space="preserve">A</m:t>
              </m:r>
            </m:oMath>
            <w:r>
              <w:rPr>
                <w:szCs w:val="24"/>
                <w:lang w:eastAsia="en-US"/>
              </w:rPr>
              <w:t xml:space="preserve"> </w:t>
            </w:r>
            <w:r>
              <w:rPr>
                <w:szCs w:val="24"/>
                <w:lang w:eastAsia="en-US"/>
              </w:rPr>
              <w:t>(MPa</w:t>
            </w:r>
            <w:r>
              <w:rPr>
                <w:szCs w:val="24"/>
                <w:vertAlign w:val="superscript"/>
                <w:lang w:eastAsia="en-US"/>
              </w:rPr>
              <w:t xml:space="preserve">-n </w:t>
            </w:r>
            <w:r>
              <w:rPr>
                <w:szCs w:val="24"/>
                <w:lang w:eastAsia="en-US"/>
              </w:rPr>
              <w:t>S</w:t>
            </w:r>
            <w:r>
              <w:rPr>
                <w:szCs w:val="24"/>
                <w:vertAlign w:val="superscript"/>
                <w:lang w:eastAsia="en-US"/>
              </w:rPr>
              <w:t>-1</w:t>
            </w:r>
            <w:r>
              <w:rPr>
                <w:szCs w:val="24"/>
                <w:lang w:eastAsia="en-US"/>
              </w:rPr>
              <w:t>)</w:t>
            </w:r>
          </w:p>
        </w:tc>
        <w:tc>
          <w:tcPr>
            <w:tcW w:w="2175" w:type="dxa"/>
            <w:tcBorders/>
            <w:shd w:fill="auto" w:val="clear"/>
            <w:tcMar>
              <w:left w:w="108" w:type="dxa"/>
            </w:tcMar>
            <w:vAlign w:val="center"/>
          </w:tcPr>
          <w:p>
            <w:pPr>
              <w:pStyle w:val="Normal"/>
              <w:rPr>
                <w:szCs w:val="24"/>
                <w:lang w:eastAsia="en-US"/>
              </w:rPr>
            </w:pPr>
            <w:r>
              <w:rPr>
                <w:szCs w:val="24"/>
                <w:lang w:eastAsia="en-US"/>
              </w:rPr>
              <w:t>3.2×10</w:t>
            </w:r>
            <w:r>
              <w:rPr>
                <w:szCs w:val="24"/>
                <w:vertAlign w:val="superscript"/>
                <w:lang w:eastAsia="en-US"/>
              </w:rPr>
              <w:t>-4</w:t>
            </w:r>
          </w:p>
        </w:tc>
        <w:tc>
          <w:tcPr>
            <w:tcW w:w="2178" w:type="dxa"/>
            <w:tcBorders/>
            <w:shd w:fill="auto" w:val="clear"/>
            <w:tcMar>
              <w:left w:w="108" w:type="dxa"/>
            </w:tcMar>
          </w:tcPr>
          <w:p>
            <w:pPr>
              <w:pStyle w:val="Normal"/>
              <w:rPr>
                <w:szCs w:val="24"/>
                <w:lang w:eastAsia="en-US"/>
              </w:rPr>
            </w:pPr>
            <w:r>
              <w:rPr>
                <w:szCs w:val="24"/>
                <w:lang w:eastAsia="en-US"/>
              </w:rPr>
              <w:t>1.585×10</w:t>
            </w:r>
            <w:r>
              <w:rPr>
                <w:szCs w:val="24"/>
                <w:vertAlign w:val="superscript"/>
                <w:lang w:eastAsia="en-US"/>
              </w:rPr>
              <w:t>3.5</w:t>
            </w:r>
          </w:p>
        </w:tc>
        <w:tc>
          <w:tcPr>
            <w:tcW w:w="2308" w:type="dxa"/>
            <w:tcBorders/>
            <w:shd w:fill="auto" w:val="clear"/>
            <w:tcMar>
              <w:left w:w="108" w:type="dxa"/>
            </w:tcMar>
          </w:tcPr>
          <w:p>
            <w:pPr>
              <w:pStyle w:val="Normal"/>
              <w:rPr>
                <w:szCs w:val="24"/>
                <w:lang w:eastAsia="en-US"/>
              </w:rPr>
            </w:pPr>
            <w:r>
              <w:rPr>
                <w:szCs w:val="24"/>
                <w:lang w:eastAsia="en-US"/>
              </w:rPr>
              <w:t>1.585×10</w:t>
            </w:r>
            <w:r>
              <w:rPr>
                <w:szCs w:val="24"/>
                <w:vertAlign w:val="superscript"/>
                <w:lang w:eastAsia="en-US"/>
              </w:rPr>
              <w:t>3.5</w:t>
            </w:r>
          </w:p>
        </w:tc>
      </w:tr>
      <w:tr>
        <w:trPr/>
        <w:tc>
          <w:tcPr>
            <w:tcW w:w="2410" w:type="dxa"/>
            <w:tcBorders/>
            <w:shd w:fill="auto" w:val="clear"/>
            <w:tcMar>
              <w:left w:w="108" w:type="dxa"/>
            </w:tcMar>
          </w:tcPr>
          <w:p>
            <w:pPr>
              <w:pStyle w:val="Normal"/>
              <w:rPr>
                <w:szCs w:val="24"/>
                <w:lang w:eastAsia="en-US"/>
              </w:rPr>
            </w:pPr>
            <w:r>
              <w:rPr>
                <w:szCs w:val="24"/>
                <w:lang w:eastAsia="en-US"/>
              </w:rPr>
            </w:r>
            <m:oMath xmlns:m="http://schemas.openxmlformats.org/officeDocument/2006/math">
              <m:r>
                <w:rPr>
                  <w:rFonts w:ascii="Cambria Math" w:hAnsi="Cambria Math"/>
                </w:rPr>
                <m:t xml:space="preserve">n</m:t>
              </m:r>
            </m:oMath>
          </w:p>
        </w:tc>
        <w:tc>
          <w:tcPr>
            <w:tcW w:w="2175" w:type="dxa"/>
            <w:tcBorders/>
            <w:shd w:fill="auto" w:val="clear"/>
            <w:tcMar>
              <w:left w:w="108" w:type="dxa"/>
            </w:tcMar>
          </w:tcPr>
          <w:p>
            <w:pPr>
              <w:pStyle w:val="Normal"/>
              <w:rPr>
                <w:szCs w:val="24"/>
                <w:lang w:eastAsia="en-US"/>
              </w:rPr>
            </w:pPr>
            <w:r>
              <w:rPr>
                <w:szCs w:val="24"/>
                <w:lang w:eastAsia="en-US"/>
              </w:rPr>
              <w:t>2.3</w:t>
            </w:r>
          </w:p>
        </w:tc>
        <w:tc>
          <w:tcPr>
            <w:tcW w:w="2178" w:type="dxa"/>
            <w:tcBorders/>
            <w:shd w:fill="auto" w:val="clear"/>
            <w:tcMar>
              <w:left w:w="108" w:type="dxa"/>
            </w:tcMar>
          </w:tcPr>
          <w:p>
            <w:pPr>
              <w:pStyle w:val="Normal"/>
              <w:rPr>
                <w:szCs w:val="24"/>
                <w:lang w:eastAsia="en-US"/>
              </w:rPr>
            </w:pPr>
            <w:r>
              <w:rPr>
                <w:szCs w:val="24"/>
                <w:lang w:eastAsia="en-US"/>
              </w:rPr>
              <w:t>3.5</w:t>
            </w:r>
          </w:p>
        </w:tc>
        <w:tc>
          <w:tcPr>
            <w:tcW w:w="2308" w:type="dxa"/>
            <w:tcBorders/>
            <w:shd w:fill="auto" w:val="clear"/>
            <w:tcMar>
              <w:left w:w="108" w:type="dxa"/>
            </w:tcMar>
          </w:tcPr>
          <w:p>
            <w:pPr>
              <w:pStyle w:val="Normal"/>
              <w:rPr>
                <w:szCs w:val="24"/>
                <w:lang w:eastAsia="en-US"/>
              </w:rPr>
            </w:pPr>
            <w:r>
              <w:rPr>
                <w:szCs w:val="24"/>
                <w:lang w:eastAsia="en-US"/>
              </w:rPr>
              <w:t>3.5</w:t>
            </w:r>
          </w:p>
        </w:tc>
      </w:tr>
      <w:tr>
        <w:trPr/>
        <w:tc>
          <w:tcPr>
            <w:tcW w:w="2410" w:type="dxa"/>
            <w:tcBorders/>
            <w:shd w:fill="auto" w:val="clear"/>
            <w:tcMar>
              <w:left w:w="108" w:type="dxa"/>
            </w:tcMar>
          </w:tcPr>
          <w:p>
            <w:pPr>
              <w:pStyle w:val="Normal"/>
              <w:rPr>
                <w:szCs w:val="24"/>
                <w:lang w:eastAsia="en-US"/>
              </w:rPr>
            </w:pPr>
            <w:r>
              <w:rPr>
                <w:szCs w:val="24"/>
                <w:lang w:eastAsia="en-US"/>
              </w:rPr>
            </w:r>
            <m:oMath xmlns:m="http://schemas.openxmlformats.org/officeDocument/2006/math">
              <m:r>
                <w:rPr>
                  <w:rFonts w:ascii="Cambria Math" w:hAnsi="Cambria Math"/>
                </w:rPr>
                <m:t xml:space="preserve">E</m:t>
              </m:r>
            </m:oMath>
            <w:r>
              <w:rPr>
                <w:szCs w:val="24"/>
                <w:lang w:eastAsia="en-US"/>
              </w:rPr>
              <w:t>kJ/mol</w:t>
            </w:r>
          </w:p>
        </w:tc>
        <w:tc>
          <w:tcPr>
            <w:tcW w:w="2175" w:type="dxa"/>
            <w:tcBorders/>
            <w:shd w:fill="auto" w:val="clear"/>
            <w:tcMar>
              <w:left w:w="108" w:type="dxa"/>
            </w:tcMar>
          </w:tcPr>
          <w:p>
            <w:pPr>
              <w:pStyle w:val="Normal"/>
              <w:rPr>
                <w:szCs w:val="24"/>
                <w:lang w:eastAsia="en-US"/>
              </w:rPr>
            </w:pPr>
            <w:r>
              <w:rPr>
                <w:szCs w:val="24"/>
                <w:lang w:eastAsia="en-US"/>
              </w:rPr>
              <w:t>154</w:t>
            </w:r>
          </w:p>
        </w:tc>
        <w:tc>
          <w:tcPr>
            <w:tcW w:w="2178" w:type="dxa"/>
            <w:tcBorders/>
            <w:shd w:fill="auto" w:val="clear"/>
            <w:tcMar>
              <w:left w:w="108" w:type="dxa"/>
            </w:tcMar>
          </w:tcPr>
          <w:p>
            <w:pPr>
              <w:pStyle w:val="Normal"/>
              <w:rPr>
                <w:szCs w:val="24"/>
                <w:lang w:eastAsia="en-US"/>
              </w:rPr>
            </w:pPr>
            <w:r>
              <w:rPr>
                <w:szCs w:val="24"/>
                <w:lang w:eastAsia="en-US"/>
              </w:rPr>
              <w:t>510</w:t>
            </w:r>
          </w:p>
        </w:tc>
        <w:tc>
          <w:tcPr>
            <w:tcW w:w="2308" w:type="dxa"/>
            <w:tcBorders/>
            <w:shd w:fill="auto" w:val="clear"/>
            <w:tcMar>
              <w:left w:w="108" w:type="dxa"/>
            </w:tcMar>
          </w:tcPr>
          <w:p>
            <w:pPr>
              <w:pStyle w:val="Normal"/>
              <w:rPr>
                <w:szCs w:val="24"/>
                <w:lang w:eastAsia="en-US"/>
              </w:rPr>
            </w:pPr>
            <w:r>
              <w:rPr>
                <w:szCs w:val="24"/>
                <w:lang w:eastAsia="en-US"/>
              </w:rPr>
              <w:t>510</w:t>
            </w:r>
          </w:p>
        </w:tc>
      </w:tr>
      <w:tr>
        <w:trPr>
          <w:trHeight w:val="288" w:hRule="atLeast"/>
        </w:trPr>
        <w:tc>
          <w:tcPr>
            <w:tcW w:w="2410" w:type="dxa"/>
            <w:tcBorders/>
            <w:shd w:fill="auto" w:val="clear"/>
            <w:tcMar>
              <w:left w:w="108" w:type="dxa"/>
            </w:tcMar>
            <w:vAlign w:val="center"/>
          </w:tcPr>
          <w:p>
            <w:pPr>
              <w:pStyle w:val="Normal"/>
              <w:rPr>
                <w:szCs w:val="24"/>
                <w:lang w:eastAsia="en-US"/>
              </w:rPr>
            </w:pPr>
            <w:r>
              <w:rPr>
                <w:szCs w:val="24"/>
                <w:lang w:eastAsia="en-US"/>
              </w:rPr>
            </w:r>
            <m:oMath xmlns:m="http://schemas.openxmlformats.org/officeDocument/2006/math">
              <m:r>
                <w:rPr>
                  <w:rFonts w:ascii="Cambria Math" w:hAnsi="Cambria Math"/>
                </w:rPr>
                <m:t xml:space="preserve">V</m:t>
              </m:r>
            </m:oMath>
            <w:r>
              <w:rPr>
                <w:szCs w:val="24"/>
                <w:lang w:eastAsia="en-US"/>
              </w:rPr>
              <w:t>(cm</w:t>
            </w:r>
            <w:r>
              <w:rPr>
                <w:szCs w:val="24"/>
                <w:vertAlign w:val="superscript"/>
                <w:lang w:eastAsia="en-US"/>
              </w:rPr>
              <w:t>3</w:t>
            </w:r>
            <w:r>
              <w:rPr>
                <w:szCs w:val="24"/>
                <w:lang w:eastAsia="en-US"/>
              </w:rPr>
              <w:t>/mol)</w:t>
            </w:r>
          </w:p>
        </w:tc>
        <w:tc>
          <w:tcPr>
            <w:tcW w:w="2175" w:type="dxa"/>
            <w:tcBorders/>
            <w:shd w:fill="auto" w:val="clear"/>
            <w:tcMar>
              <w:left w:w="108" w:type="dxa"/>
            </w:tcMar>
          </w:tcPr>
          <w:p>
            <w:pPr>
              <w:pStyle w:val="Normal"/>
              <w:rPr>
                <w:szCs w:val="24"/>
                <w:lang w:eastAsia="en-US"/>
              </w:rPr>
            </w:pPr>
            <w:r>
              <w:rPr>
                <w:szCs w:val="24"/>
                <w:lang w:eastAsia="en-US"/>
              </w:rPr>
              <w:t>0</w:t>
            </w:r>
          </w:p>
        </w:tc>
        <w:tc>
          <w:tcPr>
            <w:tcW w:w="2178" w:type="dxa"/>
            <w:tcBorders/>
            <w:shd w:fill="auto" w:val="clear"/>
            <w:tcMar>
              <w:left w:w="108" w:type="dxa"/>
            </w:tcMar>
          </w:tcPr>
          <w:p>
            <w:pPr>
              <w:pStyle w:val="Normal"/>
              <w:rPr>
                <w:szCs w:val="24"/>
                <w:lang w:eastAsia="en-US"/>
              </w:rPr>
            </w:pPr>
            <w:r>
              <w:rPr>
                <w:szCs w:val="24"/>
                <w:lang w:eastAsia="en-US"/>
              </w:rPr>
              <w:t>11</w:t>
            </w:r>
          </w:p>
        </w:tc>
        <w:tc>
          <w:tcPr>
            <w:tcW w:w="2308" w:type="dxa"/>
            <w:tcBorders/>
            <w:shd w:fill="auto" w:val="clear"/>
            <w:tcMar>
              <w:left w:w="108" w:type="dxa"/>
            </w:tcMar>
          </w:tcPr>
          <w:p>
            <w:pPr>
              <w:pStyle w:val="Normal"/>
              <w:rPr>
                <w:szCs w:val="24"/>
                <w:lang w:eastAsia="en-US"/>
              </w:rPr>
            </w:pPr>
            <w:r>
              <w:rPr>
                <w:szCs w:val="24"/>
                <w:lang w:eastAsia="en-US"/>
              </w:rPr>
              <w:t>11</w:t>
            </w:r>
          </w:p>
        </w:tc>
      </w:tr>
      <w:tr>
        <w:trPr>
          <w:trHeight w:val="218" w:hRule="atLeast"/>
        </w:trPr>
        <w:tc>
          <w:tcPr>
            <w:tcW w:w="2410" w:type="dxa"/>
            <w:tcBorders/>
            <w:shd w:fill="auto" w:val="clear"/>
            <w:tcMar>
              <w:left w:w="108" w:type="dxa"/>
            </w:tcMar>
          </w:tcPr>
          <w:p>
            <w:pPr>
              <w:pStyle w:val="Normal"/>
              <w:rPr>
                <w:szCs w:val="24"/>
                <w:lang w:eastAsia="en-US"/>
              </w:rPr>
            </w:pPr>
            <w:r>
              <w:rPr>
                <w:szCs w:val="24"/>
                <w:lang w:eastAsia="en-US"/>
              </w:rPr>
            </w:r>
            <m:oMath xmlns:m="http://schemas.openxmlformats.org/officeDocument/2006/math">
              <m:sSub>
                <m:e>
                  <m:r>
                    <w:rPr>
                      <w:rFonts w:ascii="Cambria Math" w:hAnsi="Cambria Math"/>
                    </w:rPr>
                    <m:t xml:space="preserve">ρ</m:t>
                  </m:r>
                </m:e>
                <m:sub>
                  <m:r>
                    <w:rPr>
                      <w:rFonts w:ascii="Cambria Math" w:hAnsi="Cambria Math"/>
                    </w:rPr>
                    <m:t xml:space="preserve">o</m:t>
                  </m:r>
                </m:sub>
              </m:sSub>
            </m:oMath>
            <w:r>
              <w:rPr>
                <w:szCs w:val="24"/>
                <w:lang w:eastAsia="en-US"/>
              </w:rPr>
              <w:t xml:space="preserve"> </w:t>
            </w:r>
            <w:r>
              <w:rPr>
                <w:szCs w:val="24"/>
                <w:lang w:eastAsia="en-US"/>
              </w:rPr>
              <w:t>(kg/m</w:t>
            </w:r>
            <w:r>
              <w:rPr>
                <w:szCs w:val="24"/>
                <w:vertAlign w:val="superscript"/>
                <w:lang w:eastAsia="en-US"/>
              </w:rPr>
              <w:t>3</w:t>
            </w:r>
            <w:r>
              <w:rPr>
                <w:szCs w:val="24"/>
                <w:lang w:eastAsia="en-US"/>
              </w:rPr>
              <w:t>)</w:t>
            </w:r>
          </w:p>
        </w:tc>
        <w:tc>
          <w:tcPr>
            <w:tcW w:w="2175" w:type="dxa"/>
            <w:tcBorders/>
            <w:shd w:fill="auto" w:val="clear"/>
            <w:tcMar>
              <w:left w:w="108" w:type="dxa"/>
            </w:tcMar>
          </w:tcPr>
          <w:p>
            <w:pPr>
              <w:pStyle w:val="Normal"/>
              <w:rPr>
                <w:szCs w:val="24"/>
                <w:lang w:eastAsia="en-US"/>
              </w:rPr>
            </w:pPr>
            <w:r>
              <w:rPr>
                <w:szCs w:val="24"/>
                <w:lang w:eastAsia="en-US"/>
              </w:rPr>
              <w:t>2700</w:t>
            </w:r>
          </w:p>
        </w:tc>
        <w:tc>
          <w:tcPr>
            <w:tcW w:w="2178" w:type="dxa"/>
            <w:tcBorders/>
            <w:shd w:fill="auto" w:val="clear"/>
            <w:tcMar>
              <w:left w:w="108" w:type="dxa"/>
            </w:tcMar>
          </w:tcPr>
          <w:p>
            <w:pPr>
              <w:pStyle w:val="Normal"/>
              <w:rPr>
                <w:color w:val="FF0000"/>
              </w:rPr>
            </w:pPr>
            <w:r>
              <w:rPr>
                <w:szCs w:val="24"/>
                <w:lang w:eastAsia="en-US"/>
              </w:rPr>
              <w:t>3300</w:t>
            </w:r>
          </w:p>
        </w:tc>
        <w:tc>
          <w:tcPr>
            <w:tcW w:w="2308" w:type="dxa"/>
            <w:tcBorders/>
            <w:shd w:fill="auto" w:val="clear"/>
            <w:tcMar>
              <w:left w:w="108" w:type="dxa"/>
            </w:tcMar>
          </w:tcPr>
          <w:p>
            <w:pPr>
              <w:pStyle w:val="Normal"/>
              <w:rPr>
                <w:color w:val="FF0000"/>
              </w:rPr>
            </w:pPr>
            <w:r>
              <w:rPr>
                <w:szCs w:val="24"/>
                <w:lang w:eastAsia="en-US"/>
              </w:rPr>
              <w:t>3330</w:t>
            </w:r>
          </w:p>
        </w:tc>
      </w:tr>
      <w:tr>
        <w:trPr>
          <w:trHeight w:val="231" w:hRule="atLeast"/>
        </w:trPr>
        <w:tc>
          <w:tcPr>
            <w:tcW w:w="2410" w:type="dxa"/>
            <w:tcBorders/>
            <w:shd w:fill="auto" w:val="clear"/>
            <w:tcMar>
              <w:left w:w="108" w:type="dxa"/>
            </w:tcMar>
          </w:tcPr>
          <w:p>
            <w:pPr>
              <w:pStyle w:val="Normal"/>
              <w:rPr>
                <w:rFonts w:eastAsia="Calibri"/>
              </w:rPr>
            </w:pPr>
            <w:r>
              <w:rPr>
                <w:szCs w:val="24"/>
                <w:lang w:eastAsia="en-US"/>
              </w:rPr>
            </w:r>
            <m:oMath xmlns:m="http://schemas.openxmlformats.org/officeDocument/2006/math">
              <m:r>
                <w:rPr>
                  <w:rFonts w:ascii="Cambria Math" w:hAnsi="Cambria Math"/>
                </w:rPr>
                <m:t xml:space="preserve">k</m:t>
              </m:r>
            </m:oMath>
            <w:r>
              <w:rPr>
                <w:rFonts w:eastAsia="Calibri"/>
                <w:szCs w:val="24"/>
                <w:lang w:eastAsia="en-US"/>
              </w:rPr>
              <w:t>(</w:t>
            </w:r>
            <w:r>
              <w:rPr>
                <w:szCs w:val="24"/>
                <w:lang w:eastAsia="en-US"/>
              </w:rPr>
              <w:t>W/mK)</w:t>
            </w:r>
            <w:r>
              <w:rPr>
                <w:szCs w:val="24"/>
                <w:vertAlign w:val="superscript"/>
                <w:lang w:eastAsia="en-US"/>
              </w:rPr>
              <w:t>[3]</w:t>
            </w:r>
          </w:p>
        </w:tc>
        <w:tc>
          <w:tcPr>
            <w:tcW w:w="2175" w:type="dxa"/>
            <w:tcBorders/>
            <w:shd w:fill="auto" w:val="clear"/>
            <w:tcMar>
              <w:left w:w="108" w:type="dxa"/>
            </w:tcMar>
          </w:tcPr>
          <w:p>
            <w:pPr>
              <w:pStyle w:val="Normal"/>
              <w:rPr>
                <w:szCs w:val="24"/>
                <w:lang w:eastAsia="en-US"/>
              </w:rPr>
            </w:pPr>
            <w:r>
              <w:rPr>
                <w:szCs w:val="24"/>
                <w:lang w:eastAsia="en-US"/>
              </w:rPr>
              <w:t>0.64+807/(T+77)</w:t>
            </w:r>
          </w:p>
        </w:tc>
        <w:tc>
          <w:tcPr>
            <w:tcW w:w="2178" w:type="dxa"/>
            <w:tcBorders/>
            <w:shd w:fill="auto" w:val="clear"/>
            <w:tcMar>
              <w:left w:w="108" w:type="dxa"/>
            </w:tcMar>
          </w:tcPr>
          <w:p>
            <w:pPr>
              <w:pStyle w:val="Normal"/>
              <w:rPr>
                <w:szCs w:val="24"/>
                <w:lang w:eastAsia="en-US"/>
              </w:rPr>
            </w:pPr>
            <w:r>
              <w:rPr>
                <w:szCs w:val="24"/>
                <w:lang w:eastAsia="en-US"/>
              </w:rPr>
              <w:t>0.73+1293/(T+77)</w:t>
            </w:r>
          </w:p>
        </w:tc>
        <w:tc>
          <w:tcPr>
            <w:tcW w:w="2308" w:type="dxa"/>
            <w:tcBorders/>
            <w:shd w:fill="auto" w:val="clear"/>
            <w:tcMar>
              <w:left w:w="108" w:type="dxa"/>
            </w:tcMar>
          </w:tcPr>
          <w:p>
            <w:pPr>
              <w:pStyle w:val="Normal"/>
              <w:rPr>
                <w:szCs w:val="24"/>
                <w:lang w:eastAsia="en-US"/>
              </w:rPr>
            </w:pPr>
            <w:r>
              <w:rPr>
                <w:szCs w:val="24"/>
                <w:lang w:eastAsia="en-US"/>
              </w:rPr>
              <w:t>0.73+1293/(T+77)</w:t>
            </w:r>
          </w:p>
        </w:tc>
      </w:tr>
      <w:tr>
        <w:trPr>
          <w:trHeight w:val="231" w:hRule="atLeast"/>
        </w:trPr>
        <w:tc>
          <w:tcPr>
            <w:tcW w:w="2410" w:type="dxa"/>
            <w:tcBorders/>
            <w:shd w:fill="auto" w:val="clear"/>
            <w:tcMar>
              <w:left w:w="108" w:type="dxa"/>
            </w:tcMar>
          </w:tcPr>
          <w:p>
            <w:pPr>
              <w:pStyle w:val="Normal"/>
              <w:rPr>
                <w:i/>
                <w:i/>
                <w:lang w:eastAsia="zh-CN"/>
              </w:rPr>
            </w:pPr>
            <w:r>
              <w:rPr>
                <w:szCs w:val="24"/>
                <w:lang w:eastAsia="en-US"/>
              </w:rPr>
            </w:r>
            <m:oMath xmlns:m="http://schemas.openxmlformats.org/officeDocument/2006/math">
              <m:r>
                <w:rPr>
                  <w:rFonts w:ascii="Cambria Math" w:hAnsi="Cambria Math"/>
                </w:rPr>
                <m:t xml:space="preserve">H</m:t>
              </m:r>
            </m:oMath>
            <w:r>
              <w:rPr>
                <w:i/>
                <w:szCs w:val="24"/>
                <w:lang w:eastAsia="en-US"/>
              </w:rPr>
              <w:t xml:space="preserve"> </w:t>
            </w:r>
            <w:r>
              <w:rPr>
                <w:szCs w:val="24"/>
                <w:lang w:eastAsia="en-US"/>
              </w:rPr>
              <w:t>(μW/m</w:t>
            </w:r>
            <w:r>
              <w:rPr>
                <w:szCs w:val="24"/>
                <w:vertAlign w:val="superscript"/>
                <w:lang w:eastAsia="en-US"/>
              </w:rPr>
              <w:t>3</w:t>
            </w:r>
            <w:r>
              <w:rPr>
                <w:szCs w:val="24"/>
                <w:lang w:eastAsia="en-US"/>
              </w:rPr>
              <w:t>)</w:t>
            </w:r>
          </w:p>
        </w:tc>
        <w:tc>
          <w:tcPr>
            <w:tcW w:w="2175" w:type="dxa"/>
            <w:tcBorders/>
            <w:shd w:fill="auto" w:val="clear"/>
            <w:tcMar>
              <w:left w:w="108" w:type="dxa"/>
            </w:tcMar>
          </w:tcPr>
          <w:p>
            <w:pPr>
              <w:pStyle w:val="Normal"/>
              <w:rPr>
                <w:szCs w:val="24"/>
                <w:lang w:eastAsia="en-US"/>
              </w:rPr>
            </w:pPr>
            <w:r>
              <w:rPr>
                <w:szCs w:val="24"/>
                <w:lang w:eastAsia="en-US"/>
              </w:rPr>
              <w:t>1</w:t>
            </w:r>
          </w:p>
        </w:tc>
        <w:tc>
          <w:tcPr>
            <w:tcW w:w="2178" w:type="dxa"/>
            <w:tcBorders/>
            <w:shd w:fill="auto" w:val="clear"/>
            <w:tcMar>
              <w:left w:w="108" w:type="dxa"/>
            </w:tcMar>
          </w:tcPr>
          <w:p>
            <w:pPr>
              <w:pStyle w:val="Normal"/>
              <w:rPr>
                <w:color w:val="FF0000"/>
              </w:rPr>
            </w:pPr>
            <w:r>
              <w:rPr>
                <w:szCs w:val="24"/>
                <w:lang w:eastAsia="en-US"/>
              </w:rPr>
              <w:t>0.2</w:t>
            </w:r>
          </w:p>
        </w:tc>
        <w:tc>
          <w:tcPr>
            <w:tcW w:w="2308" w:type="dxa"/>
            <w:tcBorders/>
            <w:shd w:fill="auto" w:val="clear"/>
            <w:tcMar>
              <w:left w:w="108" w:type="dxa"/>
            </w:tcMar>
          </w:tcPr>
          <w:p>
            <w:pPr>
              <w:pStyle w:val="Normal"/>
              <w:rPr>
                <w:color w:val="FF0000"/>
              </w:rPr>
            </w:pPr>
            <w:r>
              <w:rPr>
                <w:szCs w:val="24"/>
                <w:lang w:eastAsia="en-US"/>
              </w:rPr>
              <w:t>0.02</w:t>
            </w:r>
          </w:p>
        </w:tc>
      </w:tr>
      <w:tr>
        <w:trPr>
          <w:trHeight w:val="217" w:hRule="atLeast"/>
        </w:trPr>
        <w:tc>
          <w:tcPr>
            <w:tcW w:w="2410" w:type="dxa"/>
            <w:tcBorders/>
            <w:shd w:fill="auto" w:val="clear"/>
            <w:tcMar>
              <w:left w:w="108" w:type="dxa"/>
            </w:tcMar>
          </w:tcPr>
          <w:p>
            <w:pPr>
              <w:pStyle w:val="Normal"/>
              <w:rPr>
                <w:szCs w:val="24"/>
                <w:lang w:eastAsia="en-US"/>
              </w:rPr>
            </w:pPr>
            <w:r>
              <w:rPr>
                <w:i/>
                <w:szCs w:val="24"/>
                <w:lang w:eastAsia="en-US"/>
              </w:rPr>
              <w:t xml:space="preserve">Thickness </w:t>
            </w:r>
            <w:r>
              <w:rPr>
                <w:szCs w:val="24"/>
                <w:lang w:eastAsia="en-US"/>
              </w:rPr>
              <w:t>(km)</w:t>
            </w:r>
          </w:p>
        </w:tc>
        <w:tc>
          <w:tcPr>
            <w:tcW w:w="2175" w:type="dxa"/>
            <w:tcBorders/>
            <w:shd w:fill="auto" w:val="clear"/>
            <w:tcMar>
              <w:left w:w="108" w:type="dxa"/>
            </w:tcMar>
          </w:tcPr>
          <w:p>
            <w:pPr>
              <w:pStyle w:val="Normal"/>
              <w:rPr>
                <w:szCs w:val="24"/>
                <w:lang w:eastAsia="en-US"/>
              </w:rPr>
            </w:pPr>
            <w:r>
              <w:rPr>
                <w:szCs w:val="24"/>
                <w:lang w:eastAsia="en-US"/>
              </w:rPr>
              <w:t>40</w:t>
            </w:r>
          </w:p>
        </w:tc>
        <w:tc>
          <w:tcPr>
            <w:tcW w:w="2178" w:type="dxa"/>
            <w:tcBorders/>
            <w:shd w:fill="auto" w:val="clear"/>
            <w:tcMar>
              <w:left w:w="108" w:type="dxa"/>
            </w:tcMar>
          </w:tcPr>
          <w:p>
            <w:pPr>
              <w:pStyle w:val="Normal"/>
              <w:rPr>
                <w:szCs w:val="24"/>
                <w:lang w:eastAsia="en-US"/>
              </w:rPr>
            </w:pPr>
            <w:r>
              <w:rPr>
                <w:szCs w:val="24"/>
                <w:lang w:eastAsia="en-US"/>
              </w:rPr>
              <w:t>55 and 195</w:t>
            </w:r>
          </w:p>
        </w:tc>
        <w:tc>
          <w:tcPr>
            <w:tcW w:w="2308" w:type="dxa"/>
            <w:tcBorders/>
            <w:shd w:fill="auto" w:val="clear"/>
            <w:tcMar>
              <w:left w:w="108" w:type="dxa"/>
            </w:tcMar>
          </w:tcPr>
          <w:p>
            <w:pPr>
              <w:pStyle w:val="Normal"/>
              <w:rPr>
                <w:szCs w:val="24"/>
                <w:lang w:eastAsia="en-US"/>
              </w:rPr>
            </w:pPr>
            <w:r>
              <w:rPr>
                <w:szCs w:val="24"/>
                <w:lang w:eastAsia="en-US"/>
              </w:rPr>
              <w:t xml:space="preserve">565 and 425 </w:t>
            </w:r>
          </w:p>
        </w:tc>
      </w:tr>
      <w:tr>
        <w:trPr>
          <w:trHeight w:val="217" w:hRule="atLeast"/>
        </w:trPr>
        <w:tc>
          <w:tcPr>
            <w:tcW w:w="2410" w:type="dxa"/>
            <w:tcBorders/>
            <w:shd w:fill="auto" w:val="clear"/>
            <w:tcMar>
              <w:left w:w="108" w:type="dxa"/>
            </w:tcMar>
          </w:tcPr>
          <w:p>
            <w:pPr>
              <w:pStyle w:val="Normal"/>
              <w:rPr>
                <w:szCs w:val="24"/>
                <w:lang w:eastAsia="en-US"/>
              </w:rPr>
            </w:pPr>
            <w:r>
              <w:rPr>
                <w:i/>
                <w:szCs w:val="24"/>
                <w:lang w:eastAsia="en-US"/>
              </w:rPr>
              <w:t>Depth to bottom</w:t>
            </w:r>
            <w:r>
              <w:rPr>
                <w:szCs w:val="24"/>
                <w:lang w:eastAsia="en-US"/>
              </w:rPr>
              <w:t xml:space="preserve"> (km)</w:t>
            </w:r>
          </w:p>
        </w:tc>
        <w:tc>
          <w:tcPr>
            <w:tcW w:w="2175" w:type="dxa"/>
            <w:tcBorders/>
            <w:shd w:fill="auto" w:val="clear"/>
            <w:tcMar>
              <w:left w:w="108" w:type="dxa"/>
            </w:tcMar>
          </w:tcPr>
          <w:p>
            <w:pPr>
              <w:pStyle w:val="Normal"/>
              <w:rPr>
                <w:szCs w:val="24"/>
                <w:lang w:eastAsia="en-US"/>
              </w:rPr>
            </w:pPr>
            <w:r>
              <w:rPr>
                <w:szCs w:val="24"/>
                <w:lang w:eastAsia="en-US"/>
              </w:rPr>
              <w:t>40</w:t>
            </w:r>
          </w:p>
        </w:tc>
        <w:tc>
          <w:tcPr>
            <w:tcW w:w="2178" w:type="dxa"/>
            <w:tcBorders/>
            <w:shd w:fill="auto" w:val="clear"/>
            <w:tcMar>
              <w:left w:w="108" w:type="dxa"/>
            </w:tcMar>
          </w:tcPr>
          <w:p>
            <w:pPr>
              <w:pStyle w:val="Normal"/>
              <w:rPr>
                <w:szCs w:val="24"/>
                <w:lang w:eastAsia="en-US"/>
              </w:rPr>
            </w:pPr>
            <w:r>
              <w:rPr>
                <w:szCs w:val="24"/>
                <w:lang w:eastAsia="en-US"/>
              </w:rPr>
              <w:t>95 and 235</w:t>
            </w:r>
          </w:p>
        </w:tc>
        <w:tc>
          <w:tcPr>
            <w:tcW w:w="2308" w:type="dxa"/>
            <w:tcBorders/>
            <w:shd w:fill="auto" w:val="clear"/>
            <w:tcMar>
              <w:left w:w="108" w:type="dxa"/>
            </w:tcMar>
          </w:tcPr>
          <w:p>
            <w:pPr>
              <w:pStyle w:val="Normal"/>
              <w:rPr>
                <w:szCs w:val="24"/>
                <w:lang w:eastAsia="en-US"/>
              </w:rPr>
            </w:pPr>
            <w:r>
              <w:rPr>
                <w:szCs w:val="24"/>
                <w:lang w:eastAsia="en-US"/>
              </w:rPr>
              <w:t>660</w:t>
            </w:r>
          </w:p>
        </w:tc>
      </w:tr>
    </w:tbl>
    <w:p>
      <w:pPr>
        <w:pStyle w:val="Normal"/>
        <w:rPr>
          <w:rFonts w:eastAsia="等线"/>
          <w:iCs/>
          <w:color w:val="000000"/>
          <w:szCs w:val="21"/>
          <w:lang w:eastAsia="en-US"/>
        </w:rPr>
      </w:pPr>
      <w:r>
        <w:rPr>
          <w:rFonts w:eastAsia="等线"/>
          <w:iCs/>
          <w:color w:val="000000"/>
          <w:szCs w:val="21"/>
          <w:lang w:eastAsia="en-US"/>
        </w:rPr>
      </w:r>
    </w:p>
    <w:p>
      <w:pPr>
        <w:pStyle w:val="Normal"/>
        <w:rPr/>
      </w:pPr>
      <w:r>
        <w:rPr>
          <w:rFonts w:eastAsia="等线"/>
          <w:iCs/>
          <w:color w:val="000000"/>
          <w:szCs w:val="21"/>
          <w:lang w:eastAsia="en-US"/>
        </w:rPr>
        <w:t xml:space="preserve">[1] </w:t>
      </w:r>
      <w:r>
        <w:fldChar w:fldCharType="begin"/>
      </w:r>
      <w:r>
        <w:instrText>ADDIN EN.CITE &lt;EndNote&gt;&lt;Cite AuthorYear="1"&gt;&lt;Author&gt;Ranalli&lt;/Author&gt;&lt;Year&gt;1995&lt;/Year&gt;&lt;RecNum&gt;288&lt;/RecNum&gt;&lt;DisplayText&gt;Ranalli (1995)&lt;/DisplayText&gt;&lt;record&gt;&lt;rec-number&gt;288&lt;/rec-number&gt;&lt;foreign-keys&gt;&lt;key app="EN" db-id="sva2xp2fn0t5zper59dprxwaaxftxvr0xffs" timestamp="1462885301" guid="940b651c-917e-47e3-bd12-dae322d88840"&gt;288&lt;/key&gt;&lt;/foreign-keys&gt;&lt;ref-type name="Book"&gt;6&lt;/ref-type&gt;&lt;contributors&gt;&lt;authors&gt;&lt;author&gt;Ranalli, G.&lt;/author&gt;&lt;/authors&gt;&lt;/contributors&gt;&lt;titles&gt;&lt;title&gt;Rheology of the Earth&lt;/title&gt;&lt;/titles&gt;&lt;dates&gt;&lt;year&gt;1995&lt;/year&gt;&lt;/dates&gt;&lt;publisher&gt;Springer Science &amp;amp; Business Media&lt;/publisher&gt;&lt;isbn&gt;0412546701&lt;/isbn&gt;&lt;urls&gt;&lt;/urls&gt;&lt;/record&gt;&lt;/Cite&gt;&lt;/EndNote&gt;</w:instrText>
      </w:r>
      <w:r>
        <w:fldChar w:fldCharType="separate"/>
      </w:r>
      <w:hyperlink w:anchor="_ENREF_4">
        <w:bookmarkStart w:id="4" w:name="__Fieldmark__387_1615512126"/>
        <w:r>
          <w:rPr>
            <w:rStyle w:val="InternetLink"/>
            <w:rFonts w:eastAsia="等线"/>
            <w:iCs/>
            <w:color w:val="000000"/>
            <w:szCs w:val="21"/>
            <w:lang w:eastAsia="en-US"/>
          </w:rPr>
          <w:t>Ranalli (1995)</w:t>
        </w:r>
        <w:r>
          <w:rPr>
            <w:rStyle w:val="InternetLink"/>
            <w:rFonts w:eastAsia="等线"/>
            <w:iCs/>
            <w:color w:val="000000"/>
            <w:szCs w:val="21"/>
            <w:lang w:eastAsia="en-US"/>
          </w:rPr>
        </w:r>
      </w:hyperlink>
      <w:bookmarkEnd w:id="4"/>
      <w:r>
        <w:rPr>
          <w:rFonts w:eastAsia="等线"/>
          <w:iCs/>
          <w:color w:val="000000"/>
          <w:szCs w:val="21"/>
          <w:lang w:eastAsia="en-US"/>
        </w:rPr>
        <w:t xml:space="preserve">; </w:t>
      </w:r>
      <w:r>
        <w:fldChar w:fldCharType="end"/>
      </w:r>
      <w:r>
        <w:rPr>
          <w:rFonts w:eastAsia="等线"/>
          <w:iCs/>
          <w:color w:val="000000"/>
          <w:szCs w:val="21"/>
        </w:rPr>
        <w:t xml:space="preserve">[2] </w:t>
      </w:r>
      <w:r>
        <w:fldChar w:fldCharType="begin"/>
      </w:r>
      <w:r>
        <w:instrText>ADDIN EN.CITE &lt;EndNote&gt;&lt;Cite AuthorYear="1"&gt;&lt;Author&gt;Hirth&lt;/Author&gt;&lt;Year&gt;2003&lt;/Year&gt;&lt;RecNum&gt;74&lt;/RecNum&gt;&lt;DisplayText&gt;Hirth and Kohlstedt (2003)&lt;/DisplayText&gt;&lt;record&gt;&lt;rec-number&gt;74&lt;/rec-number&gt;&lt;foreign-keys&gt;&lt;key app="EN" db-id="sva2xp2fn0t5zper59dprxwaaxftxvr0xffs" timestamp="1445339916" guid="62c24a99-28dd-40d8-85da-9b23fbd49452"&gt;74&lt;/key&gt;&lt;/foreign-keys&gt;&lt;ref-type name="Book Section"&gt;5&lt;/ref-type&gt;&lt;contributors&gt;&lt;authors&gt;&lt;author&gt;Hirth, G.&lt;/author&gt;&lt;author&gt;Kohlstedt, D.&lt;/author&gt;&lt;/authors&gt;&lt;/contributors&gt;&lt;titles&gt;&lt;title&gt;Rheology of the Upper Mantle and the Mantle Wedge: A View from the Experimentalists&lt;/title&gt;&lt;secondary-title&gt;Inside the Subduction Factory&lt;/secondary-title&gt;&lt;/titles&gt;&lt;pages&gt;83-105&lt;/pages&gt;&lt;keywords&gt;&lt;keyword&gt;Subduction zones&lt;/keyword&gt;&lt;/keywords&gt;&lt;dates&gt;&lt;year&gt;2003&lt;/year&gt;&lt;/dates&gt;&lt;publisher&gt;American Geophysical Union&lt;/publisher&gt;&lt;isbn&gt;9781118668573&lt;/isbn&gt;&lt;urls&gt;&lt;related-urls&gt;&lt;url&gt;http://dx.doi.org/10.1029/138GM06&lt;/url&gt;&lt;/related-urls&gt;&lt;/urls&gt;&lt;electronic-resource-num&gt;10.1029/138GM06&lt;/electronic-resource-num&gt;&lt;/record&gt;&lt;/Cite&gt;&lt;/EndNote&gt;</w:instrText>
      </w:r>
      <w:r>
        <w:fldChar w:fldCharType="separate"/>
      </w:r>
      <w:hyperlink w:anchor="_ENREF_2">
        <w:bookmarkStart w:id="5" w:name="__Fieldmark__394_1615512126"/>
        <w:r>
          <w:rPr>
            <w:rStyle w:val="InternetLink"/>
            <w:rFonts w:eastAsia="等线"/>
            <w:iCs/>
            <w:color w:val="000000"/>
            <w:szCs w:val="21"/>
          </w:rPr>
          <w:t>Hirth and Kohlstedt (2003)</w:t>
        </w:r>
        <w:r>
          <w:rPr>
            <w:rStyle w:val="InternetLink"/>
            <w:rFonts w:eastAsia="等线"/>
            <w:iCs/>
            <w:color w:val="000000"/>
            <w:szCs w:val="21"/>
          </w:rPr>
        </w:r>
      </w:hyperlink>
      <w:bookmarkEnd w:id="5"/>
      <w:r>
        <w:rPr>
          <w:rFonts w:eastAsia="等线"/>
          <w:iCs/>
          <w:color w:val="000000"/>
          <w:szCs w:val="21"/>
        </w:rPr>
        <w:t xml:space="preserve">; </w:t>
      </w:r>
      <w:r>
        <w:fldChar w:fldCharType="end"/>
      </w:r>
      <w:r>
        <w:rPr>
          <w:rFonts w:eastAsia="等线"/>
          <w:iCs/>
          <w:color w:val="000000"/>
          <w:szCs w:val="21"/>
          <w:lang w:eastAsia="en-US"/>
        </w:rPr>
        <w:t>[</w:t>
      </w:r>
      <w:r>
        <w:rPr>
          <w:rFonts w:eastAsia="等线"/>
          <w:iCs/>
          <w:color w:val="000000"/>
          <w:szCs w:val="21"/>
        </w:rPr>
        <w:t>3</w:t>
      </w:r>
      <w:r>
        <w:rPr>
          <w:rFonts w:eastAsia="等线"/>
          <w:iCs/>
          <w:color w:val="000000"/>
          <w:szCs w:val="21"/>
          <w:lang w:eastAsia="en-US"/>
        </w:rPr>
        <w:t xml:space="preserve">] </w:t>
      </w:r>
      <w:r>
        <w:fldChar w:fldCharType="begin"/>
      </w:r>
      <w:r>
        <w:instrText>ADDIN EN.CITE &lt;EndNote&gt;&lt;Cite AuthorYear="1"&gt;&lt;Author&gt;Clauser&lt;/Author&gt;&lt;Year&gt;1995&lt;/Year&gt;&lt;RecNum&gt;144&lt;/RecNum&gt;&lt;DisplayText&gt;Clauser and Huenges (1995)&lt;/DisplayText&gt;&lt;record&gt;&lt;rec-number&gt;144&lt;/rec-number&gt;&lt;foreign-keys&gt;&lt;key app="EN" db-id="sva2xp2fn0t5zper59dprxwaaxftxvr0xffs" timestamp="1445339917" guid="aef0d104-f222-4a3c-9373-9ce034e9b6da"&gt;144&lt;/key&gt;&lt;/foreign-keys&gt;&lt;ref-type name="Journal Article"&gt;17&lt;/ref-type&gt;&lt;contributors&gt;&lt;authors&gt;&lt;author&gt;Clauser, C.&lt;/author&gt;&lt;author&gt;Huenges, E.&lt;/author&gt;&lt;/authors&gt;&lt;/contributors&gt;&lt;titles&gt;&lt;title&gt;Thermal conductivity of rocks and minerals&lt;/title&gt;&lt;secondary-title&gt;Rock physics &amp;amp; phase relations: A handbook of physical constants&lt;/secondary-title&gt;&lt;/titles&gt;&lt;periodical&gt;&lt;full-title&gt;Rock physics &amp;amp; phase relations: A handbook of physical constants&lt;/full-title&gt;&lt;/periodical&gt;&lt;pages&gt;105-126&lt;/pages&gt;&lt;dates&gt;&lt;year&gt;1995&lt;/year&gt;&lt;/dates&gt;&lt;isbn&gt;1118668103&lt;/isbn&gt;&lt;urls&gt;&lt;/urls&gt;&lt;/record&gt;&lt;/Cite&gt;&lt;/EndNote&gt;</w:instrText>
      </w:r>
      <w:r>
        <w:fldChar w:fldCharType="separate"/>
      </w:r>
      <w:hyperlink w:anchor="_ENREF_1">
        <w:bookmarkStart w:id="6" w:name="__Fieldmark__403_1615512126"/>
        <w:r>
          <w:rPr>
            <w:rStyle w:val="InternetLink"/>
            <w:rFonts w:eastAsia="等线"/>
            <w:iCs/>
            <w:color w:val="000000"/>
            <w:szCs w:val="21"/>
            <w:lang w:eastAsia="en-US"/>
          </w:rPr>
          <w:t>Clauser and Huenges (1995)</w:t>
        </w:r>
        <w:r>
          <w:rPr>
            <w:rStyle w:val="InternetLink"/>
            <w:rFonts w:eastAsia="等线"/>
            <w:iCs/>
            <w:color w:val="000000"/>
            <w:szCs w:val="21"/>
            <w:lang w:eastAsia="en-US"/>
          </w:rPr>
        </w:r>
      </w:hyperlink>
      <w:bookmarkEnd w:id="6"/>
      <w:r>
        <w:rPr>
          <w:rFonts w:eastAsia="等线"/>
          <w:iCs/>
          <w:color w:val="000000"/>
          <w:szCs w:val="21"/>
          <w:lang w:eastAsia="en-US"/>
        </w:rPr>
        <w:t>.</w:t>
      </w:r>
      <w:r>
        <w:fldChar w:fldCharType="end"/>
      </w:r>
    </w:p>
    <w:p>
      <w:pPr>
        <w:pStyle w:val="Normal"/>
        <w:rPr/>
      </w:pPr>
      <w:r>
        <w:rPr/>
      </w:r>
    </w:p>
    <w:p>
      <w:pPr>
        <w:pStyle w:val="Heading1"/>
        <w:rPr/>
      </w:pPr>
      <w:r>
        <w:rPr/>
        <w:t>3. References to Methods and Table S1</w:t>
      </w:r>
    </w:p>
    <w:p>
      <w:pPr>
        <w:pStyle w:val="Refs"/>
        <w:rPr/>
      </w:pPr>
      <w:r>
        <w:fldChar w:fldCharType="begin"/>
      </w:r>
      <w:r>
        <w:instrText>ADDIN EN.REFLIST</w:instrText>
      </w:r>
      <w:r>
        <w:fldChar w:fldCharType="separate"/>
      </w:r>
      <w:bookmarkStart w:id="7" w:name="__Fieldmark__411_1615512126"/>
      <w:r>
        <w:rPr/>
        <w:t>C</w:t>
      </w:r>
      <w:bookmarkStart w:id="8" w:name="_ENREF_1"/>
      <w:r>
        <w:rPr/>
        <w:t>lauser, C. and Huenges, E., 1995. Thermal conductivity of rocks and minerals. Rock physics &amp; phase relations: A handbook of physical constants: 105-126.</w:t>
      </w:r>
      <w:bookmarkEnd w:id="7"/>
      <w:bookmarkEnd w:id="8"/>
      <w:r>
        <w:rPr/>
      </w:r>
      <w:r>
        <w:fldChar w:fldCharType="end"/>
      </w:r>
    </w:p>
    <w:p>
      <w:pPr>
        <w:pStyle w:val="Refs"/>
        <w:rPr/>
      </w:pPr>
      <w:bookmarkStart w:id="9" w:name="_ENREF_2"/>
      <w:bookmarkEnd w:id="9"/>
      <w:r>
        <w:rPr/>
        <w:t>Hirth, G. and Kohlstedt, D., 2003. Rheology of the Upper Mantle and the Mantle Wedge: A View from the Experimentalists, Inside the Subduction Factory. American Geophysical Union, pp. 83-105.</w:t>
      </w:r>
    </w:p>
    <w:p>
      <w:pPr>
        <w:pStyle w:val="Refs"/>
        <w:rPr/>
      </w:pPr>
      <w:bookmarkStart w:id="10" w:name="_ENREF_3"/>
      <w:bookmarkEnd w:id="10"/>
      <w:r>
        <w:rPr/>
        <w:t>Moresi, L., Quenette, S., Lemiale, V., Meriaux, C., Appelbe, B. and Mühlhaus, H.-B., 2007. Computational approaches to studying non-linear dynamics of the crust and mantle. Physics of the Earth and Planetary Interiors, 163(1): 69-82.</w:t>
      </w:r>
    </w:p>
    <w:p>
      <w:pPr>
        <w:pStyle w:val="Refs"/>
        <w:rPr/>
      </w:pPr>
      <w:bookmarkStart w:id="11" w:name="_ENREF_4"/>
      <w:bookmarkEnd w:id="11"/>
      <w:r>
        <w:rPr/>
        <w:t>Ranalli, G., 1995. Rheology of the Earth. Springer Science &amp; Business Media.</w:t>
      </w:r>
    </w:p>
    <w:p>
      <w:pPr>
        <w:pStyle w:val="Refs"/>
        <w:rPr/>
      </w:pPr>
      <w:r>
        <w:rPr/>
      </w:r>
    </w:p>
    <w:p>
      <w:pPr>
        <w:pStyle w:val="Normal"/>
        <w:rPr/>
      </w:pPr>
      <w:r>
        <w:rPr/>
      </w:r>
      <w:r>
        <w:br w:type="page"/>
      </w:r>
    </w:p>
    <w:p>
      <w:pPr>
        <w:pStyle w:val="Heading1"/>
        <w:rPr/>
      </w:pPr>
      <w:r>
        <w:rPr/>
        <w:t xml:space="preserve">4. Table S2: Model codes and model parameters </w:t>
      </w:r>
    </w:p>
    <w:p>
      <w:pPr>
        <w:pStyle w:val="Normal"/>
        <w:widowControl/>
        <w:spacing w:lineRule="auto" w:line="360"/>
        <w:ind w:right="-284" w:hanging="0"/>
        <w:jc w:val="left"/>
        <w:rPr/>
      </w:pPr>
      <w:r>
        <w:rPr/>
        <w:t>Parameters of the reference model are listed in Table S1 and are illustrated in Figure 2. The results for end-member model evolution are shown in Figures 3-4.</w:t>
      </w:r>
    </w:p>
    <w:p>
      <w:pPr>
        <w:pStyle w:val="Normal"/>
        <w:widowControl/>
        <w:spacing w:lineRule="auto" w:line="240"/>
        <w:jc w:val="left"/>
        <w:rPr>
          <w:b/>
          <w:b/>
          <w:bCs/>
          <w:spacing w:val="5"/>
          <w:sz w:val="28"/>
          <w:szCs w:val="32"/>
        </w:rPr>
      </w:pPr>
      <w:r>
        <w:rPr>
          <w:b/>
          <w:bCs/>
          <w:spacing w:val="5"/>
          <w:sz w:val="28"/>
          <w:szCs w:val="32"/>
        </w:rPr>
      </w:r>
    </w:p>
    <w:tbl>
      <w:tblPr>
        <w:tblStyle w:val="a8"/>
        <w:tblW w:w="9485" w:type="dxa"/>
        <w:jc w:val="left"/>
        <w:tblInd w:w="0" w:type="dxa"/>
        <w:tblCellMar>
          <w:top w:w="0" w:type="dxa"/>
          <w:left w:w="108" w:type="dxa"/>
          <w:bottom w:w="0" w:type="dxa"/>
          <w:right w:w="108" w:type="dxa"/>
        </w:tblCellMar>
        <w:tblLook w:val="04a0" w:noVBand="1" w:noHBand="0" w:lastColumn="0" w:firstColumn="1" w:lastRow="0" w:firstRow="1"/>
      </w:tblPr>
      <w:tblGrid>
        <w:gridCol w:w="2005"/>
        <w:gridCol w:w="4936"/>
        <w:gridCol w:w="2544"/>
      </w:tblGrid>
      <w:tr>
        <w:trPr/>
        <w:tc>
          <w:tcPr>
            <w:tcW w:w="2005" w:type="dxa"/>
            <w:tcBorders/>
            <w:shd w:fill="auto" w:val="clear"/>
            <w:tcMar>
              <w:left w:w="108" w:type="dxa"/>
            </w:tcMar>
          </w:tcPr>
          <w:p>
            <w:pPr>
              <w:pStyle w:val="Normal"/>
              <w:jc w:val="center"/>
              <w:rPr>
                <w:szCs w:val="24"/>
                <w:lang w:eastAsia="en-US"/>
              </w:rPr>
            </w:pPr>
            <w:r>
              <w:rPr>
                <w:szCs w:val="24"/>
                <w:lang w:eastAsia="en-US"/>
              </w:rPr>
              <w:t>Model code</w:t>
            </w:r>
          </w:p>
        </w:tc>
        <w:tc>
          <w:tcPr>
            <w:tcW w:w="4936" w:type="dxa"/>
            <w:tcBorders/>
            <w:shd w:fill="auto" w:val="clear"/>
            <w:tcMar>
              <w:left w:w="108" w:type="dxa"/>
            </w:tcMar>
          </w:tcPr>
          <w:p>
            <w:pPr>
              <w:pStyle w:val="Normal"/>
              <w:jc w:val="center"/>
              <w:rPr>
                <w:szCs w:val="24"/>
                <w:lang w:eastAsia="en-US"/>
              </w:rPr>
            </w:pPr>
            <w:r>
              <w:rPr>
                <w:szCs w:val="24"/>
                <w:lang w:eastAsia="en-US"/>
              </w:rPr>
              <w:t>Difference with the reference model</w:t>
            </w:r>
          </w:p>
        </w:tc>
        <w:tc>
          <w:tcPr>
            <w:tcW w:w="2544" w:type="dxa"/>
            <w:tcBorders/>
            <w:shd w:fill="auto" w:val="clear"/>
            <w:tcMar>
              <w:left w:w="108" w:type="dxa"/>
            </w:tcMar>
          </w:tcPr>
          <w:p>
            <w:pPr>
              <w:pStyle w:val="Normal"/>
              <w:jc w:val="center"/>
              <w:rPr>
                <w:szCs w:val="24"/>
                <w:lang w:eastAsia="en-US"/>
              </w:rPr>
            </w:pPr>
            <w:r>
              <w:rPr>
                <w:szCs w:val="24"/>
                <w:lang w:eastAsia="en-US"/>
              </w:rPr>
              <w:t>Figure with model evolution</w:t>
            </w:r>
          </w:p>
        </w:tc>
      </w:tr>
      <w:tr>
        <w:trPr/>
        <w:tc>
          <w:tcPr>
            <w:tcW w:w="2005" w:type="dxa"/>
            <w:tcBorders/>
            <w:shd w:fill="auto" w:val="clear"/>
            <w:tcMar>
              <w:left w:w="108" w:type="dxa"/>
            </w:tcMar>
          </w:tcPr>
          <w:p>
            <w:pPr>
              <w:pStyle w:val="Normal"/>
              <w:jc w:val="center"/>
              <w:rPr>
                <w:szCs w:val="24"/>
                <w:lang w:eastAsia="en-US"/>
              </w:rPr>
            </w:pPr>
            <w:r>
              <w:rPr>
                <w:szCs w:val="24"/>
                <w:lang w:eastAsia="en-US"/>
              </w:rPr>
              <w:t>N/A</w:t>
            </w:r>
          </w:p>
        </w:tc>
        <w:tc>
          <w:tcPr>
            <w:tcW w:w="4936" w:type="dxa"/>
            <w:tcBorders/>
            <w:shd w:fill="auto" w:val="clear"/>
            <w:tcMar>
              <w:left w:w="108" w:type="dxa"/>
            </w:tcMar>
          </w:tcPr>
          <w:p>
            <w:pPr>
              <w:pStyle w:val="ListParagraph"/>
              <w:widowControl/>
              <w:numPr>
                <w:ilvl w:val="0"/>
                <w:numId w:val="4"/>
              </w:numPr>
              <w:spacing w:lineRule="auto" w:line="240"/>
              <w:ind w:left="295" w:hanging="360"/>
              <w:jc w:val="left"/>
              <w:rPr>
                <w:szCs w:val="24"/>
                <w:lang w:eastAsia="en-US"/>
              </w:rPr>
            </w:pPr>
            <w:r>
              <w:rPr>
                <w:szCs w:val="24"/>
                <w:lang w:eastAsia="en-US"/>
              </w:rPr>
              <w:t xml:space="preserve">CLAB in thin proto-CBL domain is initially 95-210 km thick (95 km in the end-member model). </w:t>
            </w:r>
          </w:p>
          <w:p>
            <w:pPr>
              <w:pStyle w:val="ListParagraph"/>
              <w:widowControl/>
              <w:numPr>
                <w:ilvl w:val="0"/>
                <w:numId w:val="4"/>
              </w:numPr>
              <w:spacing w:lineRule="auto" w:line="240"/>
              <w:ind w:left="295" w:hanging="360"/>
              <w:jc w:val="left"/>
              <w:rPr>
                <w:szCs w:val="24"/>
                <w:lang w:eastAsia="en-US"/>
              </w:rPr>
            </w:pPr>
            <w:r>
              <w:rPr>
                <w:szCs w:val="24"/>
                <w:lang w:eastAsia="en-US"/>
              </w:rPr>
              <w:t>Thermal expansion coefficient 3</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-1</w:t>
            </w:r>
            <w:r>
              <w:rPr>
                <w:szCs w:val="24"/>
                <w:lang w:eastAsia="en-US"/>
              </w:rPr>
              <w:t xml:space="preserve"> (1</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 xml:space="preserve">-1 </w:t>
            </w:r>
            <w:r>
              <w:rPr>
                <w:szCs w:val="24"/>
                <w:lang w:eastAsia="en-US"/>
              </w:rPr>
              <w:t>in the reference model).</w:t>
            </w:r>
          </w:p>
        </w:tc>
        <w:tc>
          <w:tcPr>
            <w:tcW w:w="2544" w:type="dxa"/>
            <w:tcBorders/>
            <w:shd w:fill="auto" w:val="clear"/>
            <w:tcMar>
              <w:left w:w="108" w:type="dxa"/>
            </w:tcMar>
          </w:tcPr>
          <w:p>
            <w:pPr>
              <w:pStyle w:val="Normal"/>
              <w:jc w:val="center"/>
              <w:rPr>
                <w:lang w:eastAsia="zh-CN"/>
              </w:rPr>
            </w:pPr>
            <w:r>
              <w:rPr>
                <w:szCs w:val="24"/>
                <w:lang w:eastAsia="zh-CN"/>
              </w:rPr>
              <w:t>Fig. 5</w:t>
            </w:r>
          </w:p>
        </w:tc>
      </w:tr>
      <w:tr>
        <w:trPr/>
        <w:tc>
          <w:tcPr>
            <w:tcW w:w="2005" w:type="dxa"/>
            <w:tcBorders/>
            <w:shd w:fill="auto" w:val="clear"/>
            <w:tcMar>
              <w:left w:w="108" w:type="dxa"/>
            </w:tcMar>
          </w:tcPr>
          <w:p>
            <w:pPr>
              <w:pStyle w:val="Normal"/>
              <w:jc w:val="center"/>
              <w:rPr>
                <w:lang w:eastAsia="zh-CN"/>
              </w:rPr>
            </w:pPr>
            <w:r>
              <w:rPr>
                <w:szCs w:val="24"/>
                <w:lang w:eastAsia="zh-CN"/>
              </w:rPr>
              <w:t>N/A</w:t>
            </w:r>
          </w:p>
        </w:tc>
        <w:tc>
          <w:tcPr>
            <w:tcW w:w="4936" w:type="dxa"/>
            <w:tcBorders/>
            <w:shd w:fill="auto" w:val="clear"/>
            <w:tcMar>
              <w:left w:w="108" w:type="dxa"/>
            </w:tcMar>
          </w:tcPr>
          <w:p>
            <w:pPr>
              <w:pStyle w:val="Normal"/>
              <w:widowControl/>
              <w:spacing w:lineRule="auto" w:line="240"/>
              <w:ind w:left="240" w:hanging="240"/>
              <w:jc w:val="left"/>
              <w:rPr>
                <w:szCs w:val="24"/>
                <w:lang w:eastAsia="en-US"/>
              </w:rPr>
            </w:pPr>
            <w:r>
              <w:rPr>
                <w:szCs w:val="24"/>
                <w:lang w:eastAsia="en-US"/>
              </w:rPr>
              <w:t xml:space="preserve">1. CLAB in thin proto-CBL domain is initially 210 km thick (95 km in the reference model). </w:t>
            </w:r>
          </w:p>
          <w:p>
            <w:pPr>
              <w:pStyle w:val="Normal"/>
              <w:ind w:left="240" w:hanging="240"/>
              <w:rPr>
                <w:szCs w:val="24"/>
                <w:lang w:eastAsia="en-US"/>
              </w:rPr>
            </w:pPr>
            <w:r>
              <w:rPr>
                <w:szCs w:val="24"/>
                <w:lang w:eastAsia="en-US"/>
              </w:rPr>
              <w:t>2. Thermal expansion coefficient 3</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-1</w:t>
            </w:r>
            <w:r>
              <w:rPr>
                <w:szCs w:val="24"/>
                <w:lang w:eastAsia="en-US"/>
              </w:rPr>
              <w:t xml:space="preserve"> (1</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 xml:space="preserve">-1 </w:t>
            </w:r>
            <w:r>
              <w:rPr>
                <w:szCs w:val="24"/>
                <w:lang w:eastAsia="en-US"/>
              </w:rPr>
              <w:t>in the reference model).</w:t>
            </w:r>
          </w:p>
          <w:p>
            <w:pPr>
              <w:pStyle w:val="Normal"/>
              <w:ind w:left="153" w:hanging="153"/>
              <w:rPr>
                <w:lang w:eastAsia="zh-CN"/>
              </w:rPr>
            </w:pPr>
            <w:r>
              <w:rPr>
                <w:szCs w:val="24"/>
                <w:lang w:eastAsia="en-US"/>
              </w:rPr>
              <w:t>3. Viscosity in sublithospheric mantle is reduced by a factor of 5 of the end-member model</w:t>
            </w:r>
          </w:p>
        </w:tc>
        <w:tc>
          <w:tcPr>
            <w:tcW w:w="2544" w:type="dxa"/>
            <w:tcBorders/>
            <w:shd w:fill="auto" w:val="clear"/>
            <w:tcMar>
              <w:left w:w="108" w:type="dxa"/>
            </w:tcMar>
          </w:tcPr>
          <w:p>
            <w:pPr>
              <w:pStyle w:val="Normal"/>
              <w:jc w:val="center"/>
              <w:rPr>
                <w:szCs w:val="24"/>
                <w:lang w:eastAsia="en-US"/>
              </w:rPr>
            </w:pPr>
            <w:r>
              <w:rPr>
                <w:szCs w:val="24"/>
                <w:lang w:eastAsia="en-US"/>
              </w:rPr>
              <w:t>Fig. 6</w:t>
            </w:r>
          </w:p>
        </w:tc>
      </w:tr>
      <w:tr>
        <w:trPr/>
        <w:tc>
          <w:tcPr>
            <w:tcW w:w="2005" w:type="dxa"/>
            <w:tcBorders/>
            <w:shd w:fill="auto" w:val="clear"/>
            <w:tcMar>
              <w:left w:w="108" w:type="dxa"/>
            </w:tcMar>
          </w:tcPr>
          <w:p>
            <w:pPr>
              <w:pStyle w:val="Normal"/>
              <w:jc w:val="center"/>
              <w:rPr>
                <w:szCs w:val="24"/>
                <w:lang w:eastAsia="en-US"/>
              </w:rPr>
            </w:pPr>
            <w:r>
              <w:rPr>
                <w:szCs w:val="24"/>
                <w:lang w:eastAsia="en-US"/>
              </w:rPr>
              <w:t>N/A</w:t>
            </w:r>
          </w:p>
        </w:tc>
        <w:tc>
          <w:tcPr>
            <w:tcW w:w="4936" w:type="dxa"/>
            <w:tcBorders/>
            <w:shd w:fill="auto" w:val="clear"/>
            <w:tcMar>
              <w:left w:w="108" w:type="dxa"/>
            </w:tcMar>
          </w:tcPr>
          <w:p>
            <w:pPr>
              <w:pStyle w:val="Normal"/>
              <w:rPr>
                <w:szCs w:val="24"/>
                <w:lang w:eastAsia="en-US"/>
              </w:rPr>
            </w:pPr>
            <w:r>
              <w:rPr>
                <w:szCs w:val="24"/>
                <w:lang w:eastAsia="en-US"/>
              </w:rPr>
              <w:t xml:space="preserve">A broad thick-thin proto-CBL domain transition at </w:t>
            </w:r>
          </w:p>
          <w:p>
            <w:pPr>
              <w:pStyle w:val="Normal"/>
              <w:jc w:val="left"/>
              <w:rPr>
                <w:szCs w:val="24"/>
                <w:lang w:eastAsia="en-US"/>
              </w:rPr>
            </w:pPr>
            <w:r>
              <w:rPr>
                <w:szCs w:val="24"/>
                <w:lang w:eastAsia="en-US"/>
              </w:rPr>
              <w:t>x = 800-2600 km (the reference model has a narrow transition at x = 2400-2600 km).</w:t>
            </w:r>
          </w:p>
        </w:tc>
        <w:tc>
          <w:tcPr>
            <w:tcW w:w="2544" w:type="dxa"/>
            <w:tcBorders/>
            <w:shd w:fill="auto" w:val="clear"/>
            <w:tcMar>
              <w:left w:w="108" w:type="dxa"/>
            </w:tcMar>
          </w:tcPr>
          <w:p>
            <w:pPr>
              <w:pStyle w:val="Normal"/>
              <w:jc w:val="center"/>
              <w:rPr>
                <w:szCs w:val="24"/>
                <w:lang w:eastAsia="en-US"/>
              </w:rPr>
            </w:pPr>
            <w:r>
              <w:rPr>
                <w:szCs w:val="24"/>
                <w:lang w:eastAsia="en-US"/>
              </w:rPr>
              <w:t>Fig. 7</w:t>
            </w:r>
          </w:p>
        </w:tc>
      </w:tr>
      <w:tr>
        <w:trPr/>
        <w:tc>
          <w:tcPr>
            <w:tcW w:w="2005" w:type="dxa"/>
            <w:tcBorders/>
            <w:shd w:fill="auto" w:val="clear"/>
            <w:tcMar>
              <w:left w:w="108" w:type="dxa"/>
            </w:tcMar>
          </w:tcPr>
          <w:p>
            <w:pPr>
              <w:pStyle w:val="Normal"/>
              <w:jc w:val="center"/>
              <w:rPr>
                <w:szCs w:val="24"/>
                <w:lang w:eastAsia="en-US"/>
              </w:rPr>
            </w:pPr>
            <w:r>
              <w:rPr>
                <w:szCs w:val="24"/>
                <w:lang w:eastAsia="en-US"/>
              </w:rPr>
              <w:t>M_den15_exp2</w:t>
            </w:r>
          </w:p>
        </w:tc>
        <w:tc>
          <w:tcPr>
            <w:tcW w:w="4936" w:type="dxa"/>
            <w:tcBorders/>
            <w:shd w:fill="auto" w:val="clear"/>
            <w:tcMar>
              <w:left w:w="108" w:type="dxa"/>
            </w:tcMar>
          </w:tcPr>
          <w:p>
            <w:pPr>
              <w:pStyle w:val="ListParagraph"/>
              <w:numPr>
                <w:ilvl w:val="0"/>
                <w:numId w:val="5"/>
              </w:numPr>
              <w:ind w:left="295" w:hanging="295"/>
              <w:jc w:val="left"/>
              <w:rPr>
                <w:szCs w:val="24"/>
                <w:lang w:eastAsia="en-US"/>
              </w:rPr>
            </w:pPr>
            <w:r>
              <w:rPr>
                <w:szCs w:val="24"/>
                <w:lang w:eastAsia="en-US"/>
              </w:rPr>
              <w:t>Density contrast across the CLAB is 15 kg/m</w:t>
            </w:r>
            <w:r>
              <w:rPr>
                <w:szCs w:val="24"/>
                <w:vertAlign w:val="superscript"/>
                <w:lang w:eastAsia="en-US"/>
              </w:rPr>
              <w:t>3</w:t>
            </w:r>
            <w:r>
              <w:rPr>
                <w:szCs w:val="24"/>
                <w:lang w:eastAsia="en-US"/>
              </w:rPr>
              <w:t xml:space="preserve"> (30 kg/m</w:t>
            </w:r>
            <w:r>
              <w:rPr>
                <w:szCs w:val="24"/>
                <w:vertAlign w:val="superscript"/>
                <w:lang w:eastAsia="en-US"/>
              </w:rPr>
              <w:t xml:space="preserve">3 </w:t>
            </w:r>
            <w:r>
              <w:rPr>
                <w:szCs w:val="24"/>
                <w:lang w:eastAsia="en-US"/>
              </w:rPr>
              <w:t>in the reference model).</w:t>
            </w:r>
          </w:p>
          <w:p>
            <w:pPr>
              <w:pStyle w:val="ListParagraph"/>
              <w:numPr>
                <w:ilvl w:val="0"/>
                <w:numId w:val="5"/>
              </w:numPr>
              <w:ind w:left="295" w:hanging="295"/>
              <w:jc w:val="left"/>
              <w:rPr>
                <w:szCs w:val="24"/>
                <w:lang w:eastAsia="en-US"/>
              </w:rPr>
            </w:pPr>
            <w:r>
              <w:rPr>
                <w:szCs w:val="24"/>
                <w:lang w:eastAsia="en-US"/>
              </w:rPr>
              <w:t>Thermal expansion coefficient 2</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 xml:space="preserve">-1 </w:t>
            </w:r>
            <w:r>
              <w:rPr>
                <w:szCs w:val="24"/>
                <w:lang w:eastAsia="en-US"/>
              </w:rPr>
              <w:t>(1</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 xml:space="preserve">-1 </w:t>
            </w:r>
            <w:r>
              <w:rPr>
                <w:szCs w:val="24"/>
                <w:lang w:eastAsia="en-US"/>
              </w:rPr>
              <w:t>in the reference model).</w:t>
            </w:r>
          </w:p>
        </w:tc>
        <w:tc>
          <w:tcPr>
            <w:tcW w:w="2544" w:type="dxa"/>
            <w:tcBorders/>
            <w:shd w:fill="auto" w:val="clear"/>
            <w:tcMar>
              <w:left w:w="108" w:type="dxa"/>
            </w:tcMar>
          </w:tcPr>
          <w:p>
            <w:pPr>
              <w:pStyle w:val="Normal"/>
              <w:jc w:val="center"/>
              <w:rPr>
                <w:szCs w:val="24"/>
                <w:lang w:eastAsia="en-US"/>
              </w:rPr>
            </w:pPr>
            <w:r>
              <w:rPr>
                <w:szCs w:val="24"/>
                <w:lang w:eastAsia="en-US"/>
              </w:rPr>
              <w:t>Fig. 8, 9c</w:t>
            </w:r>
          </w:p>
        </w:tc>
      </w:tr>
      <w:tr>
        <w:trPr/>
        <w:tc>
          <w:tcPr>
            <w:tcW w:w="2005" w:type="dxa"/>
            <w:tcBorders/>
            <w:shd w:fill="auto" w:val="clear"/>
            <w:tcMar>
              <w:left w:w="108" w:type="dxa"/>
            </w:tcMar>
          </w:tcPr>
          <w:p>
            <w:pPr>
              <w:pStyle w:val="Normal"/>
              <w:jc w:val="center"/>
              <w:rPr>
                <w:szCs w:val="24"/>
                <w:lang w:eastAsia="en-US"/>
              </w:rPr>
            </w:pPr>
            <w:r>
              <w:rPr>
                <w:szCs w:val="24"/>
                <w:lang w:eastAsia="en-US"/>
              </w:rPr>
              <w:t>M_den05_exp3</w:t>
            </w:r>
          </w:p>
        </w:tc>
        <w:tc>
          <w:tcPr>
            <w:tcW w:w="4936" w:type="dxa"/>
            <w:tcBorders/>
            <w:shd w:fill="auto" w:val="clear"/>
            <w:tcMar>
              <w:left w:w="108" w:type="dxa"/>
            </w:tcMar>
          </w:tcPr>
          <w:p>
            <w:pPr>
              <w:pStyle w:val="ListParagraph"/>
              <w:numPr>
                <w:ilvl w:val="0"/>
                <w:numId w:val="6"/>
              </w:numPr>
              <w:ind w:left="295" w:hanging="295"/>
              <w:jc w:val="left"/>
              <w:rPr>
                <w:szCs w:val="24"/>
                <w:lang w:eastAsia="en-US"/>
              </w:rPr>
            </w:pPr>
            <w:r>
              <w:rPr>
                <w:szCs w:val="24"/>
                <w:lang w:eastAsia="en-US"/>
              </w:rPr>
              <w:t>Density contrast across the CLAB is 5 kg/m</w:t>
            </w:r>
            <w:r>
              <w:rPr>
                <w:szCs w:val="24"/>
                <w:vertAlign w:val="superscript"/>
                <w:lang w:eastAsia="en-US"/>
              </w:rPr>
              <w:t>3</w:t>
            </w:r>
            <w:r>
              <w:rPr>
                <w:szCs w:val="24"/>
                <w:lang w:eastAsia="en-US"/>
              </w:rPr>
              <w:t xml:space="preserve"> (30 kg/m</w:t>
            </w:r>
            <w:r>
              <w:rPr>
                <w:szCs w:val="24"/>
                <w:vertAlign w:val="superscript"/>
                <w:lang w:eastAsia="en-US"/>
              </w:rPr>
              <w:t xml:space="preserve">3 </w:t>
            </w:r>
            <w:r>
              <w:rPr>
                <w:szCs w:val="24"/>
                <w:lang w:eastAsia="en-US"/>
              </w:rPr>
              <w:t>in the reference model).</w:t>
            </w:r>
          </w:p>
          <w:p>
            <w:pPr>
              <w:pStyle w:val="ListParagraph"/>
              <w:widowControl/>
              <w:numPr>
                <w:ilvl w:val="0"/>
                <w:numId w:val="6"/>
              </w:numPr>
              <w:spacing w:lineRule="auto" w:line="240"/>
              <w:ind w:left="295" w:hanging="295"/>
              <w:jc w:val="left"/>
              <w:rPr>
                <w:szCs w:val="24"/>
                <w:lang w:eastAsia="en-US"/>
              </w:rPr>
            </w:pPr>
            <w:r>
              <w:rPr>
                <w:szCs w:val="24"/>
                <w:lang w:eastAsia="en-US"/>
              </w:rPr>
              <w:t>Thermal expansion coefficient 3</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 xml:space="preserve">-1 </w:t>
            </w:r>
            <w:r>
              <w:rPr>
                <w:szCs w:val="24"/>
                <w:lang w:eastAsia="en-US"/>
              </w:rPr>
              <w:t>(1</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 xml:space="preserve">-1 </w:t>
            </w:r>
            <w:r>
              <w:rPr>
                <w:szCs w:val="24"/>
                <w:lang w:eastAsia="en-US"/>
              </w:rPr>
              <w:t>in the reference model).</w:t>
            </w:r>
          </w:p>
        </w:tc>
        <w:tc>
          <w:tcPr>
            <w:tcW w:w="2544" w:type="dxa"/>
            <w:tcBorders/>
            <w:shd w:fill="auto" w:val="clear"/>
            <w:tcMar>
              <w:left w:w="108" w:type="dxa"/>
            </w:tcMar>
          </w:tcPr>
          <w:p>
            <w:pPr>
              <w:pStyle w:val="Normal"/>
              <w:jc w:val="center"/>
              <w:rPr>
                <w:szCs w:val="24"/>
                <w:lang w:eastAsia="en-US"/>
              </w:rPr>
            </w:pPr>
            <w:r>
              <w:rPr>
                <w:szCs w:val="24"/>
                <w:lang w:eastAsia="en-US"/>
              </w:rPr>
              <w:t>Fig. 9b</w:t>
            </w:r>
          </w:p>
        </w:tc>
      </w:tr>
      <w:tr>
        <w:trPr/>
        <w:tc>
          <w:tcPr>
            <w:tcW w:w="2005" w:type="dxa"/>
            <w:tcBorders/>
            <w:shd w:fill="auto" w:val="clear"/>
            <w:tcMar>
              <w:left w:w="108" w:type="dxa"/>
            </w:tcMar>
          </w:tcPr>
          <w:p>
            <w:pPr>
              <w:pStyle w:val="Normal"/>
              <w:jc w:val="center"/>
              <w:rPr>
                <w:szCs w:val="24"/>
                <w:lang w:eastAsia="en-US"/>
              </w:rPr>
            </w:pPr>
            <w:r>
              <w:rPr>
                <w:szCs w:val="24"/>
                <w:lang w:eastAsia="en-US"/>
              </w:rPr>
              <w:t>N/A</w:t>
            </w:r>
          </w:p>
        </w:tc>
        <w:tc>
          <w:tcPr>
            <w:tcW w:w="4936" w:type="dxa"/>
            <w:tcBorders/>
            <w:shd w:fill="auto" w:val="clear"/>
            <w:tcMar>
              <w:left w:w="108" w:type="dxa"/>
            </w:tcMar>
          </w:tcPr>
          <w:p>
            <w:pPr>
              <w:pStyle w:val="Normal"/>
              <w:widowControl/>
              <w:spacing w:lineRule="auto" w:line="240"/>
              <w:jc w:val="left"/>
              <w:rPr>
                <w:b/>
                <w:b/>
                <w:bCs/>
                <w:spacing w:val="5"/>
                <w:sz w:val="28"/>
                <w:szCs w:val="32"/>
              </w:rPr>
            </w:pPr>
            <w:r>
              <w:rPr>
                <w:szCs w:val="24"/>
                <w:lang w:eastAsia="en-US"/>
              </w:rPr>
              <w:t>Temperature profile in the lithospheric mantle is limited by solidus temperature.</w:t>
            </w:r>
          </w:p>
        </w:tc>
        <w:tc>
          <w:tcPr>
            <w:tcW w:w="2544" w:type="dxa"/>
            <w:tcBorders/>
            <w:shd w:fill="auto" w:val="clear"/>
            <w:tcMar>
              <w:left w:w="108" w:type="dxa"/>
            </w:tcMar>
          </w:tcPr>
          <w:p>
            <w:pPr>
              <w:pStyle w:val="Normal"/>
              <w:jc w:val="center"/>
              <w:rPr>
                <w:szCs w:val="24"/>
                <w:lang w:eastAsia="en-US"/>
              </w:rPr>
            </w:pPr>
            <w:r>
              <w:rPr>
                <w:szCs w:val="24"/>
                <w:lang w:eastAsia="en-US"/>
              </w:rPr>
              <w:t>Fig. S2a, wet solidus;</w:t>
            </w:r>
          </w:p>
          <w:p>
            <w:pPr>
              <w:pStyle w:val="Normal"/>
              <w:jc w:val="center"/>
              <w:rPr>
                <w:szCs w:val="24"/>
                <w:lang w:eastAsia="en-US"/>
              </w:rPr>
            </w:pPr>
            <w:r>
              <w:rPr>
                <w:szCs w:val="24"/>
                <w:lang w:eastAsia="en-US"/>
              </w:rPr>
              <w:t>Fig. S2b, dry solidus</w:t>
            </w:r>
          </w:p>
        </w:tc>
      </w:tr>
      <w:tr>
        <w:trPr/>
        <w:tc>
          <w:tcPr>
            <w:tcW w:w="2005" w:type="dxa"/>
            <w:tcBorders/>
            <w:shd w:fill="auto" w:val="clear"/>
            <w:tcMar>
              <w:left w:w="108" w:type="dxa"/>
            </w:tcMar>
          </w:tcPr>
          <w:p>
            <w:pPr>
              <w:pStyle w:val="Normal"/>
              <w:jc w:val="center"/>
              <w:rPr>
                <w:szCs w:val="24"/>
                <w:lang w:eastAsia="en-US"/>
              </w:rPr>
            </w:pPr>
            <w:r>
              <w:rPr>
                <w:szCs w:val="24"/>
                <w:lang w:eastAsia="en-US"/>
              </w:rPr>
              <w:t>N/A</w:t>
            </w:r>
          </w:p>
        </w:tc>
        <w:tc>
          <w:tcPr>
            <w:tcW w:w="4936" w:type="dxa"/>
            <w:tcBorders/>
            <w:shd w:fill="auto" w:val="clear"/>
            <w:tcMar>
              <w:left w:w="108" w:type="dxa"/>
            </w:tcMar>
          </w:tcPr>
          <w:p>
            <w:pPr>
              <w:pStyle w:val="Normal"/>
              <w:widowControl/>
              <w:jc w:val="left"/>
              <w:rPr>
                <w:b/>
                <w:b/>
                <w:bCs/>
                <w:spacing w:val="5"/>
                <w:sz w:val="28"/>
                <w:szCs w:val="32"/>
              </w:rPr>
            </w:pPr>
            <w:r>
              <w:rPr>
                <w:szCs w:val="24"/>
                <w:lang w:eastAsia="en-US"/>
              </w:rPr>
              <w:t>Thermal expansion coefficient 3</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 xml:space="preserve">-1 </w:t>
            </w:r>
            <w:r>
              <w:rPr>
                <w:szCs w:val="24"/>
                <w:lang w:eastAsia="en-US"/>
              </w:rPr>
              <w:t>(1</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 xml:space="preserve">-1 </w:t>
            </w:r>
            <w:r>
              <w:rPr>
                <w:szCs w:val="24"/>
                <w:lang w:eastAsia="en-US"/>
              </w:rPr>
              <w:t>in the endmember model).</w:t>
            </w:r>
          </w:p>
        </w:tc>
        <w:tc>
          <w:tcPr>
            <w:tcW w:w="2544" w:type="dxa"/>
            <w:tcBorders/>
            <w:shd w:fill="auto" w:val="clear"/>
            <w:tcMar>
              <w:left w:w="108" w:type="dxa"/>
            </w:tcMar>
          </w:tcPr>
          <w:p>
            <w:pPr>
              <w:pStyle w:val="Normal"/>
              <w:widowControl/>
              <w:jc w:val="center"/>
              <w:rPr>
                <w:b/>
                <w:b/>
                <w:bCs/>
                <w:spacing w:val="5"/>
                <w:sz w:val="28"/>
                <w:szCs w:val="32"/>
              </w:rPr>
            </w:pPr>
            <w:r>
              <w:rPr>
                <w:szCs w:val="24"/>
                <w:lang w:eastAsia="en-US"/>
              </w:rPr>
              <w:t>Fig. S3a</w:t>
            </w:r>
          </w:p>
        </w:tc>
      </w:tr>
      <w:tr>
        <w:trPr/>
        <w:tc>
          <w:tcPr>
            <w:tcW w:w="2005" w:type="dxa"/>
            <w:tcBorders/>
            <w:shd w:fill="auto" w:val="clear"/>
            <w:tcMar>
              <w:left w:w="108" w:type="dxa"/>
            </w:tcMar>
          </w:tcPr>
          <w:p>
            <w:pPr>
              <w:pStyle w:val="Normal"/>
              <w:jc w:val="center"/>
              <w:rPr>
                <w:szCs w:val="24"/>
                <w:lang w:eastAsia="en-US"/>
              </w:rPr>
            </w:pPr>
            <w:r>
              <w:rPr>
                <w:szCs w:val="24"/>
                <w:lang w:eastAsia="en-US"/>
              </w:rPr>
              <w:t>N/A</w:t>
            </w:r>
          </w:p>
        </w:tc>
        <w:tc>
          <w:tcPr>
            <w:tcW w:w="4936" w:type="dxa"/>
            <w:tcBorders/>
            <w:shd w:fill="auto" w:val="clear"/>
            <w:tcMar>
              <w:left w:w="108" w:type="dxa"/>
            </w:tcMar>
          </w:tcPr>
          <w:p>
            <w:pPr>
              <w:pStyle w:val="ListParagraph"/>
              <w:widowControl/>
              <w:numPr>
                <w:ilvl w:val="0"/>
                <w:numId w:val="3"/>
              </w:numPr>
              <w:spacing w:lineRule="auto" w:line="240"/>
              <w:ind w:left="295" w:hanging="283"/>
              <w:jc w:val="left"/>
              <w:rPr>
                <w:szCs w:val="24"/>
                <w:lang w:eastAsia="en-US"/>
              </w:rPr>
            </w:pPr>
            <w:r>
              <w:rPr>
                <w:szCs w:val="24"/>
                <w:lang w:eastAsia="en-US"/>
              </w:rPr>
              <w:t xml:space="preserve">The model accounts for the effect of latent heat. </w:t>
            </w:r>
          </w:p>
          <w:p>
            <w:pPr>
              <w:pStyle w:val="ListParagraph"/>
              <w:widowControl/>
              <w:numPr>
                <w:ilvl w:val="0"/>
                <w:numId w:val="3"/>
              </w:numPr>
              <w:spacing w:lineRule="auto" w:line="240"/>
              <w:ind w:left="295" w:hanging="283"/>
              <w:jc w:val="left"/>
              <w:rPr>
                <w:szCs w:val="24"/>
                <w:lang w:eastAsia="en-US"/>
              </w:rPr>
            </w:pPr>
            <w:r>
              <w:rPr>
                <w:szCs w:val="24"/>
                <w:lang w:eastAsia="en-US"/>
              </w:rPr>
              <w:t>Thermal expansion coefficient 3</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-1</w:t>
            </w:r>
          </w:p>
        </w:tc>
        <w:tc>
          <w:tcPr>
            <w:tcW w:w="2544" w:type="dxa"/>
            <w:tcBorders/>
            <w:shd w:fill="auto" w:val="clear"/>
            <w:tcMar>
              <w:left w:w="108" w:type="dxa"/>
            </w:tcMar>
          </w:tcPr>
          <w:p>
            <w:pPr>
              <w:pStyle w:val="Normal"/>
              <w:widowControl/>
              <w:spacing w:lineRule="auto" w:line="240"/>
              <w:jc w:val="center"/>
              <w:rPr>
                <w:szCs w:val="24"/>
                <w:lang w:eastAsia="en-US"/>
              </w:rPr>
            </w:pPr>
            <w:r>
              <w:rPr>
                <w:szCs w:val="24"/>
                <w:lang w:eastAsia="en-US"/>
              </w:rPr>
              <w:t>Fig. S3b</w:t>
            </w:r>
          </w:p>
        </w:tc>
      </w:tr>
      <w:tr>
        <w:trPr/>
        <w:tc>
          <w:tcPr>
            <w:tcW w:w="2005" w:type="dxa"/>
            <w:tcBorders/>
            <w:shd w:fill="auto" w:val="clear"/>
            <w:tcMar>
              <w:left w:w="108" w:type="dxa"/>
            </w:tcMar>
          </w:tcPr>
          <w:p>
            <w:pPr>
              <w:pStyle w:val="Normal"/>
              <w:jc w:val="center"/>
              <w:rPr>
                <w:szCs w:val="24"/>
                <w:lang w:eastAsia="en-US"/>
              </w:rPr>
            </w:pPr>
            <w:r>
              <w:rPr>
                <w:szCs w:val="24"/>
                <w:lang w:eastAsia="en-US"/>
              </w:rPr>
              <w:t>N/A</w:t>
            </w:r>
          </w:p>
        </w:tc>
        <w:tc>
          <w:tcPr>
            <w:tcW w:w="4936" w:type="dxa"/>
            <w:tcBorders/>
            <w:shd w:fill="auto" w:val="clear"/>
            <w:tcMar>
              <w:left w:w="108" w:type="dxa"/>
            </w:tcMar>
          </w:tcPr>
          <w:p>
            <w:pPr>
              <w:pStyle w:val="Normal"/>
              <w:widowControl/>
              <w:spacing w:lineRule="auto" w:line="240"/>
              <w:ind w:left="295" w:hanging="283"/>
              <w:jc w:val="left"/>
              <w:rPr>
                <w:szCs w:val="24"/>
                <w:lang w:eastAsia="en-US"/>
              </w:rPr>
            </w:pPr>
            <w:r>
              <w:rPr>
                <w:szCs w:val="24"/>
                <w:lang w:eastAsia="en-US"/>
              </w:rPr>
              <w:t xml:space="preserve">1.TLAB is initially at depth of 150 km (90 km in the endmember model). </w:t>
            </w:r>
          </w:p>
          <w:p>
            <w:pPr>
              <w:pStyle w:val="Normal"/>
              <w:ind w:left="295" w:hanging="283"/>
              <w:rPr>
                <w:b/>
                <w:b/>
                <w:bCs/>
                <w:spacing w:val="5"/>
                <w:sz w:val="28"/>
                <w:szCs w:val="32"/>
              </w:rPr>
            </w:pPr>
            <w:r>
              <w:rPr>
                <w:szCs w:val="24"/>
                <w:lang w:eastAsia="en-US"/>
              </w:rPr>
              <w:t>2. Thermal expansion coefficient 3</w:t>
            </w:r>
            <w:r>
              <w:rPr>
                <w:rFonts w:eastAsia="新宋体"/>
                <w:szCs w:val="24"/>
                <w:lang w:eastAsia="en-US"/>
              </w:rPr>
              <w:t>×</w:t>
            </w:r>
            <w:r>
              <w:rPr>
                <w:szCs w:val="24"/>
                <w:lang w:eastAsia="en-US"/>
              </w:rPr>
              <w:t>10</w:t>
            </w:r>
            <w:r>
              <w:rPr>
                <w:szCs w:val="24"/>
                <w:vertAlign w:val="superscript"/>
                <w:lang w:eastAsia="en-US"/>
              </w:rPr>
              <w:t>-5</w:t>
            </w:r>
            <w:r>
              <w:rPr>
                <w:szCs w:val="24"/>
                <w:lang w:eastAsia="en-US"/>
              </w:rPr>
              <w:t xml:space="preserve"> K</w:t>
            </w:r>
            <w:r>
              <w:rPr>
                <w:szCs w:val="24"/>
                <w:vertAlign w:val="superscript"/>
                <w:lang w:eastAsia="en-US"/>
              </w:rPr>
              <w:t>-1</w:t>
            </w:r>
          </w:p>
        </w:tc>
        <w:tc>
          <w:tcPr>
            <w:tcW w:w="2544" w:type="dxa"/>
            <w:tcBorders/>
            <w:shd w:fill="auto" w:val="clear"/>
            <w:tcMar>
              <w:left w:w="108" w:type="dxa"/>
            </w:tcMar>
          </w:tcPr>
          <w:p>
            <w:pPr>
              <w:pStyle w:val="Normal"/>
              <w:widowControl/>
              <w:spacing w:lineRule="auto" w:line="240"/>
              <w:jc w:val="center"/>
              <w:rPr>
                <w:b/>
                <w:b/>
                <w:bCs/>
                <w:spacing w:val="5"/>
                <w:sz w:val="28"/>
                <w:szCs w:val="32"/>
              </w:rPr>
            </w:pPr>
            <w:r>
              <w:rPr>
                <w:szCs w:val="24"/>
                <w:lang w:eastAsia="en-US"/>
              </w:rPr>
              <w:t>Fig. S3c</w:t>
            </w:r>
          </w:p>
        </w:tc>
      </w:tr>
    </w:tbl>
    <w:p>
      <w:pPr>
        <w:pStyle w:val="Normal"/>
        <w:widowControl/>
        <w:spacing w:lineRule="auto" w:line="240"/>
        <w:jc w:val="left"/>
        <w:rPr>
          <w:b/>
          <w:b/>
          <w:bCs/>
          <w:spacing w:val="5"/>
          <w:sz w:val="28"/>
          <w:szCs w:val="32"/>
        </w:rPr>
      </w:pPr>
      <w:r>
        <w:rPr>
          <w:b/>
          <w:bCs/>
          <w:spacing w:val="5"/>
          <w:sz w:val="28"/>
          <w:szCs w:val="32"/>
        </w:rPr>
      </w:r>
    </w:p>
    <w:p>
      <w:pPr>
        <w:pStyle w:val="Normal"/>
        <w:widowControl/>
        <w:spacing w:lineRule="auto" w:line="240"/>
        <w:jc w:val="left"/>
        <w:rPr>
          <w:b/>
          <w:b/>
          <w:bCs/>
          <w:spacing w:val="5"/>
          <w:sz w:val="28"/>
          <w:szCs w:val="32"/>
        </w:rPr>
      </w:pPr>
      <w:r>
        <w:rPr>
          <w:b/>
          <w:bCs/>
          <w:spacing w:val="5"/>
          <w:sz w:val="28"/>
          <w:szCs w:val="32"/>
        </w:rPr>
      </w:r>
      <w:r>
        <w:br w:type="page"/>
      </w:r>
    </w:p>
    <w:p>
      <w:pPr>
        <w:pStyle w:val="Heading1"/>
        <w:rPr/>
      </w:pPr>
      <w:r>
        <w:rPr/>
        <w:t>5. References to Figure 1</w:t>
      </w:r>
    </w:p>
    <w:p>
      <w:pPr>
        <w:pStyle w:val="Normal"/>
        <w:rPr/>
      </w:pPr>
      <w:r>
        <w:rPr/>
      </w:r>
    </w:p>
    <w:p>
      <w:pPr>
        <w:pStyle w:val="Refs"/>
        <w:rPr/>
      </w:pPr>
      <w:r>
        <w:rPr>
          <w:lang w:val="es-ES"/>
        </w:rPr>
        <w:t xml:space="preserve">Abramovitz, T., Thybo, H., Perchuc, E., 2002. </w:t>
      </w:r>
      <w:r>
        <w:rPr/>
        <w:t>Tomographic inversion of seismic P- and S-wave velocities from the Baltic Shield based on FENNOLORA data. Tectonophysics 358, 151-174.</w:t>
      </w:r>
    </w:p>
    <w:p>
      <w:pPr>
        <w:pStyle w:val="Refs"/>
        <w:rPr/>
      </w:pPr>
      <w:r>
        <w:rPr/>
        <w:t>Abt, D. L., K. M. Fischer, S. W. French, H. A. Ford, H. Yuan, B. Romanowicz, 2010. North American lithospheric discontinuity structure imaged by Ps and Sp receiver functions, J. Geophys. Res., 115, B09301, doi:10.1029/2009JB006914.</w:t>
      </w:r>
    </w:p>
    <w:p>
      <w:pPr>
        <w:pStyle w:val="Refs"/>
        <w:rPr/>
      </w:pPr>
      <w:r>
        <w:rPr/>
        <w:t>Bruneton, M., Pedersen, H. A., Vacher, P., et al. and the SVEKALAPKO Seismic Tomography Working Group (2004). Layered lithospheric mantle in the central Baltic Shield from surface waves and xenolith analysis. Earth Planet. Sci. Lett., 226, 41–52.</w:t>
      </w:r>
    </w:p>
    <w:p>
      <w:pPr>
        <w:pStyle w:val="Refs"/>
        <w:rPr/>
      </w:pPr>
      <w:bookmarkStart w:id="12" w:name="_ENREF_13"/>
      <w:bookmarkEnd w:id="12"/>
      <w:r>
        <w:rPr/>
        <w:t>Debayle, E., Kennett, B., Priestley, K., 2005. Global azimuthal seismic anisotropy and the unique plate-motion deformation of Australia. Nature 433, 509-512.</w:t>
      </w:r>
    </w:p>
    <w:p>
      <w:pPr>
        <w:pStyle w:val="Refs"/>
        <w:rPr/>
      </w:pPr>
      <w:bookmarkStart w:id="13" w:name="_ENREF_15"/>
      <w:bookmarkEnd w:id="13"/>
      <w:r>
        <w:rPr/>
        <w:t>Egorkin, A.V., Zuganov, S.K., Pavlenkova, N.A., Chernyshev, N.M., 1987. Results of Lithospheric Studies from Long-Range Profiles in Siberia. Tectonophysics 140, 29-47.</w:t>
      </w:r>
    </w:p>
    <w:p>
      <w:pPr>
        <w:pStyle w:val="Refs"/>
        <w:rPr/>
      </w:pPr>
      <w:bookmarkStart w:id="14" w:name="_ENREF_21"/>
      <w:r>
        <w:rPr/>
        <w:t>Fuchs, K. and Vinnik, L.P., 1982. Investigation of the subcrustal lithosphere and astenosphere by controlled source seismic experiments on long range profiles. In: G. Palmason et al. (Editors), Continental and Oceanic Riffs. AGU Geodyn. Ser., 8: 81-89.</w:t>
      </w:r>
    </w:p>
    <w:p>
      <w:pPr>
        <w:pStyle w:val="Refs"/>
        <w:rPr/>
      </w:pPr>
      <w:r>
        <w:rPr/>
        <w:t>Griffin, W.L., Doyle, B.J., Ryan, C.G., Pearson, N.J., O'Reilly, S.Y., Davies, R., Kivi, K., Van Achterbergh, E., Natapov, L.M., 1999. Layered mantle lithosphere in the Lac de Gras area, Slave Craton: Composition, structure and origin. Journal of Petrology 40, 705-727.</w:t>
      </w:r>
    </w:p>
    <w:p>
      <w:pPr>
        <w:pStyle w:val="Refs"/>
        <w:rPr/>
      </w:pPr>
      <w:bookmarkStart w:id="15" w:name="_ENREF_21"/>
      <w:bookmarkEnd w:id="15"/>
      <w:r>
        <w:rPr/>
        <w:t>Griffin, W.L., O'Reilly, S.Y., Doyle, B.J., Pearson, N.J., Coopersmith, H., Kivi, K., Malkovets, V., Pokhilenko, N., 2004. Lithosphere mapping beneath the north American plate. Lithos 77, 873-922.</w:t>
      </w:r>
    </w:p>
    <w:p>
      <w:pPr>
        <w:pStyle w:val="Refs"/>
        <w:rPr/>
      </w:pPr>
      <w:bookmarkStart w:id="16" w:name="_ENREF_22"/>
      <w:bookmarkEnd w:id="16"/>
      <w:r>
        <w:rPr/>
        <w:t>Griffin, W.L., O'Reilly, S.Y., Natapov, L.M., Ryan, C.G., 2003. The evolution of lithospheric mantle beneath the Kalahari Craton and its margins. Lithos 71, 215-241.</w:t>
      </w:r>
    </w:p>
    <w:p>
      <w:pPr>
        <w:pStyle w:val="Refs"/>
        <w:rPr/>
      </w:pPr>
      <w:bookmarkStart w:id="17" w:name="_ENREF_23"/>
      <w:bookmarkEnd w:id="17"/>
      <w:r>
        <w:rPr/>
        <w:t>Griffin, W.L., Ryan, C.G., Kaminsky, F.V., O'Reilly, S.Y., Natapov, L.M., Win, T.T., Kinny, P.D., Ilupin, I.P., 1999. The Siberian lithosphere traverse: mantle terranes and the assembly of the Siberian Craton. Tectonophysics 310, 1-35.</w:t>
      </w:r>
    </w:p>
    <w:p>
      <w:pPr>
        <w:pStyle w:val="Refs"/>
        <w:rPr/>
      </w:pPr>
      <w:r>
        <w:rPr/>
        <w:t>Hansen, S.E., Nyblade, A.A., Julià, J., Dirks, P.H.G.M., Durrheim, R.J., 2009. Upper-mantle low-velocity zone structure beneath the Kaapvaal craton fromS-wave receiver functions. Geophysical Journal International 178, 1021-1027.</w:t>
      </w:r>
    </w:p>
    <w:p>
      <w:pPr>
        <w:pStyle w:val="Refs"/>
        <w:rPr/>
      </w:pPr>
      <w:r>
        <w:rPr/>
        <w:t>Jones, A.G., Lezaeta, P., Ferguson, I.J., Chave, A.D., Evans, R.L., Garcia, X., Spratt, J., 2003. The electrical structure of the Slave craton. Lithos 71, 505-527.</w:t>
      </w:r>
    </w:p>
    <w:p>
      <w:pPr>
        <w:pStyle w:val="Refs"/>
        <w:rPr>
          <w:lang w:val="da-DK"/>
        </w:rPr>
      </w:pPr>
      <w:r>
        <w:rPr/>
        <w:t xml:space="preserve">Kopylova, M. G. and Russell, J. K. (2000). Chemical stratification of cratonic lithosphere: Constraints from the northern Slave craton, Canada. </w:t>
      </w:r>
      <w:r>
        <w:rPr>
          <w:lang w:val="da-DK"/>
        </w:rPr>
        <w:t>Earth Planet. Sci. Lett., 181: 71–87.</w:t>
      </w:r>
    </w:p>
    <w:p>
      <w:pPr>
        <w:pStyle w:val="Refs"/>
        <w:rPr>
          <w:lang w:val="da-DK"/>
        </w:rPr>
      </w:pPr>
      <w:r>
        <w:rPr>
          <w:lang w:val="da-DK"/>
        </w:rPr>
        <w:t xml:space="preserve">Lehtonen, M.L., O'Brien, H.E., Peltonen, P., Johanson, B.S., Pakkanen, L.K., 2004. </w:t>
      </w:r>
      <w:r>
        <w:rPr/>
        <w:t xml:space="preserve">Layered mantle at the Karelian Craton margin: P–T of mantle xenocrysts and xenoliths from the Kaavi–Kuopio kimberlites, Finland. </w:t>
      </w:r>
      <w:r>
        <w:rPr>
          <w:lang w:val="da-DK"/>
        </w:rPr>
        <w:t>Lithos 77, 593-608.</w:t>
      </w:r>
    </w:p>
    <w:p>
      <w:pPr>
        <w:pStyle w:val="Refs"/>
        <w:rPr/>
      </w:pPr>
      <w:r>
        <w:rPr>
          <w:lang w:val="da-DK"/>
        </w:rPr>
        <w:t xml:space="preserve">Mareschal, M., Kellett, R. L., Kurtz, R. D., et al. </w:t>
      </w:r>
      <w:r>
        <w:rPr/>
        <w:t>(1995). Archaean cratonic roots, mantle shear zones and deep electrical anisotropy. Nature, 375: 134–137.</w:t>
      </w:r>
    </w:p>
    <w:p>
      <w:pPr>
        <w:pStyle w:val="Refs"/>
        <w:rPr/>
      </w:pPr>
      <w:r>
        <w:rPr/>
        <w:t>Olsson, S., Roberts, R. G. &amp; Böðvarsson, R. 2007. Analysis of waves converted from S to P in the upper mantle beneath the Baltic Shield. Earth Planet. Sci. Lett. 257, 37–46</w:t>
      </w:r>
    </w:p>
    <w:p>
      <w:pPr>
        <w:pStyle w:val="Refs"/>
        <w:rPr/>
      </w:pPr>
      <w:r>
        <w:rPr/>
        <w:t>Perchuc, E., Thybo, H., 1996. A new model of upper mantle P-wave velocity below the Baltic Shield: Indication of partial melt in the 95 to 160 km depth range. Tectonophysics 253, 227-245.</w:t>
      </w:r>
    </w:p>
    <w:p>
      <w:pPr>
        <w:pStyle w:val="Refs"/>
        <w:rPr/>
      </w:pPr>
      <w:r>
        <w:rPr/>
        <w:t>Rychert, C.A., Shearer, P.M., 2009. A global view of the lithosphere-asthenosphere boundary. Science 324, 495-498.</w:t>
      </w:r>
    </w:p>
    <w:p>
      <w:pPr>
        <w:pStyle w:val="Refs"/>
        <w:rPr/>
      </w:pPr>
      <w:r>
        <w:rPr/>
        <w:t>Savage, B. and Silver, P. G. (2008). Evidence for a compositional boundary within the lithospheric mantle beneath the Kalahari craton from S receiver functions. Earth Planet. Sci. Lett., 272, 600–609.</w:t>
      </w:r>
    </w:p>
    <w:p>
      <w:pPr>
        <w:pStyle w:val="Refs"/>
        <w:rPr/>
      </w:pPr>
      <w:bookmarkStart w:id="18" w:name="_ENREF_58"/>
      <w:r>
        <w:rPr>
          <w:rStyle w:val="RefsChar"/>
        </w:rPr>
        <w:t>Silvennoinen, H., E. Kozlovskaya, and E. Kissling (2016), POLENET/LAPNET teleseismic P wave travel time tomography model of the upper mantle beneath northern Fennoscandia, Solid Earth, 7(2), 425-4</w:t>
      </w:r>
      <w:r>
        <w:rPr/>
        <w:t>39, doi:10.5194/se-7-425-2016.</w:t>
      </w:r>
    </w:p>
    <w:p>
      <w:pPr>
        <w:pStyle w:val="Refs"/>
        <w:rPr/>
      </w:pPr>
      <w:r>
        <w:rPr/>
        <w:t xml:space="preserve">Skirrow, R. G., van der Wielen, S. E.,Champion, D. C., Czarnota, K., &amp; Thiel, S.(2018). Lithospheric architecture and mantle metasomatism linked to ironoxide Cu-Au ore formation:Multidisciplinary evidence from the Olympic Dam region, South Australia. Geochemistry, Geophysics, Geosystems, 19. https://doi.org/10.1029/ 2018GC007561. </w:t>
      </w:r>
    </w:p>
    <w:p>
      <w:pPr>
        <w:pStyle w:val="Refs"/>
        <w:rPr/>
      </w:pPr>
      <w:r>
        <w:rPr/>
        <w:t>Snyder, D. B. (2008), Stacked uppermost mantle layers within the Slave craton of NW Canada as defined by anisotropic seismic discontinuities, Tectonics, 27, TC4006, doi:10.1029/2007TC002132.</w:t>
      </w:r>
    </w:p>
    <w:p>
      <w:pPr>
        <w:pStyle w:val="Refs"/>
        <w:rPr/>
      </w:pPr>
      <w:r>
        <w:rPr>
          <w:lang w:val="da-DK"/>
        </w:rPr>
        <w:t xml:space="preserve">Sodoudi, F. , Yuan X., Kind R., et al., 2013. </w:t>
      </w:r>
      <w:r>
        <w:rPr/>
        <w:t>Seismic evidence for stratification in composition and anisotropic fabric within the thick lithosphere of Kalahari Craton. Geochem. Geophys. Geosyst. 14, 5393–5412.</w:t>
      </w:r>
    </w:p>
    <w:p>
      <w:pPr>
        <w:pStyle w:val="Refs"/>
        <w:rPr/>
      </w:pPr>
      <w:bookmarkStart w:id="19" w:name="_ENREF_58"/>
      <w:r>
        <w:rPr/>
        <w:t>Sun, W., Fu, L.Y., Saygin, E., Zhao, L., 2018. Insights Into Layering in the Cratonic Lithosphere Beneath Western Australia. Journal of Geophysical Research: Solid Earth</w:t>
      </w:r>
      <w:bookmarkEnd w:id="19"/>
      <w:r>
        <w:rPr/>
        <w:t>, 123 (2),1405-1418.</w:t>
      </w:r>
    </w:p>
    <w:p>
      <w:pPr>
        <w:pStyle w:val="Refs"/>
        <w:rPr/>
      </w:pPr>
      <w:bookmarkStart w:id="20" w:name="_ENREF_60"/>
      <w:bookmarkEnd w:id="20"/>
      <w:r>
        <w:rPr/>
        <w:t>Thybo, H., Perchuć, E., 1997. The Seismic 8° Discontinuity and Partial Melting in Continental Mantle. Science 275, 1626-1629.</w:t>
      </w:r>
    </w:p>
    <w:p>
      <w:pPr>
        <w:pStyle w:val="Refs"/>
        <w:rPr/>
      </w:pPr>
      <w:bookmarkStart w:id="21" w:name="_ENREF_65"/>
      <w:r>
        <w:rPr/>
        <w:t>Vinnik, L., et al. (2014), Anisotropic lithosphere under the Fennoscandian shield from P receiver functions and SKS waveforms of the POLENET/LAPNET array, Tectonophysics, 628, 45-54, doi:10.1016/j.tecto.2014.04.024.</w:t>
      </w:r>
    </w:p>
    <w:p>
      <w:pPr>
        <w:pStyle w:val="Refs"/>
        <w:rPr/>
      </w:pPr>
      <w:r>
        <w:rPr/>
        <w:t>Wittlinger, G., V. Farra, 2007. Converted waves reveal a thick and layered tectosphere beneath the Kalahari supercraton, Earth Planet. Sci. Lett., 254, 404–415.</w:t>
      </w:r>
    </w:p>
    <w:p>
      <w:pPr>
        <w:pStyle w:val="Refs"/>
        <w:rPr/>
      </w:pPr>
      <w:bookmarkStart w:id="22" w:name="_ENREF_65"/>
      <w:bookmarkEnd w:id="22"/>
      <w:r>
        <w:rPr/>
        <w:t>Yuan, H., Romanowicz, B., 2010. Lithospheric layering in the North American craton. Nature 466, 1063-1068.</w:t>
      </w:r>
    </w:p>
    <w:p>
      <w:pPr>
        <w:pStyle w:val="Refs"/>
        <w:rPr/>
      </w:pPr>
      <w:r>
        <w:rPr/>
        <w:t>Yuan, H., Romanowicz, B., Fischer, K. M., Abt, D. 2011. 3-D shear wave radially and azimuthally anisotropic velocity model of the North American upper mantle. Geophys. J. Int. 184, 1237–1260.</w:t>
      </w:r>
      <w:r>
        <w:br w:type="page"/>
      </w:r>
    </w:p>
    <w:p>
      <w:pPr>
        <w:pStyle w:val="Heading1"/>
        <w:rPr/>
      </w:pPr>
      <w:r>
        <w:drawing>
          <wp:anchor behindDoc="0" distT="0" distB="0" distL="114300" distR="114300" simplePos="0" locked="0" layoutInCell="1" allowOverlap="1" relativeHeight="2">
            <wp:simplePos x="0" y="0"/>
            <wp:positionH relativeFrom="column">
              <wp:posOffset>1905</wp:posOffset>
            </wp:positionH>
            <wp:positionV relativeFrom="paragraph">
              <wp:posOffset>585470</wp:posOffset>
            </wp:positionV>
            <wp:extent cx="4595495" cy="3829685"/>
            <wp:effectExtent l="0" t="0" r="0" b="0"/>
            <wp:wrapTopAndBottom/>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pic:cNvPicPr>
                      <a:picLocks noChangeAspect="1" noChangeArrowheads="1"/>
                    </pic:cNvPicPr>
                  </pic:nvPicPr>
                  <pic:blipFill>
                    <a:blip r:embed="rId3"/>
                    <a:stretch>
                      <a:fillRect/>
                    </a:stretch>
                  </pic:blipFill>
                  <pic:spPr bwMode="auto">
                    <a:xfrm>
                      <a:off x="0" y="0"/>
                      <a:ext cx="4595495" cy="3829685"/>
                    </a:xfrm>
                    <a:prstGeom prst="rect">
                      <a:avLst/>
                    </a:prstGeom>
                  </pic:spPr>
                </pic:pic>
              </a:graphicData>
            </a:graphic>
          </wp:anchor>
        </w:drawing>
      </w:r>
      <w:r>
        <w:rPr/>
        <w:t>6</w:t>
      </w:r>
      <w:r>
        <w:rPr/>
        <w:t>. Supplementary Figures S1-S3</w:t>
      </w:r>
    </w:p>
    <w:p>
      <w:pPr>
        <w:pStyle w:val="Normal"/>
        <w:rPr>
          <w:b/>
          <w:b/>
          <w:bCs/>
        </w:rPr>
      </w:pPr>
      <w:r>
        <w:rPr>
          <w:b/>
          <w:bCs/>
        </w:rPr>
      </w:r>
    </w:p>
    <w:p>
      <w:pPr>
        <w:pStyle w:val="Normal"/>
        <w:rPr>
          <w:b/>
          <w:b/>
          <w:bCs/>
        </w:rPr>
      </w:pPr>
      <w:r>
        <w:rPr>
          <w:b/>
          <w:bCs/>
        </w:rPr>
      </w:r>
    </w:p>
    <w:p>
      <w:pPr>
        <w:pStyle w:val="Normal"/>
        <w:spacing w:lineRule="auto" w:line="360"/>
        <w:rPr/>
      </w:pPr>
      <w:r>
        <w:rPr>
          <w:b/>
          <w:bCs/>
        </w:rPr>
        <w:t>Figure S1</w:t>
      </w:r>
      <w:r>
        <w:rPr/>
        <w:t xml:space="preserve">. Relative heat production in the Earth for the past 4.5 Gy. The assumed present abundances for K, Th, and U are 200 ppm, 74 ppb, and 20 ppb, respectively. The weight percentage of </w:t>
      </w:r>
      <w:r>
        <w:rPr>
          <w:vertAlign w:val="superscript"/>
        </w:rPr>
        <w:t>40</w:t>
      </w:r>
      <w:r>
        <w:rPr/>
        <w:t xml:space="preserve">K/K, </w:t>
      </w:r>
      <w:r>
        <w:rPr>
          <w:vertAlign w:val="superscript"/>
        </w:rPr>
        <w:t>232</w:t>
      </w:r>
      <w:r>
        <w:rPr/>
        <w:t xml:space="preserve">Th/Th, </w:t>
      </w:r>
      <w:r>
        <w:rPr>
          <w:vertAlign w:val="superscript"/>
        </w:rPr>
        <w:t>235</w:t>
      </w:r>
      <w:r>
        <w:rPr/>
        <w:t xml:space="preserve">U/U and </w:t>
      </w:r>
      <w:r>
        <w:rPr>
          <w:vertAlign w:val="superscript"/>
        </w:rPr>
        <w:t>238</w:t>
      </w:r>
      <w:r>
        <w:rPr/>
        <w:t>U/U is 0.0119, 100.0, 0.71 and 99.28, respectively (</w:t>
      </w:r>
      <w:r>
        <w:rPr>
          <w:color w:val="000000" w:themeColor="text1"/>
        </w:rPr>
        <w:t>Van Schmus, 1995</w:t>
      </w:r>
      <w:r>
        <w:rPr/>
        <w:t xml:space="preserve">). </w:t>
      </w:r>
      <w:r>
        <w:rPr>
          <w:vertAlign w:val="superscript"/>
        </w:rPr>
        <w:t>40</w:t>
      </w:r>
      <w:r>
        <w:rPr/>
        <w:t xml:space="preserve">K and </w:t>
      </w:r>
      <w:r>
        <w:rPr>
          <w:vertAlign w:val="superscript"/>
        </w:rPr>
        <w:t>235</w:t>
      </w:r>
      <w:r>
        <w:rPr/>
        <w:t>U provide the major contribution to heat production in the early Earth.</w:t>
      </w:r>
    </w:p>
    <w:p>
      <w:pPr>
        <w:pStyle w:val="Normal"/>
        <w:rPr>
          <w:szCs w:val="20"/>
        </w:rPr>
      </w:pPr>
      <w:r>
        <w:rPr>
          <w:szCs w:val="20"/>
        </w:rPr>
      </w:r>
      <w:r>
        <w:br w:type="page"/>
      </w:r>
    </w:p>
    <w:p>
      <w:pPr>
        <w:pStyle w:val="Refs"/>
        <w:ind w:left="0" w:hanging="0"/>
        <w:rPr/>
      </w:pPr>
      <w:r>
        <w:rPr/>
        <w:drawing>
          <wp:anchor behindDoc="0" distT="0" distB="0" distL="114300" distR="114300" simplePos="0" locked="0" layoutInCell="1" allowOverlap="1" relativeHeight="3">
            <wp:simplePos x="0" y="0"/>
            <wp:positionH relativeFrom="column">
              <wp:posOffset>0</wp:posOffset>
            </wp:positionH>
            <wp:positionV relativeFrom="paragraph">
              <wp:posOffset>635</wp:posOffset>
            </wp:positionV>
            <wp:extent cx="5756275" cy="2750820"/>
            <wp:effectExtent l="0" t="0" r="0" b="0"/>
            <wp:wrapTopAndBottom/>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pic:cNvPicPr>
                      <a:picLocks noChangeAspect="1" noChangeArrowheads="1"/>
                    </pic:cNvPicPr>
                  </pic:nvPicPr>
                  <pic:blipFill>
                    <a:blip r:embed="rId4"/>
                    <a:stretch>
                      <a:fillRect/>
                    </a:stretch>
                  </pic:blipFill>
                  <pic:spPr bwMode="auto">
                    <a:xfrm>
                      <a:off x="0" y="0"/>
                      <a:ext cx="5756275" cy="2750820"/>
                    </a:xfrm>
                    <a:prstGeom prst="rect">
                      <a:avLst/>
                    </a:prstGeom>
                  </pic:spPr>
                </pic:pic>
              </a:graphicData>
            </a:graphic>
          </wp:anchor>
        </w:drawing>
      </w:r>
    </w:p>
    <w:p>
      <w:pPr>
        <w:pStyle w:val="Refs"/>
        <w:ind w:left="0" w:hanging="0"/>
        <w:rPr>
          <w:b/>
          <w:b/>
          <w:bCs/>
        </w:rPr>
      </w:pPr>
      <w:r>
        <w:rPr>
          <w:b/>
          <w:bCs/>
        </w:rPr>
      </w:r>
    </w:p>
    <w:p>
      <w:pPr>
        <w:pStyle w:val="Refs"/>
        <w:spacing w:lineRule="auto" w:line="360"/>
        <w:rPr>
          <w:rFonts w:ascii="Arial" w:hAnsi="Arial" w:cs="Arial"/>
        </w:rPr>
      </w:pPr>
      <w:r>
        <w:rPr>
          <w:rFonts w:cs="Arial" w:ascii="Arial" w:hAnsi="Arial"/>
          <w:b/>
          <w:bCs/>
        </w:rPr>
        <w:t xml:space="preserve">Figure S2. </w:t>
      </w:r>
      <w:r>
        <w:rPr>
          <w:rFonts w:cs="Arial" w:ascii="Arial" w:hAnsi="Arial"/>
        </w:rPr>
        <w:t>Snapshots of the model evolution for different temperature fields at time zero. Snapshots show the square root of the second invariant strain rate. Model settings are the same as in the end-member model, except that the temperature (white panel inserts) in the lithospheric mantle is lowered to the corresponding solidus temperature (</w:t>
      </w:r>
      <w:r>
        <w:rPr>
          <w:rFonts w:cs="Arial" w:ascii="Arial" w:hAnsi="Arial"/>
          <w:color w:val="000000" w:themeColor="text1"/>
        </w:rPr>
        <w:t>Katz et al., 2003</w:t>
      </w:r>
      <w:r>
        <w:rPr>
          <w:rFonts w:cs="Arial" w:ascii="Arial" w:hAnsi="Arial"/>
        </w:rPr>
        <w:t>) when it reaches (</w:t>
      </w:r>
      <w:r>
        <w:rPr>
          <w:rFonts w:cs="Arial" w:ascii="Arial" w:hAnsi="Arial"/>
          <w:b/>
          <w:bCs/>
        </w:rPr>
        <w:t>a</w:t>
      </w:r>
      <w:r>
        <w:rPr>
          <w:rFonts w:cs="Arial" w:ascii="Arial" w:hAnsi="Arial"/>
        </w:rPr>
        <w:t>) wet solidus with 300 ppm water or (</w:t>
      </w:r>
      <w:r>
        <w:rPr>
          <w:rFonts w:cs="Arial" w:ascii="Arial" w:hAnsi="Arial"/>
          <w:b/>
          <w:bCs/>
        </w:rPr>
        <w:t>b</w:t>
      </w:r>
      <w:r>
        <w:rPr>
          <w:rFonts w:cs="Arial" w:ascii="Arial" w:hAnsi="Arial"/>
        </w:rPr>
        <w:t>) dry solidus. Even in the case of wet solidus (</w:t>
      </w:r>
      <w:r>
        <w:rPr>
          <w:rFonts w:cs="Arial" w:ascii="Arial" w:hAnsi="Arial"/>
          <w:b/>
          <w:bCs/>
        </w:rPr>
        <w:t>a</w:t>
      </w:r>
      <w:r>
        <w:rPr>
          <w:rFonts w:cs="Arial" w:ascii="Arial" w:hAnsi="Arial"/>
        </w:rPr>
        <w:t>), the model evolution produces a large-scale channel flow (&gt; 1000 km) in the thick continental root.</w:t>
      </w:r>
    </w:p>
    <w:p>
      <w:pPr>
        <w:pStyle w:val="Normal"/>
        <w:rPr>
          <w:szCs w:val="20"/>
        </w:rPr>
      </w:pPr>
      <w:r>
        <w:rPr>
          <w:szCs w:val="20"/>
        </w:rPr>
      </w:r>
      <w:r>
        <w:br w:type="page"/>
      </w:r>
    </w:p>
    <w:p>
      <w:pPr>
        <w:pStyle w:val="Refs"/>
        <w:rPr>
          <w:lang w:eastAsia="en-GB"/>
        </w:rPr>
      </w:pPr>
      <w:r>
        <w:rPr>
          <w:lang w:eastAsia="en-GB"/>
        </w:rPr>
        <w:drawing>
          <wp:anchor behindDoc="0" distT="0" distB="0" distL="114300" distR="115570" simplePos="0" locked="0" layoutInCell="1" allowOverlap="1" relativeHeight="4">
            <wp:simplePos x="0" y="0"/>
            <wp:positionH relativeFrom="column">
              <wp:posOffset>0</wp:posOffset>
            </wp:positionH>
            <wp:positionV relativeFrom="paragraph">
              <wp:posOffset>635</wp:posOffset>
            </wp:positionV>
            <wp:extent cx="5751830" cy="4081145"/>
            <wp:effectExtent l="0" t="0" r="0" b="0"/>
            <wp:wrapTopAndBottom/>
            <wp:docPr id="3"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
                    <pic:cNvPicPr>
                      <a:picLocks noChangeAspect="1" noChangeArrowheads="1"/>
                    </pic:cNvPicPr>
                  </pic:nvPicPr>
                  <pic:blipFill>
                    <a:blip r:embed="rId5"/>
                    <a:stretch>
                      <a:fillRect/>
                    </a:stretch>
                  </pic:blipFill>
                  <pic:spPr bwMode="auto">
                    <a:xfrm>
                      <a:off x="0" y="0"/>
                      <a:ext cx="5751830" cy="4081145"/>
                    </a:xfrm>
                    <a:prstGeom prst="rect">
                      <a:avLst/>
                    </a:prstGeom>
                  </pic:spPr>
                </pic:pic>
              </a:graphicData>
            </a:graphic>
          </wp:anchor>
        </w:drawing>
      </w:r>
    </w:p>
    <w:p>
      <w:pPr>
        <w:pStyle w:val="Refs"/>
        <w:spacing w:lineRule="auto" w:line="360"/>
        <w:rPr>
          <w:rFonts w:ascii="Arial" w:hAnsi="Arial" w:cs="Arial"/>
        </w:rPr>
      </w:pPr>
      <w:r>
        <w:rPr>
          <w:rFonts w:cs="Arial" w:ascii="Arial" w:hAnsi="Arial"/>
          <w:b/>
          <w:bCs/>
          <w:sz w:val="22"/>
        </w:rPr>
        <w:t>Figure S3</w:t>
      </w:r>
      <w:r>
        <w:rPr>
          <w:rFonts w:cs="Arial" w:ascii="Arial" w:hAnsi="Arial"/>
          <w:sz w:val="22"/>
        </w:rPr>
        <w:t xml:space="preserve">. </w:t>
      </w:r>
      <w:r>
        <w:rPr>
          <w:rFonts w:cs="Arial" w:ascii="Arial" w:hAnsi="Arial"/>
        </w:rPr>
        <w:t xml:space="preserve">Snapshots of the model evolution with the square root of the second invariant strain rate. </w:t>
      </w:r>
    </w:p>
    <w:p>
      <w:pPr>
        <w:pStyle w:val="Refs"/>
        <w:spacing w:lineRule="auto" w:line="360"/>
        <w:ind w:left="1134" w:hanging="567"/>
        <w:rPr>
          <w:rFonts w:ascii="Arial" w:hAnsi="Arial" w:cs="Arial"/>
        </w:rPr>
      </w:pPr>
      <w:r>
        <w:rPr>
          <w:rFonts w:cs="Arial" w:ascii="Arial" w:hAnsi="Arial"/>
        </w:rPr>
        <w:t>(</w:t>
      </w:r>
      <w:r>
        <w:rPr>
          <w:rFonts w:cs="Arial" w:ascii="Arial" w:hAnsi="Arial"/>
          <w:b/>
          <w:bCs/>
        </w:rPr>
        <w:t>a</w:t>
      </w:r>
      <w:r>
        <w:rPr>
          <w:rFonts w:cs="Arial" w:ascii="Arial" w:hAnsi="Arial"/>
        </w:rPr>
        <w:t>) Model parameters are the same as in the end-member model, except for higher value of the thermal expansion coefficient of 3</w:t>
      </w:r>
      <w:r>
        <w:rPr>
          <w:rFonts w:eastAsia="新宋体" w:cs="Arial" w:ascii="Arial" w:hAnsi="Arial"/>
        </w:rPr>
        <w:t>×</w:t>
      </w:r>
      <w:r>
        <w:rPr>
          <w:rFonts w:cs="Arial" w:ascii="Arial" w:hAnsi="Arial"/>
        </w:rPr>
        <w:t>10</w:t>
      </w:r>
      <w:r>
        <w:rPr>
          <w:rFonts w:cs="Arial" w:ascii="Arial" w:hAnsi="Arial"/>
          <w:vertAlign w:val="superscript"/>
        </w:rPr>
        <w:t>-5</w:t>
      </w:r>
      <w:r>
        <w:rPr>
          <w:rFonts w:cs="Arial" w:ascii="Arial" w:hAnsi="Arial"/>
        </w:rPr>
        <w:t xml:space="preserve"> K</w:t>
      </w:r>
      <w:r>
        <w:rPr>
          <w:rFonts w:cs="Arial" w:ascii="Arial" w:hAnsi="Arial"/>
          <w:vertAlign w:val="superscript"/>
        </w:rPr>
        <w:t>-1</w:t>
      </w:r>
      <w:r>
        <w:rPr>
          <w:rFonts w:cs="Arial" w:ascii="Arial" w:hAnsi="Arial"/>
        </w:rPr>
        <w:t xml:space="preserve">. </w:t>
      </w:r>
    </w:p>
    <w:p>
      <w:pPr>
        <w:pStyle w:val="Refs"/>
        <w:spacing w:lineRule="auto" w:line="360"/>
        <w:ind w:left="1134" w:hanging="567"/>
        <w:rPr>
          <w:rFonts w:ascii="Arial" w:hAnsi="Arial" w:cs="Arial"/>
        </w:rPr>
      </w:pPr>
      <w:r>
        <w:rPr>
          <w:rFonts w:cs="Arial" w:ascii="Arial" w:hAnsi="Arial"/>
        </w:rPr>
        <w:t>(</w:t>
      </w:r>
      <w:r>
        <w:rPr>
          <w:rFonts w:cs="Arial" w:ascii="Arial" w:hAnsi="Arial"/>
          <w:b/>
          <w:bCs/>
        </w:rPr>
        <w:t>b</w:t>
      </w:r>
      <w:r>
        <w:rPr>
          <w:rFonts w:cs="Arial" w:ascii="Arial" w:hAnsi="Arial"/>
        </w:rPr>
        <w:t xml:space="preserve">) The same parameters as in (a) except the initial temperature at time zero is the same as in Fig. S2b (insert), so that the model accounts for the effect of latent heat. After the same time of model evolution as in Figure 2b (the endmember model), the channel flow forms in the lower lithospheric mantle in the entire model domain with a pressure difference of more than 20 MPa. </w:t>
      </w:r>
    </w:p>
    <w:p>
      <w:pPr>
        <w:pStyle w:val="Refs"/>
        <w:spacing w:lineRule="auto" w:line="360"/>
        <w:ind w:left="1134" w:hanging="567"/>
        <w:rPr>
          <w:rFonts w:ascii="Arial" w:hAnsi="Arial" w:cs="Arial"/>
          <w:sz w:val="22"/>
        </w:rPr>
      </w:pPr>
      <w:r>
        <w:rPr>
          <w:rFonts w:cs="Arial" w:ascii="Arial" w:hAnsi="Arial"/>
        </w:rPr>
        <w:t>(</w:t>
      </w:r>
      <w:r>
        <w:rPr>
          <w:rFonts w:cs="Arial" w:ascii="Arial" w:hAnsi="Arial"/>
          <w:b/>
          <w:bCs/>
        </w:rPr>
        <w:t>c</w:t>
      </w:r>
      <w:r>
        <w:rPr>
          <w:rFonts w:cs="Arial" w:ascii="Arial" w:hAnsi="Arial"/>
        </w:rPr>
        <w:t>) The same parameter as in (a) except that the TLAB is initially at depth of 150 km, instead of 90 km as in the endmember model. The channel flow is observed as well, but the top of shear zone s1 is at a depth of ~150 km, which is deeper than that in the endmember model.</w:t>
      </w:r>
    </w:p>
    <w:p>
      <w:pPr>
        <w:pStyle w:val="Normal"/>
        <w:rPr/>
      </w:pPr>
      <w:r>
        <w:rPr/>
      </w:r>
    </w:p>
    <w:sectPr>
      <w:headerReference w:type="default" r:id="rId6"/>
      <w:footerReference w:type="default" r:id="rId7"/>
      <w:type w:val="nextPage"/>
      <w:pgSz w:w="11906" w:h="16838"/>
      <w:pgMar w:left="1418" w:right="1416" w:header="851" w:top="1440" w:footer="897" w:bottom="1440" w:gutter="0"/>
      <w:pgNumType w:fmt="decimal"/>
      <w:formProt w:val="false"/>
      <w:textDirection w:val="lrTb"/>
      <w:docGrid w:type="lines"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等线">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A"/>
      </w:pBdr>
      <w:tabs>
        <w:tab w:val="center" w:pos="4153" w:leader="none"/>
        <w:tab w:val="right" w:pos="9072" w:leader="none"/>
      </w:tabs>
      <w:rPr/>
    </w:pPr>
    <w:r>
      <w:rPr/>
      <w:t>Yang H., Artemieva I.M., Thybo H.</w:t>
      <w:tab/>
      <w:t xml:space="preserve">     JGR: Solid Earth, 2022</w:t>
      <w:tab/>
      <w:t xml:space="preserve">Supplementary Material    p. </w:t>
    </w:r>
    <w:r>
      <w:rPr>
        <w:lang w:val="da-DK"/>
      </w:rPr>
      <w:fldChar w:fldCharType="begin"/>
    </w:r>
    <w:r>
      <w:instrText> PAGE </w:instrText>
    </w:r>
    <w:r>
      <w:fldChar w:fldCharType="separate"/>
    </w:r>
    <w:r>
      <w:t>14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pStyle w:val="Heading2"/>
      <w:numFmt w:val="decimal"/>
      <w:lvlText w:val="%2"/>
      <w:lvlJc w:val="left"/>
      <w:pPr>
        <w:ind w:left="1569" w:hanging="576"/>
      </w:pPr>
    </w:lvl>
    <w:lvl w:ilvl="2">
      <w:start w:val="1"/>
      <w:pStyle w:val="Heading3"/>
      <w:numFmt w:val="decimal"/>
      <w:lvlText w:val="%2.%3"/>
      <w:lvlJc w:val="left"/>
      <w:pPr>
        <w:ind w:left="1287" w:hanging="720"/>
      </w:pPr>
    </w:lvl>
    <w:lvl w:ilvl="3">
      <w:start w:val="1"/>
      <w:pStyle w:val="Heading4"/>
      <w:numFmt w:val="decimal"/>
      <w:lvlText w:val="%2.%3.%4"/>
      <w:lvlJc w:val="left"/>
      <w:pPr>
        <w:ind w:left="1431" w:hanging="864"/>
      </w:pPr>
    </w:lvl>
    <w:lvl w:ilvl="4">
      <w:start w:val="1"/>
      <w:pStyle w:val="Heading5"/>
      <w:numFmt w:val="decimal"/>
      <w:lvlText w:val="%2.%3.%4.%5"/>
      <w:lvlJc w:val="left"/>
      <w:pPr>
        <w:ind w:left="1575" w:hanging="1008"/>
      </w:pPr>
    </w:lvl>
    <w:lvl w:ilvl="5">
      <w:start w:val="1"/>
      <w:pStyle w:val="Heading6"/>
      <w:numFmt w:val="decimal"/>
      <w:lvlText w:val="%2.%3.%4.%5.%6"/>
      <w:lvlJc w:val="left"/>
      <w:pPr>
        <w:ind w:left="1719" w:hanging="1152"/>
      </w:pPr>
    </w:lvl>
    <w:lvl w:ilvl="6">
      <w:start w:val="1"/>
      <w:pStyle w:val="Heading7"/>
      <w:numFmt w:val="decimal"/>
      <w:lvlText w:val="%2.%3.%4.%5.%6.%7"/>
      <w:lvlJc w:val="left"/>
      <w:pPr>
        <w:ind w:left="1863" w:hanging="1296"/>
      </w:pPr>
    </w:lvl>
    <w:lvl w:ilvl="7">
      <w:start w:val="1"/>
      <w:pStyle w:val="Heading8"/>
      <w:numFmt w:val="decimal"/>
      <w:lvlText w:val="%2.%3.%4.%5.%6.%7.%8"/>
      <w:lvlJc w:val="left"/>
      <w:pPr>
        <w:ind w:left="2007" w:hanging="1440"/>
      </w:pPr>
    </w:lvl>
    <w:lvl w:ilvl="8">
      <w:start w:val="1"/>
      <w:pStyle w:val="Heading9"/>
      <w:numFmt w:val="decimal"/>
      <w:lvlText w:val="%2.%3.%4.%5.%6.%7.%8.%9"/>
      <w:lvlJc w:val="left"/>
      <w:pPr>
        <w:ind w:left="2151" w:hanging="1584"/>
      </w:pPr>
    </w:lvl>
  </w:abstractNum>
  <w:abstractNum w:abstractNumId="2">
    <w:lvl w:ilvl="0">
      <w:start w:val="1"/>
      <w:numFmt w:val="lowerLetter"/>
      <w:lvlText w:val="%1."/>
      <w:lvlJc w:val="left"/>
      <w:pPr>
        <w:ind w:left="420" w:hanging="420"/>
      </w:pPr>
      <w:rPr>
        <w:vertAlign w:val="superscrip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4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szCs w:val="22"/>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4d77"/>
    <w:pPr>
      <w:widowControl w:val="false"/>
      <w:bidi w:val="0"/>
      <w:spacing w:lineRule="auto" w:line="276"/>
      <w:jc w:val="both"/>
    </w:pPr>
    <w:rPr>
      <w:rFonts w:ascii="Arial" w:hAnsi="Arial" w:cs="Arial" w:eastAsia="等线" w:eastAsiaTheme="minorEastAsia"/>
      <w:color w:val="auto"/>
      <w:sz w:val="24"/>
      <w:szCs w:val="24"/>
      <w:lang w:val="en-US" w:eastAsia="zh-CN" w:bidi="ar-SA"/>
    </w:rPr>
  </w:style>
  <w:style w:type="paragraph" w:styleId="Heading1">
    <w:name w:val="Heading 1"/>
    <w:basedOn w:val="Normal"/>
    <w:link w:val="10"/>
    <w:uiPriority w:val="9"/>
    <w:qFormat/>
    <w:rsid w:val="00ed281e"/>
    <w:pPr>
      <w:keepNext/>
      <w:keepLines/>
      <w:widowControl/>
      <w:suppressAutoHyphens w:val="true"/>
      <w:spacing w:lineRule="auto" w:line="480" w:before="0" w:after="40"/>
      <w:contextualSpacing/>
      <w:jc w:val="left"/>
      <w:outlineLvl w:val="0"/>
    </w:pPr>
    <w:rPr>
      <w:b/>
      <w:bCs/>
      <w:spacing w:val="5"/>
      <w:sz w:val="28"/>
      <w:szCs w:val="32"/>
    </w:rPr>
  </w:style>
  <w:style w:type="paragraph" w:styleId="Heading2">
    <w:name w:val="Heading 2"/>
    <w:basedOn w:val="Normal"/>
    <w:link w:val="20"/>
    <w:uiPriority w:val="9"/>
    <w:unhideWhenUsed/>
    <w:qFormat/>
    <w:rsid w:val="00504b7a"/>
    <w:pPr>
      <w:keepNext/>
      <w:keepLines/>
      <w:widowControl/>
      <w:numPr>
        <w:ilvl w:val="1"/>
        <w:numId w:val="1"/>
      </w:numPr>
      <w:suppressAutoHyphens w:val="true"/>
      <w:spacing w:lineRule="auto" w:line="480" w:before="240" w:after="80"/>
      <w:ind w:left="0" w:hanging="0"/>
      <w:contextualSpacing/>
      <w:jc w:val="left"/>
      <w:outlineLvl w:val="1"/>
      <w:outlineLvl w:val="1"/>
    </w:pPr>
    <w:rPr>
      <w:spacing w:val="5"/>
      <w:sz w:val="28"/>
      <w:szCs w:val="28"/>
    </w:rPr>
  </w:style>
  <w:style w:type="paragraph" w:styleId="Heading3">
    <w:name w:val="Heading 3"/>
    <w:basedOn w:val="Normal"/>
    <w:link w:val="30"/>
    <w:uiPriority w:val="9"/>
    <w:unhideWhenUsed/>
    <w:qFormat/>
    <w:rsid w:val="00504b7a"/>
    <w:pPr>
      <w:keepNext/>
      <w:keepLines/>
      <w:widowControl/>
      <w:numPr>
        <w:ilvl w:val="2"/>
        <w:numId w:val="1"/>
      </w:numPr>
      <w:suppressAutoHyphens w:val="true"/>
      <w:spacing w:lineRule="auto" w:line="480" w:before="0" w:after="0"/>
      <w:contextualSpacing/>
      <w:jc w:val="left"/>
      <w:outlineLvl w:val="2"/>
      <w:outlineLvl w:val="2"/>
    </w:pPr>
    <w:rPr>
      <w:smallCaps/>
      <w:spacing w:val="5"/>
    </w:rPr>
  </w:style>
  <w:style w:type="paragraph" w:styleId="Heading4">
    <w:name w:val="Heading 4"/>
    <w:basedOn w:val="Normal"/>
    <w:link w:val="40"/>
    <w:uiPriority w:val="9"/>
    <w:semiHidden/>
    <w:unhideWhenUsed/>
    <w:qFormat/>
    <w:rsid w:val="00504b7a"/>
    <w:pPr>
      <w:widowControl/>
      <w:numPr>
        <w:ilvl w:val="3"/>
        <w:numId w:val="1"/>
      </w:numPr>
      <w:spacing w:lineRule="auto" w:line="480" w:before="240" w:after="0"/>
      <w:contextualSpacing/>
      <w:jc w:val="left"/>
      <w:outlineLvl w:val="3"/>
      <w:outlineLvl w:val="3"/>
    </w:pPr>
    <w:rPr>
      <w:smallCaps/>
      <w:spacing w:val="10"/>
      <w:sz w:val="22"/>
    </w:rPr>
  </w:style>
  <w:style w:type="paragraph" w:styleId="Heading5">
    <w:name w:val="Heading 5"/>
    <w:basedOn w:val="Normal"/>
    <w:link w:val="50"/>
    <w:uiPriority w:val="9"/>
    <w:semiHidden/>
    <w:unhideWhenUsed/>
    <w:qFormat/>
    <w:rsid w:val="00504b7a"/>
    <w:pPr>
      <w:widowControl/>
      <w:numPr>
        <w:ilvl w:val="4"/>
        <w:numId w:val="1"/>
      </w:numPr>
      <w:spacing w:lineRule="auto" w:line="480" w:before="200" w:after="0"/>
      <w:contextualSpacing/>
      <w:jc w:val="left"/>
      <w:outlineLvl w:val="4"/>
      <w:outlineLvl w:val="4"/>
    </w:pPr>
    <w:rPr>
      <w:smallCaps/>
      <w:color w:val="C45911" w:themeColor="accent2" w:themeShade="bf"/>
      <w:spacing w:val="10"/>
      <w:sz w:val="22"/>
      <w:szCs w:val="26"/>
    </w:rPr>
  </w:style>
  <w:style w:type="paragraph" w:styleId="Heading6">
    <w:name w:val="Heading 6"/>
    <w:basedOn w:val="Normal"/>
    <w:link w:val="60"/>
    <w:uiPriority w:val="9"/>
    <w:semiHidden/>
    <w:unhideWhenUsed/>
    <w:qFormat/>
    <w:rsid w:val="00504b7a"/>
    <w:pPr>
      <w:widowControl/>
      <w:numPr>
        <w:ilvl w:val="5"/>
        <w:numId w:val="1"/>
      </w:numPr>
      <w:spacing w:lineRule="auto" w:line="480" w:before="0" w:after="0"/>
      <w:contextualSpacing/>
      <w:jc w:val="left"/>
      <w:outlineLvl w:val="5"/>
      <w:outlineLvl w:val="5"/>
    </w:pPr>
    <w:rPr>
      <w:smallCaps/>
      <w:color w:val="ED7D31" w:themeColor="accent2"/>
      <w:spacing w:val="5"/>
      <w:sz w:val="22"/>
      <w:szCs w:val="20"/>
    </w:rPr>
  </w:style>
  <w:style w:type="paragraph" w:styleId="Heading7">
    <w:name w:val="Heading 7"/>
    <w:basedOn w:val="Normal"/>
    <w:link w:val="70"/>
    <w:uiPriority w:val="9"/>
    <w:semiHidden/>
    <w:unhideWhenUsed/>
    <w:qFormat/>
    <w:rsid w:val="00504b7a"/>
    <w:pPr>
      <w:widowControl/>
      <w:numPr>
        <w:ilvl w:val="6"/>
        <w:numId w:val="1"/>
      </w:numPr>
      <w:spacing w:lineRule="auto" w:line="480" w:before="0" w:after="0"/>
      <w:contextualSpacing/>
      <w:jc w:val="left"/>
      <w:outlineLvl w:val="6"/>
      <w:outlineLvl w:val="6"/>
    </w:pPr>
    <w:rPr>
      <w:b/>
      <w:smallCaps/>
      <w:color w:val="ED7D31" w:themeColor="accent2"/>
      <w:spacing w:val="10"/>
      <w:szCs w:val="20"/>
    </w:rPr>
  </w:style>
  <w:style w:type="paragraph" w:styleId="Heading8">
    <w:name w:val="Heading 8"/>
    <w:basedOn w:val="Normal"/>
    <w:link w:val="80"/>
    <w:uiPriority w:val="9"/>
    <w:semiHidden/>
    <w:unhideWhenUsed/>
    <w:qFormat/>
    <w:rsid w:val="00504b7a"/>
    <w:pPr>
      <w:widowControl/>
      <w:numPr>
        <w:ilvl w:val="7"/>
        <w:numId w:val="1"/>
      </w:numPr>
      <w:spacing w:lineRule="auto" w:line="480" w:before="0" w:after="0"/>
      <w:contextualSpacing/>
      <w:jc w:val="left"/>
      <w:outlineLvl w:val="7"/>
      <w:outlineLvl w:val="7"/>
    </w:pPr>
    <w:rPr>
      <w:b/>
      <w:i/>
      <w:smallCaps/>
      <w:color w:val="C45911" w:themeColor="accent2" w:themeShade="bf"/>
      <w:szCs w:val="20"/>
    </w:rPr>
  </w:style>
  <w:style w:type="paragraph" w:styleId="Heading9">
    <w:name w:val="Heading 9"/>
    <w:basedOn w:val="Normal"/>
    <w:link w:val="90"/>
    <w:uiPriority w:val="9"/>
    <w:semiHidden/>
    <w:unhideWhenUsed/>
    <w:qFormat/>
    <w:rsid w:val="00504b7a"/>
    <w:pPr>
      <w:widowControl/>
      <w:numPr>
        <w:ilvl w:val="8"/>
        <w:numId w:val="1"/>
      </w:numPr>
      <w:spacing w:lineRule="auto" w:line="480" w:before="0" w:after="0"/>
      <w:contextualSpacing/>
      <w:jc w:val="left"/>
      <w:outlineLvl w:val="8"/>
      <w:outlineLvl w:val="8"/>
    </w:pPr>
    <w:rPr>
      <w:b/>
      <w:i/>
      <w:smallCaps/>
      <w:color w:val="823B0B" w:themeColor="accent2" w:themeShade="7f"/>
      <w:szCs w:val="20"/>
    </w:rPr>
  </w:style>
  <w:style w:type="character" w:styleId="DefaultParagraphFont" w:default="1">
    <w:name w:val="Default Paragraph Font"/>
    <w:uiPriority w:val="1"/>
    <w:semiHidden/>
    <w:unhideWhenUsed/>
    <w:qFormat/>
    <w:rPr/>
  </w:style>
  <w:style w:type="character" w:styleId="Style5" w:customStyle="1">
    <w:name w:val="页眉 字符"/>
    <w:basedOn w:val="DefaultParagraphFont"/>
    <w:link w:val="a3"/>
    <w:uiPriority w:val="99"/>
    <w:qFormat/>
    <w:rsid w:val="00ae4d56"/>
    <w:rPr>
      <w:sz w:val="18"/>
      <w:szCs w:val="18"/>
    </w:rPr>
  </w:style>
  <w:style w:type="character" w:styleId="Style6" w:customStyle="1">
    <w:name w:val="页脚 字符"/>
    <w:basedOn w:val="DefaultParagraphFont"/>
    <w:link w:val="a5"/>
    <w:uiPriority w:val="99"/>
    <w:qFormat/>
    <w:rsid w:val="00ae4d56"/>
    <w:rPr>
      <w:sz w:val="18"/>
      <w:szCs w:val="18"/>
    </w:rPr>
  </w:style>
  <w:style w:type="character" w:styleId="InternetLink">
    <w:name w:val="Internet Link"/>
    <w:basedOn w:val="DefaultParagraphFont"/>
    <w:uiPriority w:val="99"/>
    <w:unhideWhenUsed/>
    <w:rsid w:val="00ae4d56"/>
    <w:rPr>
      <w:color w:val="0563C1" w:themeColor="hyperlink"/>
      <w:u w:val="single"/>
    </w:rPr>
  </w:style>
  <w:style w:type="character" w:styleId="1" w:customStyle="1">
    <w:name w:val="未处理的提及1"/>
    <w:basedOn w:val="DefaultParagraphFont"/>
    <w:uiPriority w:val="99"/>
    <w:semiHidden/>
    <w:unhideWhenUsed/>
    <w:qFormat/>
    <w:rsid w:val="00ae4d56"/>
    <w:rPr>
      <w:color w:val="605E5C"/>
      <w:shd w:fill="E1DFDD" w:val="clear"/>
    </w:rPr>
  </w:style>
  <w:style w:type="character" w:styleId="EndNoteBibliographyTitle" w:customStyle="1">
    <w:name w:val="EndNote Bibliography Title 字符"/>
    <w:basedOn w:val="DefaultParagraphFont"/>
    <w:link w:val="EndNoteBibliographyTitle"/>
    <w:qFormat/>
    <w:rsid w:val="00ae4d56"/>
    <w:rPr>
      <w:rFonts w:ascii="等线" w:hAnsi="等线" w:eastAsia="等线"/>
      <w:sz w:val="20"/>
    </w:rPr>
  </w:style>
  <w:style w:type="character" w:styleId="EndNoteBibliography" w:customStyle="1">
    <w:name w:val="EndNote Bibliography 字符"/>
    <w:basedOn w:val="DefaultParagraphFont"/>
    <w:link w:val="EndNoteBibliography"/>
    <w:qFormat/>
    <w:rsid w:val="00ae4d56"/>
    <w:rPr>
      <w:rFonts w:ascii="等线" w:hAnsi="等线" w:eastAsia="等线"/>
      <w:sz w:val="20"/>
    </w:rPr>
  </w:style>
  <w:style w:type="character" w:styleId="11" w:customStyle="1">
    <w:name w:val="标题 1 字符"/>
    <w:basedOn w:val="DefaultParagraphFont"/>
    <w:link w:val="1"/>
    <w:uiPriority w:val="9"/>
    <w:qFormat/>
    <w:rsid w:val="00ed281e"/>
    <w:rPr>
      <w:rFonts w:ascii="Arial" w:hAnsi="Arial" w:cs="Arial"/>
      <w:b/>
      <w:bCs/>
      <w:spacing w:val="5"/>
      <w:sz w:val="28"/>
      <w:szCs w:val="32"/>
    </w:rPr>
  </w:style>
  <w:style w:type="character" w:styleId="2" w:customStyle="1">
    <w:name w:val="标题 2 字符"/>
    <w:basedOn w:val="DefaultParagraphFont"/>
    <w:link w:val="2"/>
    <w:uiPriority w:val="9"/>
    <w:qFormat/>
    <w:rsid w:val="00504b7a"/>
    <w:rPr>
      <w:spacing w:val="5"/>
      <w:sz w:val="28"/>
      <w:szCs w:val="28"/>
    </w:rPr>
  </w:style>
  <w:style w:type="character" w:styleId="3" w:customStyle="1">
    <w:name w:val="标题 3 字符"/>
    <w:basedOn w:val="DefaultParagraphFont"/>
    <w:link w:val="3"/>
    <w:uiPriority w:val="9"/>
    <w:qFormat/>
    <w:rsid w:val="00504b7a"/>
    <w:rPr>
      <w:smallCaps/>
      <w:spacing w:val="5"/>
      <w:sz w:val="24"/>
      <w:szCs w:val="24"/>
    </w:rPr>
  </w:style>
  <w:style w:type="character" w:styleId="4" w:customStyle="1">
    <w:name w:val="标题 4 字符"/>
    <w:basedOn w:val="DefaultParagraphFont"/>
    <w:link w:val="4"/>
    <w:uiPriority w:val="9"/>
    <w:semiHidden/>
    <w:qFormat/>
    <w:rsid w:val="00504b7a"/>
    <w:rPr>
      <w:smallCaps/>
      <w:spacing w:val="10"/>
      <w:sz w:val="22"/>
    </w:rPr>
  </w:style>
  <w:style w:type="character" w:styleId="5" w:customStyle="1">
    <w:name w:val="标题 5 字符"/>
    <w:basedOn w:val="DefaultParagraphFont"/>
    <w:link w:val="5"/>
    <w:uiPriority w:val="9"/>
    <w:semiHidden/>
    <w:qFormat/>
    <w:rsid w:val="00504b7a"/>
    <w:rPr>
      <w:smallCaps/>
      <w:color w:val="C45911" w:themeColor="accent2" w:themeShade="bf"/>
      <w:spacing w:val="10"/>
      <w:sz w:val="22"/>
      <w:szCs w:val="26"/>
    </w:rPr>
  </w:style>
  <w:style w:type="character" w:styleId="6" w:customStyle="1">
    <w:name w:val="标题 6 字符"/>
    <w:basedOn w:val="DefaultParagraphFont"/>
    <w:link w:val="6"/>
    <w:uiPriority w:val="9"/>
    <w:semiHidden/>
    <w:qFormat/>
    <w:rsid w:val="00504b7a"/>
    <w:rPr>
      <w:smallCaps/>
      <w:color w:val="ED7D31" w:themeColor="accent2"/>
      <w:spacing w:val="5"/>
      <w:sz w:val="22"/>
      <w:szCs w:val="20"/>
    </w:rPr>
  </w:style>
  <w:style w:type="character" w:styleId="7" w:customStyle="1">
    <w:name w:val="标题 7 字符"/>
    <w:basedOn w:val="DefaultParagraphFont"/>
    <w:link w:val="7"/>
    <w:uiPriority w:val="9"/>
    <w:semiHidden/>
    <w:qFormat/>
    <w:rsid w:val="00504b7a"/>
    <w:rPr>
      <w:b/>
      <w:smallCaps/>
      <w:color w:val="ED7D31" w:themeColor="accent2"/>
      <w:spacing w:val="10"/>
      <w:sz w:val="24"/>
      <w:szCs w:val="20"/>
    </w:rPr>
  </w:style>
  <w:style w:type="character" w:styleId="8" w:customStyle="1">
    <w:name w:val="标题 8 字符"/>
    <w:basedOn w:val="DefaultParagraphFont"/>
    <w:link w:val="8"/>
    <w:uiPriority w:val="9"/>
    <w:semiHidden/>
    <w:qFormat/>
    <w:rsid w:val="00504b7a"/>
    <w:rPr>
      <w:b/>
      <w:i/>
      <w:smallCaps/>
      <w:color w:val="C45911" w:themeColor="accent2" w:themeShade="bf"/>
      <w:sz w:val="24"/>
      <w:szCs w:val="20"/>
    </w:rPr>
  </w:style>
  <w:style w:type="character" w:styleId="9" w:customStyle="1">
    <w:name w:val="标题 9 字符"/>
    <w:basedOn w:val="DefaultParagraphFont"/>
    <w:link w:val="9"/>
    <w:uiPriority w:val="9"/>
    <w:semiHidden/>
    <w:qFormat/>
    <w:rsid w:val="00504b7a"/>
    <w:rPr>
      <w:b/>
      <w:i/>
      <w:smallCaps/>
      <w:color w:val="823B0B" w:themeColor="accent2" w:themeShade="7f"/>
      <w:sz w:val="24"/>
      <w:szCs w:val="20"/>
    </w:rPr>
  </w:style>
  <w:style w:type="character" w:styleId="RefsChar" w:customStyle="1">
    <w:name w:val="refs Char"/>
    <w:basedOn w:val="DefaultParagraphFont"/>
    <w:link w:val="refs"/>
    <w:qFormat/>
    <w:rsid w:val="004d1cf4"/>
    <w:rPr>
      <w:rFonts w:ascii="Times New Roman" w:hAnsi="Times New Roman" w:cs="Times New Roman"/>
      <w:sz w:val="24"/>
      <w:szCs w:val="24"/>
    </w:rPr>
  </w:style>
  <w:style w:type="character" w:styleId="FollowedHyperlink">
    <w:name w:val="FollowedHyperlink"/>
    <w:basedOn w:val="DefaultParagraphFont"/>
    <w:uiPriority w:val="99"/>
    <w:semiHidden/>
    <w:unhideWhenUsed/>
    <w:qFormat/>
    <w:rsid w:val="00f00083"/>
    <w:rPr>
      <w:color w:val="954F72" w:themeColor="followedHyperlink"/>
      <w:u w:val="single"/>
    </w:rPr>
  </w:style>
  <w:style w:type="character" w:styleId="PlaceholderText">
    <w:name w:val="Placeholder Text"/>
    <w:basedOn w:val="DefaultParagraphFont"/>
    <w:uiPriority w:val="99"/>
    <w:semiHidden/>
    <w:qFormat/>
    <w:rsid w:val="006b509f"/>
    <w:rPr>
      <w:color w:val="808080"/>
    </w:rPr>
  </w:style>
  <w:style w:type="character" w:styleId="Annotationreference">
    <w:name w:val="annotation reference"/>
    <w:basedOn w:val="DefaultParagraphFont"/>
    <w:uiPriority w:val="99"/>
    <w:semiHidden/>
    <w:unhideWhenUsed/>
    <w:qFormat/>
    <w:rsid w:val="002c0474"/>
    <w:rPr>
      <w:sz w:val="16"/>
      <w:szCs w:val="16"/>
    </w:rPr>
  </w:style>
  <w:style w:type="character" w:styleId="Style7" w:customStyle="1">
    <w:name w:val="批注文字 字符"/>
    <w:basedOn w:val="DefaultParagraphFont"/>
    <w:link w:val="ad"/>
    <w:uiPriority w:val="99"/>
    <w:semiHidden/>
    <w:qFormat/>
    <w:rsid w:val="002c0474"/>
    <w:rPr>
      <w:sz w:val="20"/>
      <w:szCs w:val="20"/>
    </w:rPr>
  </w:style>
  <w:style w:type="character" w:styleId="Style8" w:customStyle="1">
    <w:name w:val="批注主题 字符"/>
    <w:basedOn w:val="Style7"/>
    <w:link w:val="af"/>
    <w:uiPriority w:val="99"/>
    <w:semiHidden/>
    <w:qFormat/>
    <w:rsid w:val="002c0474"/>
    <w:rPr>
      <w:b/>
      <w:bCs/>
      <w:sz w:val="20"/>
      <w:szCs w:val="20"/>
    </w:rPr>
  </w:style>
  <w:style w:type="character" w:styleId="Style9" w:customStyle="1">
    <w:name w:val="批注框文本 字符"/>
    <w:basedOn w:val="DefaultParagraphFont"/>
    <w:link w:val="af1"/>
    <w:uiPriority w:val="99"/>
    <w:semiHidden/>
    <w:qFormat/>
    <w:rsid w:val="002c0474"/>
    <w:rPr>
      <w:rFonts w:ascii="Segoe UI" w:hAnsi="Segoe UI" w:cs="Segoe UI"/>
      <w:sz w:val="18"/>
      <w:szCs w:val="18"/>
    </w:rPr>
  </w:style>
  <w:style w:type="character" w:styleId="21" w:customStyle="1">
    <w:name w:val="未处理的提及2"/>
    <w:basedOn w:val="DefaultParagraphFont"/>
    <w:uiPriority w:val="99"/>
    <w:semiHidden/>
    <w:unhideWhenUsed/>
    <w:qFormat/>
    <w:rsid w:val="001c665b"/>
    <w:rPr>
      <w:color w:val="605E5C"/>
      <w:shd w:fill="E1DFDD" w:val="clear"/>
    </w:rPr>
  </w:style>
  <w:style w:type="character" w:styleId="Style10" w:customStyle="1">
    <w:name w:val="标题 字符"/>
    <w:basedOn w:val="DefaultParagraphFont"/>
    <w:link w:val="af3"/>
    <w:uiPriority w:val="10"/>
    <w:qFormat/>
    <w:rsid w:val="00be36b2"/>
    <w:rPr>
      <w:rFonts w:ascii="Calibri" w:hAnsi="Calibri" w:cs="Calibri"/>
      <w:sz w:val="48"/>
      <w:szCs w:val="48"/>
    </w:rPr>
  </w:style>
  <w:style w:type="character" w:styleId="31" w:customStyle="1">
    <w:name w:val="未处理的提及3"/>
    <w:basedOn w:val="DefaultParagraphFont"/>
    <w:uiPriority w:val="99"/>
    <w:semiHidden/>
    <w:unhideWhenUsed/>
    <w:qFormat/>
    <w:rsid w:val="00b24ad0"/>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0"/>
      <w:vertAlign w:val="superscrip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a4"/>
    <w:uiPriority w:val="99"/>
    <w:unhideWhenUsed/>
    <w:rsid w:val="00ae4d56"/>
    <w:pPr>
      <w:pBdr>
        <w:bottom w:val="single" w:sz="6" w:space="1" w:color="00000A"/>
      </w:pBdr>
      <w:tabs>
        <w:tab w:val="center" w:pos="4153" w:leader="none"/>
        <w:tab w:val="right" w:pos="8306" w:leader="none"/>
      </w:tabs>
      <w:snapToGrid w:val="false"/>
      <w:jc w:val="center"/>
    </w:pPr>
    <w:rPr>
      <w:sz w:val="18"/>
      <w:szCs w:val="18"/>
    </w:rPr>
  </w:style>
  <w:style w:type="paragraph" w:styleId="Footer">
    <w:name w:val="Footer"/>
    <w:basedOn w:val="Normal"/>
    <w:link w:val="a6"/>
    <w:uiPriority w:val="99"/>
    <w:unhideWhenUsed/>
    <w:rsid w:val="00ae4d56"/>
    <w:pPr>
      <w:tabs>
        <w:tab w:val="center" w:pos="4153" w:leader="none"/>
        <w:tab w:val="right" w:pos="8306" w:leader="none"/>
      </w:tabs>
      <w:snapToGrid w:val="false"/>
      <w:jc w:val="left"/>
    </w:pPr>
    <w:rPr>
      <w:sz w:val="18"/>
      <w:szCs w:val="18"/>
    </w:rPr>
  </w:style>
  <w:style w:type="paragraph" w:styleId="EndNoteBibliographyTitle1" w:customStyle="1">
    <w:name w:val="EndNote Bibliography Title"/>
    <w:basedOn w:val="Normal"/>
    <w:link w:val="EndNoteBibliographyTitle0"/>
    <w:qFormat/>
    <w:rsid w:val="00ae4d56"/>
    <w:pPr>
      <w:jc w:val="center"/>
    </w:pPr>
    <w:rPr>
      <w:rFonts w:ascii="等线" w:hAnsi="等线" w:eastAsia="等线"/>
      <w:sz w:val="20"/>
    </w:rPr>
  </w:style>
  <w:style w:type="paragraph" w:styleId="EndNoteBibliography1" w:customStyle="1">
    <w:name w:val="EndNote Bibliography"/>
    <w:basedOn w:val="Normal"/>
    <w:link w:val="EndNoteBibliography0"/>
    <w:qFormat/>
    <w:rsid w:val="00ae4d56"/>
    <w:pPr/>
    <w:rPr>
      <w:rFonts w:ascii="等线" w:hAnsi="等线" w:eastAsia="等线"/>
      <w:sz w:val="20"/>
    </w:rPr>
  </w:style>
  <w:style w:type="paragraph" w:styleId="Refs" w:customStyle="1">
    <w:name w:val="refs"/>
    <w:basedOn w:val="Normal"/>
    <w:link w:val="refsChar"/>
    <w:qFormat/>
    <w:rsid w:val="004d1cf4"/>
    <w:pPr>
      <w:widowControl/>
      <w:spacing w:lineRule="auto" w:line="240" w:before="0" w:after="80"/>
      <w:ind w:left="567" w:hanging="567"/>
    </w:pPr>
    <w:rPr>
      <w:rFonts w:ascii="Times New Roman" w:hAnsi="Times New Roman" w:cs="Times New Roman"/>
    </w:rPr>
  </w:style>
  <w:style w:type="paragraph" w:styleId="Caption1">
    <w:name w:val="caption"/>
    <w:basedOn w:val="Normal"/>
    <w:uiPriority w:val="35"/>
    <w:unhideWhenUsed/>
    <w:qFormat/>
    <w:rsid w:val="00356186"/>
    <w:pPr>
      <w:widowControl/>
      <w:spacing w:lineRule="auto" w:line="480" w:before="240" w:after="120"/>
      <w:jc w:val="left"/>
    </w:pPr>
    <w:rPr>
      <w:iCs/>
      <w:color w:val="000000" w:themeColor="text1"/>
      <w:szCs w:val="18"/>
      <w:lang w:eastAsia="en-US"/>
    </w:rPr>
  </w:style>
  <w:style w:type="paragraph" w:styleId="Annotationtext">
    <w:name w:val="annotation text"/>
    <w:basedOn w:val="Normal"/>
    <w:link w:val="ae"/>
    <w:uiPriority w:val="99"/>
    <w:semiHidden/>
    <w:unhideWhenUsed/>
    <w:qFormat/>
    <w:rsid w:val="002c0474"/>
    <w:pPr/>
    <w:rPr>
      <w:sz w:val="20"/>
      <w:szCs w:val="20"/>
    </w:rPr>
  </w:style>
  <w:style w:type="paragraph" w:styleId="Annotationsubject">
    <w:name w:val="annotation subject"/>
    <w:basedOn w:val="Annotationtext"/>
    <w:link w:val="af0"/>
    <w:uiPriority w:val="99"/>
    <w:semiHidden/>
    <w:unhideWhenUsed/>
    <w:qFormat/>
    <w:rsid w:val="002c0474"/>
    <w:pPr/>
    <w:rPr>
      <w:b/>
      <w:bCs/>
    </w:rPr>
  </w:style>
  <w:style w:type="paragraph" w:styleId="BalloonText">
    <w:name w:val="Balloon Text"/>
    <w:basedOn w:val="Normal"/>
    <w:link w:val="af2"/>
    <w:uiPriority w:val="99"/>
    <w:semiHidden/>
    <w:unhideWhenUsed/>
    <w:qFormat/>
    <w:rsid w:val="002c0474"/>
    <w:pPr/>
    <w:rPr>
      <w:rFonts w:ascii="Segoe UI" w:hAnsi="Segoe UI" w:cs="Segoe UI"/>
      <w:sz w:val="18"/>
      <w:szCs w:val="18"/>
    </w:rPr>
  </w:style>
  <w:style w:type="paragraph" w:styleId="Title">
    <w:name w:val="Title"/>
    <w:basedOn w:val="Normal"/>
    <w:link w:val="af4"/>
    <w:uiPriority w:val="10"/>
    <w:qFormat/>
    <w:rsid w:val="00be36b2"/>
    <w:pPr>
      <w:widowControl/>
      <w:pBdr>
        <w:top w:val="single" w:sz="12" w:space="1" w:color="ED7D31"/>
      </w:pBdr>
      <w:spacing w:before="0" w:after="200"/>
      <w:ind w:firstLine="567"/>
      <w:contextualSpacing/>
      <w:jc w:val="right"/>
    </w:pPr>
    <w:rPr>
      <w:rFonts w:ascii="Calibri" w:hAnsi="Calibri" w:cs="Calibri"/>
      <w:sz w:val="48"/>
      <w:szCs w:val="48"/>
    </w:rPr>
  </w:style>
  <w:style w:type="paragraph" w:styleId="ListParagraph">
    <w:name w:val="List Paragraph"/>
    <w:basedOn w:val="Normal"/>
    <w:uiPriority w:val="34"/>
    <w:qFormat/>
    <w:rsid w:val="000f4d77"/>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39"/>
    <w:rsid w:val="00356186"/>
    <w:rPr>
      <w:lang w:eastAsia="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ibin.yang@anu.edu.au"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LibreOffice/5.1.6.2$Linux_X86_64 LibreOffice_project/10m0$Build-2</Application>
  <Pages>14</Pages>
  <Words>2144</Words>
  <Characters>11786</Characters>
  <CharactersWithSpaces>13781</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2022-03-14T16:37:00Z</dcterms:created>
  <dc:creator>Yang Haibin</dc:creator>
  <dc:description/>
  <dc:language>en-AU</dc:language>
  <cp:lastModifiedBy/>
  <dcterms:modified xsi:type="dcterms:W3CDTF">2023-03-27T11:08:16Z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