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53A" w:rsidRDefault="00C0653A" w:rsidP="00C0653A">
      <w:pPr>
        <w:pStyle w:val="Heading2"/>
      </w:pPr>
      <w:bookmarkStart w:id="0" w:name="_Toc124441702"/>
      <w:r>
        <w:t>Supplementary Material</w:t>
      </w:r>
      <w:bookmarkEnd w:id="0"/>
    </w:p>
    <w:p w:rsidR="00C0653A" w:rsidRDefault="00C0653A" w:rsidP="00C0653A">
      <w:pPr>
        <w:pStyle w:val="Heading3"/>
        <w:numPr>
          <w:ilvl w:val="0"/>
          <w:numId w:val="1"/>
        </w:numPr>
      </w:pPr>
      <w:r>
        <w:t>Supplementary Figures</w:t>
      </w:r>
    </w:p>
    <w:p w:rsidR="00C0653A" w:rsidRDefault="00C0653A" w:rsidP="00C0653A">
      <w:r>
        <w:rPr>
          <w:noProof/>
          <w:lang w:val="de-DE" w:eastAsia="de-DE"/>
        </w:rPr>
        <w:drawing>
          <wp:inline distT="0" distB="0" distL="0" distR="0" wp14:anchorId="5083AB76" wp14:editId="6655A7A1">
            <wp:extent cx="3532353" cy="2151089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8084" cy="216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53A" w:rsidRPr="006870DA" w:rsidRDefault="00C0653A" w:rsidP="00C0653A">
      <w:pPr>
        <w:pStyle w:val="Quote"/>
        <w:rPr>
          <w:sz w:val="24"/>
        </w:rPr>
      </w:pPr>
      <w:r w:rsidRPr="006870DA">
        <w:rPr>
          <w:b/>
          <w:sz w:val="24"/>
        </w:rPr>
        <w:t>Figure S-1.</w:t>
      </w:r>
      <w:r w:rsidRPr="006870DA">
        <w:rPr>
          <w:sz w:val="24"/>
        </w:rPr>
        <w:t xml:space="preserve"> Plot of Mo/Ce vs. MgO. As Mo and Ce are similarly compatible during mantle melting (Wang and Becker, 2018), the vague trend with MgO might (oceanic) crustal assimilation. However, low Cl/K and overall homogeneous δ</w:t>
      </w:r>
      <w:r w:rsidRPr="006870DA">
        <w:rPr>
          <w:sz w:val="24"/>
          <w:vertAlign w:val="superscript"/>
        </w:rPr>
        <w:t>98/95</w:t>
      </w:r>
      <w:r w:rsidRPr="006870DA">
        <w:rPr>
          <w:sz w:val="24"/>
        </w:rPr>
        <w:t xml:space="preserve">Mo argue against a control on the Mo isotope composition. MORB data is from </w:t>
      </w:r>
      <w:proofErr w:type="spellStart"/>
      <w:r w:rsidRPr="006870DA">
        <w:rPr>
          <w:sz w:val="24"/>
        </w:rPr>
        <w:t>Bezard</w:t>
      </w:r>
      <w:proofErr w:type="spellEnd"/>
      <w:r w:rsidRPr="006870DA">
        <w:rPr>
          <w:sz w:val="24"/>
        </w:rPr>
        <w:t xml:space="preserve"> et al. (2016). </w:t>
      </w:r>
    </w:p>
    <w:p w:rsidR="00C0653A" w:rsidRPr="006F5F70" w:rsidRDefault="00C0653A" w:rsidP="00C0653A"/>
    <w:p w:rsidR="00C0653A" w:rsidRPr="00E2470A" w:rsidRDefault="00C0653A" w:rsidP="00C0653A">
      <w:pPr>
        <w:pStyle w:val="Heading3"/>
        <w:numPr>
          <w:ilvl w:val="0"/>
          <w:numId w:val="1"/>
        </w:numPr>
        <w:rPr>
          <w:rFonts w:eastAsiaTheme="minorEastAsia"/>
        </w:rPr>
      </w:pPr>
      <w:bookmarkStart w:id="1" w:name="_Toc124441704"/>
      <w:r w:rsidRPr="00E2470A">
        <w:rPr>
          <w:rFonts w:eastAsiaTheme="minorEastAsia"/>
        </w:rPr>
        <w:t>Individual data</w:t>
      </w:r>
      <w:bookmarkEnd w:id="1"/>
    </w:p>
    <w:p w:rsidR="00C0653A" w:rsidRPr="006870DA" w:rsidRDefault="00C0653A" w:rsidP="00C0653A">
      <w:pPr>
        <w:pStyle w:val="Quote"/>
        <w:rPr>
          <w:sz w:val="24"/>
        </w:rPr>
      </w:pPr>
      <w:r w:rsidRPr="006870DA">
        <w:rPr>
          <w:b/>
          <w:sz w:val="24"/>
        </w:rPr>
        <w:t>Table S-1.</w:t>
      </w:r>
      <w:r w:rsidRPr="006870DA">
        <w:rPr>
          <w:sz w:val="24"/>
        </w:rPr>
        <w:t xml:space="preserve"> Average and individual Mo isotope data of analyzed Pitcairn Island lavas. Individual measurements are from the same chromatographic aliquot. *Internal precision on a sample run (over 80 cycles) is reported as 2 standard error (2 SE).</w:t>
      </w:r>
    </w:p>
    <w:tbl>
      <w:tblPr>
        <w:tblW w:w="9608" w:type="dxa"/>
        <w:tblLook w:val="04A0" w:firstRow="1" w:lastRow="0" w:firstColumn="1" w:lastColumn="0" w:noHBand="0" w:noVBand="1"/>
      </w:tblPr>
      <w:tblGrid>
        <w:gridCol w:w="3171"/>
        <w:gridCol w:w="1921"/>
        <w:gridCol w:w="962"/>
        <w:gridCol w:w="1441"/>
        <w:gridCol w:w="1057"/>
        <w:gridCol w:w="1056"/>
      </w:tblGrid>
      <w:tr w:rsidR="00C0653A" w:rsidRPr="00DE1925" w:rsidTr="00590D64">
        <w:trPr>
          <w:trHeight w:val="294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Individual measurements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Mean values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33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>δ</w:t>
            </w:r>
            <w:r w:rsidRPr="00DE1925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t>98/95</w:t>
            </w: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>Mo (‰)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SE</w:t>
            </w: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>* (‰)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>δ</w:t>
            </w:r>
            <w:r w:rsidRPr="00DE1925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t>98/95</w:t>
            </w: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>Mo (‰)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SD</w:t>
            </w: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(‰)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sz w:val="20"/>
                <w:szCs w:val="20"/>
              </w:rPr>
              <w:t>Mo (µg/g)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Pitcairn island basalts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pn03-08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2.93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pn03-10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1.38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pn03-01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2.47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pn03-02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1.26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lastRenderedPageBreak/>
              <w:t>pn03-03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2.45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pn03-05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2.23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pn03-07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1.53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pn03-11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2.41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pn14-14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4.22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pn08-07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4.40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Rock reference materials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E192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0653A" w:rsidRPr="00DE1925" w:rsidTr="00590D64">
        <w:trPr>
          <w:trHeight w:val="125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BHVO-2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3.59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AGV-2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2.00</w:t>
            </w: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653A" w:rsidRPr="00DE1925" w:rsidTr="00590D64">
        <w:trPr>
          <w:trHeight w:val="294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04E44">
              <w:rPr>
                <w:rFonts w:eastAsia="Times New Roman" w:cs="Times New Roman"/>
                <w:sz w:val="20"/>
                <w:szCs w:val="20"/>
              </w:rPr>
              <w:t>−</w:t>
            </w:r>
            <w:r w:rsidRPr="00DE1925">
              <w:rPr>
                <w:rFonts w:eastAsia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E1925">
              <w:rPr>
                <w:rFonts w:eastAsia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A" w:rsidRPr="00DE1925" w:rsidRDefault="00C0653A" w:rsidP="00590D64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0653A" w:rsidRDefault="00C0653A" w:rsidP="00C0653A">
      <w:pPr>
        <w:rPr>
          <w:rFonts w:eastAsiaTheme="minorEastAsia"/>
        </w:rPr>
      </w:pPr>
    </w:p>
    <w:p w:rsidR="00C0653A" w:rsidRPr="00DE1925" w:rsidRDefault="00C0653A" w:rsidP="00C0653A">
      <w:pPr>
        <w:pStyle w:val="Heading3"/>
        <w:numPr>
          <w:ilvl w:val="0"/>
          <w:numId w:val="1"/>
        </w:numPr>
        <w:rPr>
          <w:rFonts w:eastAsiaTheme="minorEastAsia"/>
        </w:rPr>
      </w:pPr>
      <w:bookmarkStart w:id="2" w:name="_Toc124441705"/>
      <w:r w:rsidRPr="00DE1925">
        <w:rPr>
          <w:rFonts w:eastAsiaTheme="minorEastAsia"/>
        </w:rPr>
        <w:t>Misfit model</w:t>
      </w:r>
      <w:bookmarkEnd w:id="2"/>
    </w:p>
    <w:p w:rsidR="00C0653A" w:rsidRDefault="00C0653A" w:rsidP="00C0653A">
      <w:pPr>
        <w:spacing w:line="480" w:lineRule="auto"/>
        <w:rPr>
          <w:rFonts w:eastAsiaTheme="minorEastAsia"/>
        </w:rPr>
        <w:sectPr w:rsidR="00C0653A" w:rsidSect="00C77C0B"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eastAsiaTheme="minorEastAsia"/>
        </w:rPr>
        <w:t>Due to the enriched radiogenic isotope composition of the model 1.5 Ga recycled sediment (Table S-2),</w:t>
      </w:r>
      <w:r w:rsidRPr="005F44DA">
        <w:rPr>
          <w:rFonts w:eastAsiaTheme="minorEastAsia"/>
        </w:rPr>
        <w:t xml:space="preserve"> </w:t>
      </w:r>
      <w:r>
        <w:rPr>
          <w:rFonts w:eastAsiaTheme="minorEastAsia"/>
        </w:rPr>
        <w:t xml:space="preserve">different combinations of [Mo] and </w:t>
      </w:r>
      <w:r w:rsidRPr="007608B8">
        <w:t>δ</w:t>
      </w:r>
      <w:r w:rsidRPr="007608B8">
        <w:rPr>
          <w:vertAlign w:val="superscript"/>
        </w:rPr>
        <w:t>98/95</w:t>
      </w:r>
      <w:r w:rsidRPr="007608B8">
        <w:t>Mo</w:t>
      </w:r>
      <w:r>
        <w:t xml:space="preserve"> in the model sediment can lead to a best fit (i.e. different mixing lines/hyperbolas). </w:t>
      </w:r>
      <w:r w:rsidRPr="00DE1925">
        <w:rPr>
          <w:rFonts w:eastAsiaTheme="minorEastAsia"/>
        </w:rPr>
        <w:t>The</w:t>
      </w:r>
      <w:r>
        <w:rPr>
          <w:rFonts w:eastAsiaTheme="minorEastAsia"/>
        </w:rPr>
        <w:t>refore, we</w:t>
      </w:r>
      <w:r w:rsidRPr="00DE1925">
        <w:rPr>
          <w:rFonts w:eastAsiaTheme="minorEastAsia"/>
        </w:rPr>
        <w:t xml:space="preserve"> applied </w:t>
      </w:r>
      <w:r>
        <w:rPr>
          <w:rFonts w:eastAsiaTheme="minorEastAsia"/>
        </w:rPr>
        <w:t xml:space="preserve">a </w:t>
      </w:r>
      <w:r w:rsidRPr="00DE1925">
        <w:rPr>
          <w:rFonts w:eastAsiaTheme="minorEastAsia"/>
        </w:rPr>
        <w:t>misfit algorithm to model potential sediment end</w:t>
      </w:r>
      <w:r>
        <w:rPr>
          <w:rFonts w:eastAsiaTheme="minorEastAsia"/>
        </w:rPr>
        <w:t xml:space="preserve"> </w:t>
      </w:r>
      <w:r w:rsidRPr="00DE1925">
        <w:rPr>
          <w:rFonts w:eastAsiaTheme="minorEastAsia"/>
        </w:rPr>
        <w:t>member</w:t>
      </w:r>
      <w:r>
        <w:rPr>
          <w:rFonts w:eastAsiaTheme="minorEastAsia"/>
        </w:rPr>
        <w:t>s</w:t>
      </w:r>
      <w:r w:rsidRPr="00DE1925">
        <w:rPr>
          <w:rFonts w:eastAsiaTheme="minorEastAsia"/>
        </w:rPr>
        <w:t xml:space="preserve"> </w:t>
      </w:r>
      <w:r>
        <w:rPr>
          <w:rFonts w:eastAsiaTheme="minorEastAsia"/>
        </w:rPr>
        <w:t xml:space="preserve">similar to </w:t>
      </w:r>
      <w:r w:rsidRPr="00DE1925">
        <w:rPr>
          <w:rFonts w:eastAsiaTheme="minorEastAsia"/>
        </w:rPr>
        <w:t xml:space="preserve">Ahmad et al. (2022). In the misfit plot (Fig. </w:t>
      </w:r>
      <w:r>
        <w:rPr>
          <w:rFonts w:eastAsiaTheme="minorEastAsia"/>
        </w:rPr>
        <w:t>4</w:t>
      </w:r>
      <w:r w:rsidRPr="00DE1925">
        <w:rPr>
          <w:rFonts w:eastAsiaTheme="minorEastAsia"/>
        </w:rPr>
        <w:t>), the best agreement between potential sediment end</w:t>
      </w:r>
      <w:r>
        <w:rPr>
          <w:rFonts w:eastAsiaTheme="minorEastAsia"/>
        </w:rPr>
        <w:t xml:space="preserve"> </w:t>
      </w:r>
      <w:r w:rsidRPr="00DE1925">
        <w:rPr>
          <w:rFonts w:eastAsiaTheme="minorEastAsia"/>
        </w:rPr>
        <w:t>member</w:t>
      </w:r>
      <w:r>
        <w:rPr>
          <w:rFonts w:eastAsiaTheme="minorEastAsia"/>
        </w:rPr>
        <w:t>s</w:t>
      </w:r>
      <w:r w:rsidRPr="00DE1925">
        <w:rPr>
          <w:rFonts w:eastAsiaTheme="minorEastAsia"/>
        </w:rPr>
        <w:t xml:space="preserve"> and measured samples is given by the least squares error (blue field) of the misfit function. The white dashed line indicates the sample amount multiplied by </w:t>
      </w:r>
      <w:r w:rsidRPr="00DE1925">
        <w:rPr>
          <w:rFonts w:eastAsiaTheme="minorEastAsia"/>
        </w:rPr>
        <w:lastRenderedPageBreak/>
        <w:t xml:space="preserve">the external 2 </w:t>
      </w:r>
      <w:r>
        <w:rPr>
          <w:rFonts w:eastAsiaTheme="minorEastAsia"/>
        </w:rPr>
        <w:t>SD</w:t>
      </w:r>
      <w:r w:rsidRPr="00DE1925">
        <w:rPr>
          <w:rFonts w:eastAsiaTheme="minorEastAsia"/>
        </w:rPr>
        <w:t xml:space="preserve"> reproducibility to obtain a conservative upper limit for model compositions. The white solid line indicates the contour line of the least squares error (see minimum Δ</w:t>
      </w:r>
      <w:r w:rsidRPr="00C646DF">
        <w:rPr>
          <w:vertAlign w:val="superscript"/>
        </w:rPr>
        <w:t>98/95</w:t>
      </w:r>
      <w:r w:rsidRPr="00DE1925">
        <w:rPr>
          <w:rFonts w:eastAsiaTheme="minorEastAsia"/>
        </w:rPr>
        <w:t xml:space="preserve">Mo in Fig. </w:t>
      </w:r>
      <w:r>
        <w:rPr>
          <w:rFonts w:eastAsiaTheme="minorEastAsia"/>
        </w:rPr>
        <w:t>4</w:t>
      </w:r>
      <w:r w:rsidRPr="00DE1925">
        <w:rPr>
          <w:rFonts w:eastAsiaTheme="minorEastAsia"/>
        </w:rPr>
        <w:t>a, b) with added Δ</w:t>
      </w:r>
      <w:r w:rsidRPr="00C646DF">
        <w:rPr>
          <w:vertAlign w:val="superscript"/>
        </w:rPr>
        <w:t>98/95</w:t>
      </w:r>
      <w:r w:rsidRPr="00DE1925">
        <w:rPr>
          <w:rFonts w:eastAsiaTheme="minorEastAsia"/>
        </w:rPr>
        <w:t xml:space="preserve">Mo ≈ 0.1 ‰. </w:t>
      </w:r>
      <w:r>
        <w:rPr>
          <w:rFonts w:eastAsiaTheme="minorEastAsia"/>
        </w:rPr>
        <w:t xml:space="preserve">Because many hypothetical sediment end members </w:t>
      </w:r>
      <w:r>
        <w:t xml:space="preserve">in the blue field can potentially cause the heavy Mo enrichment in the mantle plume, </w:t>
      </w:r>
      <w:r w:rsidRPr="00DE1925">
        <w:rPr>
          <w:rFonts w:eastAsiaTheme="minorEastAsia"/>
        </w:rPr>
        <w:t xml:space="preserve">the compositions of OM-rich sediments sorted by age intervals (Ye et al., 2021; Table </w:t>
      </w:r>
      <w:r>
        <w:rPr>
          <w:rFonts w:eastAsiaTheme="minorEastAsia"/>
        </w:rPr>
        <w:t>S-</w:t>
      </w:r>
      <w:r w:rsidRPr="00DE1925">
        <w:rPr>
          <w:rFonts w:eastAsiaTheme="minorEastAsia"/>
        </w:rPr>
        <w:t>2), UCC (</w:t>
      </w:r>
      <w:proofErr w:type="spellStart"/>
      <w:r w:rsidRPr="00DE1925">
        <w:rPr>
          <w:rFonts w:eastAsiaTheme="minorEastAsia"/>
        </w:rPr>
        <w:t>Voegelin</w:t>
      </w:r>
      <w:proofErr w:type="spellEnd"/>
      <w:r w:rsidRPr="00DE1925">
        <w:rPr>
          <w:rFonts w:eastAsiaTheme="minorEastAsia"/>
        </w:rPr>
        <w:t xml:space="preserve"> et al., 2014; </w:t>
      </w:r>
      <w:proofErr w:type="spellStart"/>
      <w:r w:rsidRPr="00DE1925">
        <w:rPr>
          <w:rFonts w:eastAsiaTheme="minorEastAsia"/>
        </w:rPr>
        <w:t>Greber</w:t>
      </w:r>
      <w:proofErr w:type="spellEnd"/>
      <w:r w:rsidRPr="00DE1925">
        <w:rPr>
          <w:rFonts w:eastAsiaTheme="minorEastAsia"/>
        </w:rPr>
        <w:t xml:space="preserve"> et al., 2014; Rudnick and Gao, 2014; </w:t>
      </w:r>
      <w:proofErr w:type="spellStart"/>
      <w:r w:rsidRPr="00DE1925">
        <w:rPr>
          <w:rFonts w:eastAsiaTheme="minorEastAsia"/>
        </w:rPr>
        <w:t>Freymuth</w:t>
      </w:r>
      <w:proofErr w:type="spellEnd"/>
      <w:r w:rsidRPr="00DE1925">
        <w:rPr>
          <w:rFonts w:eastAsiaTheme="minorEastAsia"/>
        </w:rPr>
        <w:t xml:space="preserve"> et al., 2015; </w:t>
      </w:r>
      <w:proofErr w:type="spellStart"/>
      <w:r w:rsidRPr="00DE1925">
        <w:rPr>
          <w:rFonts w:eastAsiaTheme="minorEastAsia"/>
        </w:rPr>
        <w:t>Willbold</w:t>
      </w:r>
      <w:proofErr w:type="spellEnd"/>
      <w:r w:rsidRPr="00DE1925">
        <w:rPr>
          <w:rFonts w:eastAsiaTheme="minorEastAsia"/>
        </w:rPr>
        <w:t xml:space="preserve"> and Elliott, 2017; Yang et al., 2017; Greaney et al., 2020), MORB (Gale et al., 2013; </w:t>
      </w:r>
      <w:proofErr w:type="spellStart"/>
      <w:r w:rsidRPr="00DE1925">
        <w:rPr>
          <w:rFonts w:eastAsiaTheme="minorEastAsia"/>
        </w:rPr>
        <w:t>Bezard</w:t>
      </w:r>
      <w:proofErr w:type="spellEnd"/>
      <w:r w:rsidRPr="00DE1925">
        <w:rPr>
          <w:rFonts w:eastAsiaTheme="minorEastAsia"/>
        </w:rPr>
        <w:t xml:space="preserve"> et al., 2016; Chen et al., 2022), pelagic Mn-rich and clastic </w:t>
      </w:r>
      <w:proofErr w:type="spellStart"/>
      <w:r w:rsidRPr="00DE1925">
        <w:rPr>
          <w:rFonts w:eastAsiaTheme="minorEastAsia"/>
        </w:rPr>
        <w:t>metasediments</w:t>
      </w:r>
      <w:proofErr w:type="spellEnd"/>
      <w:r w:rsidRPr="00DE1925">
        <w:rPr>
          <w:rFonts w:eastAsiaTheme="minorEastAsia"/>
        </w:rPr>
        <w:t xml:space="preserve"> (Ahmad et al., 2021), and blueschists and MORB-type </w:t>
      </w:r>
      <w:proofErr w:type="spellStart"/>
      <w:r w:rsidRPr="00DE1925">
        <w:rPr>
          <w:rFonts w:eastAsiaTheme="minorEastAsia"/>
        </w:rPr>
        <w:t>eclogites</w:t>
      </w:r>
      <w:proofErr w:type="spellEnd"/>
      <w:r w:rsidRPr="00DE1925">
        <w:rPr>
          <w:rFonts w:eastAsiaTheme="minorEastAsia"/>
        </w:rPr>
        <w:t xml:space="preserve"> (Chen et al., 2019; Ahmad et al., 2021) are plotted </w:t>
      </w:r>
      <w:r>
        <w:rPr>
          <w:rFonts w:eastAsiaTheme="minorEastAsia"/>
        </w:rPr>
        <w:t>f</w:t>
      </w:r>
      <w:r w:rsidRPr="00DE1925">
        <w:rPr>
          <w:rFonts w:eastAsiaTheme="minorEastAsia"/>
        </w:rPr>
        <w:t xml:space="preserve">or comparison, (Fig. </w:t>
      </w:r>
      <w:r>
        <w:rPr>
          <w:rFonts w:eastAsiaTheme="minorEastAsia"/>
        </w:rPr>
        <w:t>4</w:t>
      </w:r>
      <w:r w:rsidRPr="00DE1925">
        <w:rPr>
          <w:rFonts w:eastAsiaTheme="minorEastAsia"/>
        </w:rPr>
        <w:t>).</w:t>
      </w:r>
      <w:r>
        <w:rPr>
          <w:rFonts w:eastAsiaTheme="minorEastAsia"/>
        </w:rPr>
        <w:t xml:space="preserve"> This allows a simpler visualization and differentiation of potential contaminants in the mantle source.</w:t>
      </w:r>
    </w:p>
    <w:p w:rsidR="00C0653A" w:rsidRPr="006870DA" w:rsidRDefault="00C0653A" w:rsidP="00C0653A">
      <w:pPr>
        <w:pStyle w:val="Quote"/>
        <w:rPr>
          <w:sz w:val="24"/>
        </w:rPr>
      </w:pPr>
      <w:r w:rsidRPr="006870DA">
        <w:rPr>
          <w:b/>
          <w:sz w:val="24"/>
        </w:rPr>
        <w:lastRenderedPageBreak/>
        <w:t>Table S-2.</w:t>
      </w:r>
      <w:r w:rsidRPr="006870DA">
        <w:rPr>
          <w:sz w:val="24"/>
        </w:rPr>
        <w:t xml:space="preserve"> Parameters from the two-component mixing model (Fig. 4) and compositions of marine sediments. The misfit calculation is conducted based on Mo-Sr systematics and a model 1.5 Ga old recycled pelagic sediment.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678"/>
        <w:gridCol w:w="1818"/>
        <w:gridCol w:w="978"/>
        <w:gridCol w:w="978"/>
        <w:gridCol w:w="1258"/>
        <w:gridCol w:w="1118"/>
      </w:tblGrid>
      <w:tr w:rsidR="00C0653A" w:rsidRPr="00FB10D9" w:rsidTr="00590D64">
        <w:trPr>
          <w:trHeight w:val="250"/>
          <w:jc w:val="center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δ</w:t>
            </w:r>
            <w:r w:rsidRPr="00FB10D9">
              <w:rPr>
                <w:rFonts w:eastAsia="Times New Roman"/>
                <w:sz w:val="20"/>
                <w:vertAlign w:val="superscript"/>
                <w:lang w:val="en-GB"/>
              </w:rPr>
              <w:t>98/95</w:t>
            </w:r>
            <w:r w:rsidRPr="00FB10D9">
              <w:rPr>
                <w:rFonts w:eastAsia="Times New Roman"/>
                <w:sz w:val="20"/>
                <w:lang w:val="en-GB"/>
              </w:rPr>
              <w:t>Mo (‰)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[Mo] (µg/g)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vertAlign w:val="superscript"/>
                <w:lang w:val="en-GB"/>
              </w:rPr>
              <w:t>87</w:t>
            </w:r>
            <w:r w:rsidRPr="00FB10D9">
              <w:rPr>
                <w:rFonts w:eastAsia="Times New Roman"/>
                <w:sz w:val="20"/>
                <w:lang w:val="en-GB"/>
              </w:rPr>
              <w:t>Sr/</w:t>
            </w:r>
            <w:r w:rsidRPr="00FB10D9">
              <w:rPr>
                <w:rFonts w:eastAsia="Times New Roman"/>
                <w:sz w:val="20"/>
                <w:vertAlign w:val="superscript"/>
                <w:lang w:val="en-GB"/>
              </w:rPr>
              <w:t>86</w:t>
            </w:r>
            <w:r w:rsidRPr="00FB10D9">
              <w:rPr>
                <w:rFonts w:eastAsia="Times New Roman"/>
                <w:sz w:val="20"/>
                <w:lang w:val="en-GB"/>
              </w:rPr>
              <w:t>Sr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Sr (µg/g)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vertAlign w:val="superscript"/>
                <w:lang w:val="en-GB"/>
              </w:rPr>
              <w:t>143</w:t>
            </w:r>
            <w:r w:rsidRPr="00FB10D9">
              <w:rPr>
                <w:rFonts w:eastAsia="Times New Roman"/>
                <w:sz w:val="20"/>
                <w:lang w:val="en-GB"/>
              </w:rPr>
              <w:t>Nd/</w:t>
            </w:r>
            <w:r w:rsidRPr="00FB10D9">
              <w:rPr>
                <w:rFonts w:eastAsia="Times New Roman"/>
                <w:sz w:val="20"/>
                <w:vertAlign w:val="superscript"/>
                <w:lang w:val="en-GB"/>
              </w:rPr>
              <w:t>144</w:t>
            </w:r>
            <w:r w:rsidRPr="00FB10D9">
              <w:rPr>
                <w:rFonts w:eastAsia="Times New Roman"/>
                <w:sz w:val="20"/>
                <w:lang w:val="en-GB"/>
              </w:rPr>
              <w:t>Nd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Nd (µg/g)</w:t>
            </w:r>
          </w:p>
        </w:tc>
      </w:tr>
      <w:tr w:rsidR="00C0653A" w:rsidRPr="00FB10D9" w:rsidTr="00590D64">
        <w:trPr>
          <w:trHeight w:val="194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53A" w:rsidRPr="00100C5F" w:rsidRDefault="00C0653A" w:rsidP="00590D64">
            <w:pPr>
              <w:spacing w:line="240" w:lineRule="auto"/>
              <w:jc w:val="left"/>
              <w:rPr>
                <w:rFonts w:eastAsia="Times New Roman"/>
                <w:b/>
                <w:i/>
                <w:iCs/>
                <w:sz w:val="20"/>
              </w:rPr>
            </w:pPr>
            <w:r w:rsidRPr="00100C5F">
              <w:rPr>
                <w:rFonts w:eastAsia="Times New Roman"/>
                <w:b/>
                <w:i/>
                <w:iCs/>
                <w:sz w:val="20"/>
                <w:lang w:val="en-GB"/>
              </w:rPr>
              <w:t>End members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69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 xml:space="preserve">Ambient depleted </w:t>
            </w:r>
            <w:proofErr w:type="spellStart"/>
            <w:r w:rsidRPr="00FB10D9">
              <w:rPr>
                <w:rFonts w:eastAsia="Times New Roman"/>
                <w:sz w:val="20"/>
                <w:lang w:val="en-GB"/>
              </w:rPr>
              <w:t>mantle</w:t>
            </w:r>
            <w:r w:rsidRPr="00FB10D9">
              <w:rPr>
                <w:rFonts w:eastAsia="Times New Roman"/>
                <w:sz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−0.2</w:t>
            </w:r>
            <w:r>
              <w:rPr>
                <w:rFonts w:eastAsia="Times New Roman"/>
                <w:sz w:val="20"/>
                <w:lang w:val="en-GB"/>
              </w:rPr>
              <w:t>04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± 0.0</w:t>
            </w:r>
            <w:r>
              <w:rPr>
                <w:rFonts w:eastAsia="Times New Roman"/>
                <w:sz w:val="20"/>
                <w:lang w:val="en-GB"/>
              </w:rPr>
              <w:t>08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0.025 ± 0.007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92258F">
              <w:rPr>
                <w:rFonts w:eastAsia="Times New Roman"/>
                <w:sz w:val="20"/>
                <w:lang w:val="en-GB"/>
              </w:rPr>
              <w:t>0.702819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GB"/>
              </w:rPr>
              <w:t>11.32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0.51312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GB"/>
              </w:rPr>
              <w:t>1.118</w:t>
            </w:r>
          </w:p>
        </w:tc>
      </w:tr>
      <w:tr w:rsidR="00C0653A" w:rsidRPr="00FB10D9" w:rsidTr="00590D64">
        <w:trPr>
          <w:trHeight w:val="535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 xml:space="preserve">1.5 Ga old recycled pelagic </w:t>
            </w:r>
            <w:proofErr w:type="spellStart"/>
            <w:r w:rsidRPr="00FB10D9">
              <w:rPr>
                <w:rFonts w:eastAsia="Times New Roman"/>
                <w:sz w:val="20"/>
                <w:lang w:val="en-GB"/>
              </w:rPr>
              <w:t>sediment</w:t>
            </w:r>
            <w:r>
              <w:rPr>
                <w:rFonts w:eastAsia="Times New Roman"/>
                <w:sz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0.7203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300 ± 17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0.5117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85 ± 5.2</w:t>
            </w:r>
          </w:p>
        </w:tc>
      </w:tr>
      <w:tr w:rsidR="00C0653A" w:rsidRPr="00FB10D9" w:rsidTr="00590D64">
        <w:trPr>
          <w:trHeight w:val="369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Upper continental crust</w:t>
            </w:r>
            <w:r>
              <w:rPr>
                <w:rFonts w:eastAsia="Times New Roman"/>
                <w:sz w:val="20"/>
                <w:vertAlign w:val="superscript"/>
                <w:lang w:val="en-GB"/>
              </w:rPr>
              <w:t>C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0.05 to 0.15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1.1 </w:t>
            </w:r>
            <w:r w:rsidRPr="00FB10D9">
              <w:rPr>
                <w:rFonts w:eastAsia="Times New Roman"/>
                <w:sz w:val="20"/>
                <w:lang w:val="en-GB"/>
              </w:rPr>
              <w:t>±</w:t>
            </w:r>
            <w:r>
              <w:rPr>
                <w:rFonts w:eastAsia="Times New Roman"/>
                <w:sz w:val="20"/>
                <w:lang w:val="en-GB"/>
              </w:rPr>
              <w:t xml:space="preserve"> 0.2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69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53A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53A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204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53A" w:rsidRPr="00100C5F" w:rsidRDefault="00C0653A" w:rsidP="00590D64">
            <w:pPr>
              <w:spacing w:line="240" w:lineRule="auto"/>
              <w:jc w:val="left"/>
              <w:rPr>
                <w:rFonts w:eastAsia="Times New Roman"/>
                <w:b/>
                <w:i/>
                <w:iCs/>
                <w:sz w:val="20"/>
              </w:rPr>
            </w:pPr>
            <w:r w:rsidRPr="00100C5F">
              <w:rPr>
                <w:rFonts w:eastAsia="Times New Roman"/>
                <w:b/>
                <w:i/>
                <w:iCs/>
                <w:sz w:val="20"/>
                <w:lang w:val="en-GB"/>
              </w:rPr>
              <w:t xml:space="preserve">Marine </w:t>
            </w:r>
            <w:proofErr w:type="spellStart"/>
            <w:r w:rsidRPr="00100C5F">
              <w:rPr>
                <w:rFonts w:eastAsia="Times New Roman"/>
                <w:b/>
                <w:i/>
                <w:iCs/>
                <w:sz w:val="20"/>
                <w:lang w:val="en-GB"/>
              </w:rPr>
              <w:t>sediments</w:t>
            </w:r>
            <w:r>
              <w:rPr>
                <w:rFonts w:eastAsia="Times New Roman"/>
                <w:b/>
                <w:sz w:val="20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30"/>
          <w:jc w:val="center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Archean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0.218 ± 0.150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4.70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-3.75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+18.4</m:t>
                    </m:r>
                  </m:sup>
                </m:sSubSup>
              </m:oMath>
            </m:oMathPara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30"/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(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M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19, 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N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417)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(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M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19, 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N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744)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30"/>
          <w:jc w:val="center"/>
        </w:trPr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Proterozoic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0.244 ± 0.114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4.10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-3.30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+17.0</m:t>
                    </m:r>
                  </m:sup>
                </m:sSubSup>
              </m:oMath>
            </m:oMathPara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30"/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(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M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51, 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N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696)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(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M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53, 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N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1262)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30"/>
          <w:jc w:val="center"/>
        </w:trPr>
        <w:tc>
          <w:tcPr>
            <w:tcW w:w="18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Phanerozoic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0.528 ± 0.132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22.9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-15.7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+49.7</m:t>
                    </m:r>
                  </m:sup>
                </m:sSubSup>
              </m:oMath>
            </m:oMathPara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C0653A" w:rsidRPr="00FB10D9" w:rsidTr="00590D64">
        <w:trPr>
          <w:trHeight w:val="330"/>
          <w:jc w:val="center"/>
        </w:trPr>
        <w:tc>
          <w:tcPr>
            <w:tcW w:w="18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(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M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48, 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N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882)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(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M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48, </w:t>
            </w:r>
            <w:r w:rsidRPr="00FB10D9">
              <w:rPr>
                <w:rFonts w:eastAsia="Times New Roman"/>
                <w:i/>
                <w:iCs/>
                <w:sz w:val="20"/>
                <w:lang w:val="en-GB"/>
              </w:rPr>
              <w:t>N</w:t>
            </w:r>
            <w:r w:rsidRPr="00FB10D9">
              <w:rPr>
                <w:rFonts w:eastAsia="Times New Roman"/>
                <w:sz w:val="20"/>
                <w:lang w:val="en-GB"/>
              </w:rPr>
              <w:t xml:space="preserve"> = 1154)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53A" w:rsidRPr="00FB10D9" w:rsidRDefault="00C0653A" w:rsidP="00590D64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FB10D9">
              <w:rPr>
                <w:rFonts w:eastAsia="Times New Roman"/>
                <w:sz w:val="20"/>
                <w:lang w:val="en-GB"/>
              </w:rPr>
              <w:t> </w:t>
            </w:r>
          </w:p>
        </w:tc>
      </w:tr>
    </w:tbl>
    <w:p w:rsidR="00C0653A" w:rsidRDefault="00C0653A" w:rsidP="00C0653A">
      <w:pPr>
        <w:rPr>
          <w:rFonts w:eastAsiaTheme="minorEastAsia"/>
        </w:rPr>
      </w:pPr>
    </w:p>
    <w:p w:rsidR="00C0653A" w:rsidRPr="006870DA" w:rsidRDefault="00C0653A" w:rsidP="00C0653A">
      <w:pPr>
        <w:pStyle w:val="NoSpacing"/>
      </w:pPr>
      <w:proofErr w:type="gramStart"/>
      <w:r w:rsidRPr="006870DA">
        <w:rPr>
          <w:vertAlign w:val="superscript"/>
        </w:rPr>
        <w:t>A</w:t>
      </w:r>
      <w:proofErr w:type="gramEnd"/>
      <w:r w:rsidRPr="006870DA">
        <w:t xml:space="preserve"> Ambient depleted mantle values from Salters and Stracke (2004), </w:t>
      </w:r>
      <w:proofErr w:type="spellStart"/>
      <w:r w:rsidRPr="006870DA">
        <w:t>Delavault</w:t>
      </w:r>
      <w:proofErr w:type="spellEnd"/>
      <w:r w:rsidRPr="006870DA">
        <w:t xml:space="preserve"> et al. (2016), and McCoy-West et al. (2019)</w:t>
      </w:r>
    </w:p>
    <w:p w:rsidR="00C0653A" w:rsidRPr="006870DA" w:rsidRDefault="00C0653A" w:rsidP="00C0653A">
      <w:pPr>
        <w:pStyle w:val="NoSpacing"/>
      </w:pPr>
    </w:p>
    <w:p w:rsidR="00C0653A" w:rsidRPr="006870DA" w:rsidRDefault="00C0653A" w:rsidP="00C0653A">
      <w:pPr>
        <w:pStyle w:val="NoSpacing"/>
      </w:pPr>
      <w:r w:rsidRPr="006870DA">
        <w:rPr>
          <w:vertAlign w:val="superscript"/>
        </w:rPr>
        <w:t>B</w:t>
      </w:r>
      <w:r w:rsidRPr="006870DA">
        <w:t xml:space="preserve"> 1.5 Ga recycled pelagic sediment values from Ahmad et al. (2022) and references therein.</w:t>
      </w:r>
    </w:p>
    <w:p w:rsidR="00C0653A" w:rsidRPr="006870DA" w:rsidRDefault="00C0653A" w:rsidP="00C0653A">
      <w:pPr>
        <w:pStyle w:val="NoSpacing"/>
      </w:pPr>
    </w:p>
    <w:p w:rsidR="00C0653A" w:rsidRPr="006870DA" w:rsidRDefault="00C0653A" w:rsidP="00C0653A">
      <w:pPr>
        <w:pStyle w:val="NoSpacing"/>
      </w:pPr>
      <w:r>
        <w:rPr>
          <w:vertAlign w:val="superscript"/>
        </w:rPr>
        <w:t>C</w:t>
      </w:r>
      <w:r w:rsidRPr="006870DA">
        <w:t xml:space="preserve"> Upper continental crust values are from </w:t>
      </w:r>
      <w:proofErr w:type="spellStart"/>
      <w:r w:rsidRPr="006870DA">
        <w:t>Voegelin</w:t>
      </w:r>
      <w:proofErr w:type="spellEnd"/>
      <w:r w:rsidRPr="006870DA">
        <w:t xml:space="preserve"> et al. (2014), </w:t>
      </w:r>
      <w:proofErr w:type="spellStart"/>
      <w:r w:rsidRPr="006870DA">
        <w:t>Greber</w:t>
      </w:r>
      <w:proofErr w:type="spellEnd"/>
      <w:r w:rsidRPr="006870DA">
        <w:t xml:space="preserve"> et al. (2014), Rudnick and Gao (2014), </w:t>
      </w:r>
      <w:proofErr w:type="spellStart"/>
      <w:r w:rsidRPr="006870DA">
        <w:t>Freymuth</w:t>
      </w:r>
      <w:proofErr w:type="spellEnd"/>
      <w:r w:rsidRPr="006870DA">
        <w:t xml:space="preserve"> et al. (2015), </w:t>
      </w:r>
      <w:proofErr w:type="spellStart"/>
      <w:r w:rsidRPr="006870DA">
        <w:t>Willbold</w:t>
      </w:r>
      <w:proofErr w:type="spellEnd"/>
      <w:r w:rsidRPr="006870DA">
        <w:t xml:space="preserve"> and Elliott (2017), Yang et al. (2017) and Greaney et al. (2020).</w:t>
      </w:r>
    </w:p>
    <w:p w:rsidR="00C0653A" w:rsidRPr="006870DA" w:rsidRDefault="00C0653A" w:rsidP="00C0653A">
      <w:pPr>
        <w:pStyle w:val="NoSpacing"/>
      </w:pPr>
    </w:p>
    <w:p w:rsidR="00C0653A" w:rsidRPr="006870DA" w:rsidRDefault="00C0653A" w:rsidP="00C0653A">
      <w:pPr>
        <w:pStyle w:val="NoSpacing"/>
      </w:pPr>
      <w:r>
        <w:rPr>
          <w:vertAlign w:val="superscript"/>
        </w:rPr>
        <w:t>D</w:t>
      </w:r>
      <w:r w:rsidRPr="006870DA">
        <w:t xml:space="preserve"> Marine sediment values of different eons are averages of log-normal means of individual sediments sorted by age intervals (&gt;1 </w:t>
      </w:r>
      <w:proofErr w:type="spellStart"/>
      <w:r w:rsidRPr="006870DA">
        <w:t>Myr</w:t>
      </w:r>
      <w:proofErr w:type="spellEnd"/>
      <w:r w:rsidRPr="006870DA">
        <w:t xml:space="preserve">) from the literature (see compilation of Ye et al., 2021). M = number of individual sediment formations from one age interval within an eon; N = number of individual sediment samples. </w:t>
      </w:r>
    </w:p>
    <w:p w:rsidR="00C0653A" w:rsidRPr="006870DA" w:rsidRDefault="00C0653A" w:rsidP="00C0653A">
      <w:pPr>
        <w:pStyle w:val="NoSpacing"/>
      </w:pPr>
    </w:p>
    <w:p w:rsidR="00C0653A" w:rsidRPr="008F3B2B" w:rsidRDefault="00C0653A" w:rsidP="00C0653A">
      <w:pPr>
        <w:pStyle w:val="NoSpacing"/>
        <w:rPr>
          <w:sz w:val="20"/>
        </w:rPr>
        <w:sectPr w:rsidR="00C0653A" w:rsidRPr="008F3B2B" w:rsidSect="00C77C0B"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</w:p>
    <w:p w:rsidR="00C0653A" w:rsidRPr="00B9491F" w:rsidRDefault="00C0653A" w:rsidP="00C0653A">
      <w:pPr>
        <w:pStyle w:val="Heading3"/>
        <w:rPr>
          <w:rFonts w:eastAsiaTheme="minorEastAsia"/>
        </w:rPr>
      </w:pPr>
      <w:bookmarkStart w:id="3" w:name="_Toc124441706"/>
      <w:r w:rsidRPr="00B9491F">
        <w:rPr>
          <w:rFonts w:eastAsiaTheme="minorEastAsia"/>
        </w:rPr>
        <w:lastRenderedPageBreak/>
        <w:t>Supplementary Information References</w:t>
      </w:r>
      <w:bookmarkEnd w:id="3"/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Ahmad, Q., Wille, M., König, S., </w:t>
      </w:r>
      <w:proofErr w:type="spellStart"/>
      <w:r w:rsidRPr="00B9491F">
        <w:rPr>
          <w:rFonts w:eastAsiaTheme="minorEastAsia"/>
        </w:rPr>
        <w:t>Rosca</w:t>
      </w:r>
      <w:proofErr w:type="spellEnd"/>
      <w:r w:rsidRPr="00B9491F">
        <w:rPr>
          <w:rFonts w:eastAsiaTheme="minorEastAsia"/>
        </w:rPr>
        <w:t xml:space="preserve">, C., Hensel, A., </w:t>
      </w:r>
      <w:proofErr w:type="spellStart"/>
      <w:r w:rsidRPr="00B9491F">
        <w:rPr>
          <w:rFonts w:eastAsiaTheme="minorEastAsia"/>
        </w:rPr>
        <w:t>Pettke</w:t>
      </w:r>
      <w:proofErr w:type="spellEnd"/>
      <w:r w:rsidRPr="00B9491F">
        <w:rPr>
          <w:rFonts w:eastAsiaTheme="minorEastAsia"/>
        </w:rPr>
        <w:t xml:space="preserve">, T., and Hermann, J., 2021, The </w:t>
      </w:r>
      <w:r>
        <w:rPr>
          <w:rFonts w:eastAsiaTheme="minorEastAsia"/>
        </w:rPr>
        <w:t>m</w:t>
      </w:r>
      <w:r w:rsidRPr="00B9491F">
        <w:rPr>
          <w:rFonts w:eastAsiaTheme="minorEastAsia"/>
        </w:rPr>
        <w:t xml:space="preserve">olybdenum isotope subduction recycling conundrum: A case study from the Tongan subduction zone, Western Alps and Alpine Corsica: Chemical Geology, v. 576, p. 120231, </w:t>
      </w:r>
      <w:r w:rsidRPr="009C2935">
        <w:t>https://doi.org/</w:t>
      </w:r>
      <w:r w:rsidRPr="00B9491F">
        <w:rPr>
          <w:rFonts w:eastAsiaTheme="minorEastAsia"/>
        </w:rPr>
        <w:t>10.1016/J.CHEMGEO.2021.120231.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Ahmad, Q., Wille, M., </w:t>
      </w:r>
      <w:proofErr w:type="spellStart"/>
      <w:r w:rsidRPr="00B9491F">
        <w:rPr>
          <w:rFonts w:eastAsiaTheme="minorEastAsia"/>
        </w:rPr>
        <w:t>Rosca</w:t>
      </w:r>
      <w:proofErr w:type="spellEnd"/>
      <w:r w:rsidRPr="00B9491F">
        <w:rPr>
          <w:rFonts w:eastAsiaTheme="minorEastAsia"/>
        </w:rPr>
        <w:t xml:space="preserve">, C., </w:t>
      </w:r>
      <w:proofErr w:type="spellStart"/>
      <w:r w:rsidRPr="00B9491F">
        <w:rPr>
          <w:rFonts w:eastAsiaTheme="minorEastAsia"/>
        </w:rPr>
        <w:t>Labidi</w:t>
      </w:r>
      <w:proofErr w:type="spellEnd"/>
      <w:r w:rsidRPr="00B9491F">
        <w:rPr>
          <w:rFonts w:eastAsiaTheme="minorEastAsia"/>
        </w:rPr>
        <w:t xml:space="preserve">, J., Schmid, T., </w:t>
      </w:r>
      <w:proofErr w:type="spellStart"/>
      <w:r w:rsidRPr="00B9491F">
        <w:rPr>
          <w:rFonts w:eastAsiaTheme="minorEastAsia"/>
        </w:rPr>
        <w:t>Mezger</w:t>
      </w:r>
      <w:proofErr w:type="spellEnd"/>
      <w:r w:rsidRPr="00B9491F">
        <w:rPr>
          <w:rFonts w:eastAsiaTheme="minorEastAsia"/>
        </w:rPr>
        <w:t xml:space="preserve">, K., and König, S., 2022, Molybdenum isotopes in plume-influenced MORBs reveal recycling of ancient anoxic sediments: Geochemical Perspectives Letters, v. 23, p. 43–48, </w:t>
      </w:r>
      <w:r w:rsidRPr="009C2935">
        <w:t>https://doi.org/</w:t>
      </w:r>
      <w:r w:rsidRPr="00B9491F">
        <w:rPr>
          <w:rFonts w:eastAsiaTheme="minorEastAsia"/>
        </w:rPr>
        <w:t>10.7185/GEOCHEMLET.2236.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proofErr w:type="spellStart"/>
      <w:r w:rsidRPr="00B9491F">
        <w:rPr>
          <w:rFonts w:eastAsiaTheme="minorEastAsia"/>
        </w:rPr>
        <w:t>Bezard</w:t>
      </w:r>
      <w:proofErr w:type="spellEnd"/>
      <w:r w:rsidRPr="00B9491F">
        <w:rPr>
          <w:rFonts w:eastAsiaTheme="minorEastAsia"/>
        </w:rPr>
        <w:t>, R., Fischer-</w:t>
      </w:r>
      <w:proofErr w:type="spellStart"/>
      <w:r w:rsidRPr="00B9491F">
        <w:rPr>
          <w:rFonts w:eastAsiaTheme="minorEastAsia"/>
        </w:rPr>
        <w:t>Gödde</w:t>
      </w:r>
      <w:proofErr w:type="spellEnd"/>
      <w:r w:rsidRPr="00B9491F">
        <w:rPr>
          <w:rFonts w:eastAsiaTheme="minorEastAsia"/>
        </w:rPr>
        <w:t xml:space="preserve">, M., Hamelin, C., </w:t>
      </w:r>
      <w:proofErr w:type="spellStart"/>
      <w:r w:rsidRPr="00B9491F">
        <w:rPr>
          <w:rFonts w:eastAsiaTheme="minorEastAsia"/>
        </w:rPr>
        <w:t>Brennecka</w:t>
      </w:r>
      <w:proofErr w:type="spellEnd"/>
      <w:r w:rsidRPr="00B9491F">
        <w:rPr>
          <w:rFonts w:eastAsiaTheme="minorEastAsia"/>
        </w:rPr>
        <w:t xml:space="preserve">, G.A., and </w:t>
      </w:r>
      <w:proofErr w:type="spellStart"/>
      <w:r w:rsidRPr="00B9491F">
        <w:rPr>
          <w:rFonts w:eastAsiaTheme="minorEastAsia"/>
        </w:rPr>
        <w:t>Kleine</w:t>
      </w:r>
      <w:proofErr w:type="spellEnd"/>
      <w:r w:rsidRPr="00B9491F">
        <w:rPr>
          <w:rFonts w:eastAsiaTheme="minorEastAsia"/>
        </w:rPr>
        <w:t xml:space="preserve">, T., 2016, The effects of magmatic processes and crustal recycling on the molybdenum stable isotopic composition of Mid-Ocean Ridge Basalts: Earth and Planetary Science Letters, v. 453, p. 171–181, </w:t>
      </w:r>
      <w:r w:rsidRPr="009C2935">
        <w:t>https://doi.org/</w:t>
      </w:r>
      <w:r w:rsidRPr="00B9491F">
        <w:rPr>
          <w:rFonts w:eastAsiaTheme="minorEastAsia"/>
        </w:rPr>
        <w:t>10.1016/j.epsl.2016.07.056.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Burkhardt, C., </w:t>
      </w:r>
      <w:proofErr w:type="spellStart"/>
      <w:r w:rsidRPr="00B9491F">
        <w:rPr>
          <w:rFonts w:eastAsiaTheme="minorEastAsia"/>
        </w:rPr>
        <w:t>Hin</w:t>
      </w:r>
      <w:proofErr w:type="spellEnd"/>
      <w:r w:rsidRPr="00B9491F">
        <w:rPr>
          <w:rFonts w:eastAsiaTheme="minorEastAsia"/>
        </w:rPr>
        <w:t xml:space="preserve">, R.C., </w:t>
      </w:r>
      <w:proofErr w:type="spellStart"/>
      <w:r w:rsidRPr="00B9491F">
        <w:rPr>
          <w:rFonts w:eastAsiaTheme="minorEastAsia"/>
        </w:rPr>
        <w:t>Kleine</w:t>
      </w:r>
      <w:proofErr w:type="spellEnd"/>
      <w:r w:rsidRPr="00B9491F">
        <w:rPr>
          <w:rFonts w:eastAsiaTheme="minorEastAsia"/>
        </w:rPr>
        <w:t xml:space="preserve">, T., and Bourdon, B., 2014, Evidence for Mo isotope fractionation in the solar nebula and during planetary differentiation: Earth and Planetary Science Letters, v. 391, p. 201–211, </w:t>
      </w:r>
      <w:r w:rsidRPr="009C2935">
        <w:t>https://doi.org/</w:t>
      </w:r>
      <w:r w:rsidRPr="00B9491F">
        <w:rPr>
          <w:rFonts w:eastAsiaTheme="minorEastAsia"/>
        </w:rPr>
        <w:t>10.1016/j.epsl.2014.01.037.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Chen, S., </w:t>
      </w:r>
      <w:proofErr w:type="spellStart"/>
      <w:r w:rsidRPr="00B9491F">
        <w:rPr>
          <w:rFonts w:eastAsiaTheme="minorEastAsia"/>
        </w:rPr>
        <w:t>Hin</w:t>
      </w:r>
      <w:proofErr w:type="spellEnd"/>
      <w:r w:rsidRPr="00B9491F">
        <w:rPr>
          <w:rFonts w:eastAsiaTheme="minorEastAsia"/>
        </w:rPr>
        <w:t xml:space="preserve">, R.C., John, T., Brooker, R., Bryan, B., </w:t>
      </w:r>
      <w:proofErr w:type="spellStart"/>
      <w:r w:rsidRPr="00B9491F">
        <w:rPr>
          <w:rFonts w:eastAsiaTheme="minorEastAsia"/>
        </w:rPr>
        <w:t>Niu</w:t>
      </w:r>
      <w:proofErr w:type="spellEnd"/>
      <w:r w:rsidRPr="00B9491F">
        <w:rPr>
          <w:rFonts w:eastAsiaTheme="minorEastAsia"/>
        </w:rPr>
        <w:t xml:space="preserve">, Y., and Elliott, T., 2019, Molybdenum systematics of subducted crust record reactive fluid flow from underlying slab serpentine dehydration: Nature Communications, v. 10, </w:t>
      </w:r>
      <w:r w:rsidRPr="009C2935">
        <w:t>https://doi.org/</w:t>
      </w:r>
      <w:r w:rsidRPr="00B9491F">
        <w:rPr>
          <w:rFonts w:eastAsiaTheme="minorEastAsia"/>
        </w:rPr>
        <w:t>10.1038/s41467-019-12696-3.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Chen, S., Sun, P., </w:t>
      </w:r>
      <w:proofErr w:type="spellStart"/>
      <w:r w:rsidRPr="00B9491F">
        <w:rPr>
          <w:rFonts w:eastAsiaTheme="minorEastAsia"/>
        </w:rPr>
        <w:t>Niu</w:t>
      </w:r>
      <w:proofErr w:type="spellEnd"/>
      <w:r w:rsidRPr="00B9491F">
        <w:rPr>
          <w:rFonts w:eastAsiaTheme="minorEastAsia"/>
        </w:rPr>
        <w:t xml:space="preserve">, Y., Guo, P., Elliott, T., and </w:t>
      </w:r>
      <w:proofErr w:type="spellStart"/>
      <w:r w:rsidRPr="00B9491F">
        <w:rPr>
          <w:rFonts w:eastAsiaTheme="minorEastAsia"/>
        </w:rPr>
        <w:t>Hin</w:t>
      </w:r>
      <w:proofErr w:type="spellEnd"/>
      <w:r w:rsidRPr="00B9491F">
        <w:rPr>
          <w:rFonts w:eastAsiaTheme="minorEastAsia"/>
        </w:rPr>
        <w:t xml:space="preserve">, R.C., 2022, Molybdenum isotope systematics of lavas from the East Pacific Rise: Constraints on the source of enriched mid-ocean ridge basalt: Earth and Planetary Science Letters, v. 578, p. 117283, </w:t>
      </w:r>
      <w:r w:rsidRPr="009C2935">
        <w:t>https://doi.org/</w:t>
      </w:r>
      <w:r w:rsidRPr="00B9491F">
        <w:rPr>
          <w:rFonts w:eastAsiaTheme="minorEastAsia"/>
        </w:rPr>
        <w:t>10.1016/J.EPSL.2021.117283.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proofErr w:type="spellStart"/>
      <w:r w:rsidRPr="00B9491F">
        <w:rPr>
          <w:rFonts w:eastAsiaTheme="minorEastAsia"/>
        </w:rPr>
        <w:t>Delavault</w:t>
      </w:r>
      <w:proofErr w:type="spellEnd"/>
      <w:r w:rsidRPr="00B9491F">
        <w:rPr>
          <w:rFonts w:eastAsiaTheme="minorEastAsia"/>
        </w:rPr>
        <w:t xml:space="preserve">, H., </w:t>
      </w:r>
      <w:proofErr w:type="spellStart"/>
      <w:r w:rsidRPr="00B9491F">
        <w:rPr>
          <w:rFonts w:eastAsiaTheme="minorEastAsia"/>
        </w:rPr>
        <w:t>Chauvel</w:t>
      </w:r>
      <w:proofErr w:type="spellEnd"/>
      <w:r w:rsidRPr="00B9491F">
        <w:rPr>
          <w:rFonts w:eastAsiaTheme="minorEastAsia"/>
        </w:rPr>
        <w:t xml:space="preserve">, C., </w:t>
      </w:r>
      <w:proofErr w:type="spellStart"/>
      <w:r w:rsidRPr="00B9491F">
        <w:rPr>
          <w:rFonts w:eastAsiaTheme="minorEastAsia"/>
        </w:rPr>
        <w:t>Thomassot</w:t>
      </w:r>
      <w:proofErr w:type="spellEnd"/>
      <w:r w:rsidRPr="00B9491F">
        <w:rPr>
          <w:rFonts w:eastAsiaTheme="minorEastAsia"/>
        </w:rPr>
        <w:t xml:space="preserve">, E., </w:t>
      </w:r>
      <w:proofErr w:type="spellStart"/>
      <w:r w:rsidRPr="00B9491F">
        <w:rPr>
          <w:rFonts w:eastAsiaTheme="minorEastAsia"/>
        </w:rPr>
        <w:t>Devey</w:t>
      </w:r>
      <w:proofErr w:type="spellEnd"/>
      <w:r w:rsidRPr="00B9491F">
        <w:rPr>
          <w:rFonts w:eastAsiaTheme="minorEastAsia"/>
        </w:rPr>
        <w:t xml:space="preserve">, C.W., and </w:t>
      </w:r>
      <w:proofErr w:type="spellStart"/>
      <w:r w:rsidRPr="00B9491F">
        <w:rPr>
          <w:rFonts w:eastAsiaTheme="minorEastAsia"/>
        </w:rPr>
        <w:t>Dazas</w:t>
      </w:r>
      <w:proofErr w:type="spellEnd"/>
      <w:r w:rsidRPr="00B9491F">
        <w:rPr>
          <w:rFonts w:eastAsiaTheme="minorEastAsia"/>
        </w:rPr>
        <w:t xml:space="preserve">, B., 2016, Sulfur and lead isotopic evidence of relic Archean sediments in the Pitcairn mantle plume: Proceedings of the National Academy of Sciences of the United States of America, v. 113, p. 12952–12956, </w:t>
      </w:r>
      <w:r w:rsidRPr="00F40A3F">
        <w:rPr>
          <w:rFonts w:eastAsiaTheme="minorEastAsia"/>
        </w:rPr>
        <w:t>https://doi.org/10.1073/pnas.1523805113</w:t>
      </w:r>
      <w:r w:rsidRPr="00B9491F">
        <w:rPr>
          <w:rFonts w:eastAsiaTheme="minorEastAsia"/>
        </w:rPr>
        <w:t>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proofErr w:type="spellStart"/>
      <w:r w:rsidRPr="00B9491F">
        <w:rPr>
          <w:rFonts w:eastAsiaTheme="minorEastAsia"/>
        </w:rPr>
        <w:t>Freymuth</w:t>
      </w:r>
      <w:proofErr w:type="spellEnd"/>
      <w:r w:rsidRPr="00B9491F">
        <w:rPr>
          <w:rFonts w:eastAsiaTheme="minorEastAsia"/>
        </w:rPr>
        <w:t xml:space="preserve">, H., </w:t>
      </w:r>
      <w:proofErr w:type="spellStart"/>
      <w:r w:rsidRPr="00B9491F">
        <w:rPr>
          <w:rFonts w:eastAsiaTheme="minorEastAsia"/>
        </w:rPr>
        <w:t>Vils</w:t>
      </w:r>
      <w:proofErr w:type="spellEnd"/>
      <w:r w:rsidRPr="00B9491F">
        <w:rPr>
          <w:rFonts w:eastAsiaTheme="minorEastAsia"/>
        </w:rPr>
        <w:t xml:space="preserve">, F., </w:t>
      </w:r>
      <w:proofErr w:type="spellStart"/>
      <w:r w:rsidRPr="00B9491F">
        <w:rPr>
          <w:rFonts w:eastAsiaTheme="minorEastAsia"/>
        </w:rPr>
        <w:t>Willbold</w:t>
      </w:r>
      <w:proofErr w:type="spellEnd"/>
      <w:r w:rsidRPr="00B9491F">
        <w:rPr>
          <w:rFonts w:eastAsiaTheme="minorEastAsia"/>
        </w:rPr>
        <w:t xml:space="preserve">, M., Taylor, R.N., and Elliott, T., 2015, Molybdenum mobility and isotopic fractionation during subduction at the Mariana arc: Earth and Planetary Science Letters, v. 432, p. 176–186,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10.1016/j.epsl.2015.10.006.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lastRenderedPageBreak/>
        <w:t xml:space="preserve">Gale, A., Dalton, C.A., Langmuir, C.H., </w:t>
      </w:r>
      <w:proofErr w:type="spellStart"/>
      <w:r w:rsidRPr="00B9491F">
        <w:rPr>
          <w:rFonts w:eastAsiaTheme="minorEastAsia"/>
        </w:rPr>
        <w:t>Su</w:t>
      </w:r>
      <w:proofErr w:type="spellEnd"/>
      <w:r w:rsidRPr="00B9491F">
        <w:rPr>
          <w:rFonts w:eastAsiaTheme="minorEastAsia"/>
        </w:rPr>
        <w:t xml:space="preserve">, Y., and Schilling, J.G., 2013, The mean composition of ocean ridge basalts: Geochemistry, Geophysics, Geosystems, v. 14, p. 489–518,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10.1029/2012GC004334.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Greaney, A.T., Rudnick, R.L., </w:t>
      </w:r>
      <w:proofErr w:type="spellStart"/>
      <w:r w:rsidRPr="00B9491F">
        <w:rPr>
          <w:rFonts w:eastAsiaTheme="minorEastAsia"/>
        </w:rPr>
        <w:t>Romaniello</w:t>
      </w:r>
      <w:proofErr w:type="spellEnd"/>
      <w:r w:rsidRPr="00B9491F">
        <w:rPr>
          <w:rFonts w:eastAsiaTheme="minorEastAsia"/>
        </w:rPr>
        <w:t xml:space="preserve">, S.J., Johnson, A.C., </w:t>
      </w:r>
      <w:proofErr w:type="spellStart"/>
      <w:r w:rsidRPr="00B9491F">
        <w:rPr>
          <w:rFonts w:eastAsiaTheme="minorEastAsia"/>
        </w:rPr>
        <w:t>Gaschnig</w:t>
      </w:r>
      <w:proofErr w:type="spellEnd"/>
      <w:r w:rsidRPr="00B9491F">
        <w:rPr>
          <w:rFonts w:eastAsiaTheme="minorEastAsia"/>
        </w:rPr>
        <w:t xml:space="preserve">, R.M., and Anbar, A.D., 2020, Molybdenum isotope fractionation in glacial </w:t>
      </w:r>
      <w:proofErr w:type="spellStart"/>
      <w:r w:rsidRPr="00B9491F">
        <w:rPr>
          <w:rFonts w:eastAsiaTheme="minorEastAsia"/>
        </w:rPr>
        <w:t>diamictites</w:t>
      </w:r>
      <w:proofErr w:type="spellEnd"/>
      <w:r w:rsidRPr="00B9491F">
        <w:rPr>
          <w:rFonts w:eastAsiaTheme="minorEastAsia"/>
        </w:rPr>
        <w:t xml:space="preserve"> tracks the onset of oxidative weathering of the continental crust: Earth and Planetary Science Letters, v. 534, p. 116083,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10.1016/J.EPSL.2020.116083.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proofErr w:type="spellStart"/>
      <w:r w:rsidRPr="00B9491F">
        <w:rPr>
          <w:rFonts w:eastAsiaTheme="minorEastAsia"/>
        </w:rPr>
        <w:t>Greber</w:t>
      </w:r>
      <w:proofErr w:type="spellEnd"/>
      <w:r w:rsidRPr="00B9491F">
        <w:rPr>
          <w:rFonts w:eastAsiaTheme="minorEastAsia"/>
        </w:rPr>
        <w:t xml:space="preserve">, N.D., </w:t>
      </w:r>
      <w:proofErr w:type="spellStart"/>
      <w:r w:rsidRPr="00B9491F">
        <w:rPr>
          <w:rFonts w:eastAsiaTheme="minorEastAsia"/>
        </w:rPr>
        <w:t>Pettke</w:t>
      </w:r>
      <w:proofErr w:type="spellEnd"/>
      <w:r w:rsidRPr="00B9491F">
        <w:rPr>
          <w:rFonts w:eastAsiaTheme="minorEastAsia"/>
        </w:rPr>
        <w:t xml:space="preserve">, T., and </w:t>
      </w:r>
      <w:proofErr w:type="spellStart"/>
      <w:r w:rsidRPr="00B9491F">
        <w:rPr>
          <w:rFonts w:eastAsiaTheme="minorEastAsia"/>
        </w:rPr>
        <w:t>Nägler</w:t>
      </w:r>
      <w:proofErr w:type="spellEnd"/>
      <w:r w:rsidRPr="00B9491F">
        <w:rPr>
          <w:rFonts w:eastAsiaTheme="minorEastAsia"/>
        </w:rPr>
        <w:t xml:space="preserve">, T.F., 2014, Magmatic–hydrothermal molybdenum isotope fractionation and its relevance to the igneous crustal signature: </w:t>
      </w:r>
      <w:proofErr w:type="spellStart"/>
      <w:r w:rsidRPr="00B9491F">
        <w:rPr>
          <w:rFonts w:eastAsiaTheme="minorEastAsia"/>
        </w:rPr>
        <w:t>Lithos</w:t>
      </w:r>
      <w:proofErr w:type="spellEnd"/>
      <w:r w:rsidRPr="00B9491F">
        <w:rPr>
          <w:rFonts w:eastAsiaTheme="minorEastAsia"/>
        </w:rPr>
        <w:t xml:space="preserve">, v. 190–191, p. 104–110,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10.1016/J.LITHOS.2013.11.006.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McCoy-West, A.J., Chowdhury, P., Burton, K.W., </w:t>
      </w:r>
      <w:proofErr w:type="spellStart"/>
      <w:r w:rsidRPr="00B9491F">
        <w:rPr>
          <w:rFonts w:eastAsiaTheme="minorEastAsia"/>
        </w:rPr>
        <w:t>Sossi</w:t>
      </w:r>
      <w:proofErr w:type="spellEnd"/>
      <w:r w:rsidRPr="00B9491F">
        <w:rPr>
          <w:rFonts w:eastAsiaTheme="minorEastAsia"/>
        </w:rPr>
        <w:t xml:space="preserve">, P., Nowell, G.M., Fitton, J.G., Kerr, A.C., </w:t>
      </w:r>
      <w:proofErr w:type="spellStart"/>
      <w:r w:rsidRPr="00B9491F">
        <w:rPr>
          <w:rFonts w:eastAsiaTheme="minorEastAsia"/>
        </w:rPr>
        <w:t>Cawood</w:t>
      </w:r>
      <w:proofErr w:type="spellEnd"/>
      <w:r w:rsidRPr="00B9491F">
        <w:rPr>
          <w:rFonts w:eastAsiaTheme="minorEastAsia"/>
        </w:rPr>
        <w:t xml:space="preserve">, P.A., and Williams, H.M., 2019, Extensive crustal extraction in Earth’s early history inferred from molybdenum isotopes: Nature Geoscience, v. 12, p. 946–951,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10.1038/s41561-019-0451-2.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Rudnick, R.L., and Gao, S., 2014, Composition of the Continental Crust, in Treatise on Geochemistry: Second Edition, Elsevier Inc., v. 4, p. 1–51,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10.1016/B978-0-08-095975-7.00301-6.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Salters, V.J.M., and Stracke, A., 2004, Composition of the depleted mantle: Geochemistry, Geophysics, Geosystems, v. 5, </w:t>
      </w:r>
      <w:r w:rsidRPr="001F645A">
        <w:rPr>
          <w:rFonts w:eastAsiaTheme="minorEastAsia"/>
        </w:rPr>
        <w:t>Q05B07,</w:t>
      </w:r>
      <w:r w:rsidRPr="00B9491F">
        <w:rPr>
          <w:rFonts w:eastAsiaTheme="minorEastAsia"/>
        </w:rPr>
        <w:t xml:space="preserve">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10.1029/2003GC000597.</w:t>
      </w:r>
    </w:p>
    <w:p w:rsidR="00C0653A" w:rsidRDefault="00C0653A" w:rsidP="00C0653A">
      <w:pPr>
        <w:spacing w:after="120"/>
        <w:ind w:left="720" w:hanging="720"/>
        <w:rPr>
          <w:rFonts w:eastAsiaTheme="minorEastAsia"/>
        </w:rPr>
      </w:pPr>
      <w:proofErr w:type="spellStart"/>
      <w:r w:rsidRPr="00B9491F">
        <w:rPr>
          <w:rFonts w:eastAsiaTheme="minorEastAsia"/>
        </w:rPr>
        <w:t>Voegelin</w:t>
      </w:r>
      <w:proofErr w:type="spellEnd"/>
      <w:r w:rsidRPr="00B9491F">
        <w:rPr>
          <w:rFonts w:eastAsiaTheme="minorEastAsia"/>
        </w:rPr>
        <w:t xml:space="preserve">, A.R., </w:t>
      </w:r>
      <w:proofErr w:type="spellStart"/>
      <w:r w:rsidRPr="00B9491F">
        <w:rPr>
          <w:rFonts w:eastAsiaTheme="minorEastAsia"/>
        </w:rPr>
        <w:t>Pettke</w:t>
      </w:r>
      <w:proofErr w:type="spellEnd"/>
      <w:r w:rsidRPr="00B9491F">
        <w:rPr>
          <w:rFonts w:eastAsiaTheme="minorEastAsia"/>
        </w:rPr>
        <w:t xml:space="preserve">, T., </w:t>
      </w:r>
      <w:proofErr w:type="spellStart"/>
      <w:r w:rsidRPr="00B9491F">
        <w:rPr>
          <w:rFonts w:eastAsiaTheme="minorEastAsia"/>
        </w:rPr>
        <w:t>Greber</w:t>
      </w:r>
      <w:proofErr w:type="spellEnd"/>
      <w:r w:rsidRPr="00B9491F">
        <w:rPr>
          <w:rFonts w:eastAsiaTheme="minorEastAsia"/>
        </w:rPr>
        <w:t xml:space="preserve">, N.D., von </w:t>
      </w:r>
      <w:proofErr w:type="spellStart"/>
      <w:r w:rsidRPr="00B9491F">
        <w:rPr>
          <w:rFonts w:eastAsiaTheme="minorEastAsia"/>
        </w:rPr>
        <w:t>Niederhäusern</w:t>
      </w:r>
      <w:proofErr w:type="spellEnd"/>
      <w:r w:rsidRPr="00B9491F">
        <w:rPr>
          <w:rFonts w:eastAsiaTheme="minorEastAsia"/>
        </w:rPr>
        <w:t xml:space="preserve">, B., and </w:t>
      </w:r>
      <w:proofErr w:type="spellStart"/>
      <w:r w:rsidRPr="00B9491F">
        <w:rPr>
          <w:rFonts w:eastAsiaTheme="minorEastAsia"/>
        </w:rPr>
        <w:t>Nägler</w:t>
      </w:r>
      <w:proofErr w:type="spellEnd"/>
      <w:r w:rsidRPr="00B9491F">
        <w:rPr>
          <w:rFonts w:eastAsiaTheme="minorEastAsia"/>
        </w:rPr>
        <w:t xml:space="preserve">, T.F., 2014, Magma differentiation fractionates Mo isotope ratios: Evidence from the Kos Plateau Tuff (Aegean Arc): </w:t>
      </w:r>
      <w:proofErr w:type="spellStart"/>
      <w:r w:rsidRPr="00B9491F">
        <w:rPr>
          <w:rFonts w:eastAsiaTheme="minorEastAsia"/>
        </w:rPr>
        <w:t>Lithos</w:t>
      </w:r>
      <w:proofErr w:type="spellEnd"/>
      <w:r w:rsidRPr="00B9491F">
        <w:rPr>
          <w:rFonts w:eastAsiaTheme="minorEastAsia"/>
        </w:rPr>
        <w:t xml:space="preserve">, v. 190–191, p. 440–448, </w:t>
      </w:r>
      <w:r w:rsidRPr="00D74A36">
        <w:rPr>
          <w:rFonts w:eastAsiaTheme="minorEastAsia"/>
        </w:rPr>
        <w:t>https://doi.org/10.1016/j.lithos.2013.12.016</w:t>
      </w:r>
      <w:r w:rsidRPr="00B9491F">
        <w:rPr>
          <w:rFonts w:eastAsiaTheme="minorEastAsia"/>
        </w:rPr>
        <w:t>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6F5F70">
        <w:rPr>
          <w:rFonts w:eastAsiaTheme="minorEastAsia"/>
        </w:rPr>
        <w:t xml:space="preserve">Wang, Z., Becker, H., 2018. Molybdenum partitioning behavior and content in the depleted mantle: Insights from </w:t>
      </w:r>
      <w:proofErr w:type="spellStart"/>
      <w:r w:rsidRPr="006F5F70">
        <w:rPr>
          <w:rFonts w:eastAsiaTheme="minorEastAsia"/>
        </w:rPr>
        <w:t>Balmuccia</w:t>
      </w:r>
      <w:proofErr w:type="spellEnd"/>
      <w:r w:rsidRPr="006F5F70">
        <w:rPr>
          <w:rFonts w:eastAsiaTheme="minorEastAsia"/>
        </w:rPr>
        <w:t xml:space="preserve"> and </w:t>
      </w:r>
      <w:proofErr w:type="spellStart"/>
      <w:r w:rsidRPr="006F5F70">
        <w:rPr>
          <w:rFonts w:eastAsiaTheme="minorEastAsia"/>
        </w:rPr>
        <w:t>Baldissero</w:t>
      </w:r>
      <w:proofErr w:type="spellEnd"/>
      <w:r w:rsidRPr="006F5F70">
        <w:rPr>
          <w:rFonts w:eastAsiaTheme="minorEastAsia"/>
        </w:rPr>
        <w:t xml:space="preserve"> mantle </w:t>
      </w:r>
      <w:proofErr w:type="spellStart"/>
      <w:r w:rsidRPr="006F5F70">
        <w:rPr>
          <w:rFonts w:eastAsiaTheme="minorEastAsia"/>
        </w:rPr>
        <w:t>tectonites</w:t>
      </w:r>
      <w:proofErr w:type="spellEnd"/>
      <w:r w:rsidRPr="006F5F70">
        <w:rPr>
          <w:rFonts w:eastAsiaTheme="minorEastAsia"/>
        </w:rPr>
        <w:t xml:space="preserve"> (Ivrea Zone, Italian Alps). Chemical Geology </w:t>
      </w:r>
      <w:r>
        <w:rPr>
          <w:rFonts w:eastAsiaTheme="minorEastAsia"/>
        </w:rPr>
        <w:t xml:space="preserve">v. </w:t>
      </w:r>
      <w:r w:rsidRPr="006F5F70">
        <w:rPr>
          <w:rFonts w:eastAsiaTheme="minorEastAsia"/>
        </w:rPr>
        <w:t xml:space="preserve">499, </w:t>
      </w:r>
      <w:r>
        <w:rPr>
          <w:rFonts w:eastAsiaTheme="minorEastAsia"/>
        </w:rPr>
        <w:t xml:space="preserve">p. </w:t>
      </w:r>
      <w:r w:rsidRPr="006F5F70">
        <w:rPr>
          <w:rFonts w:eastAsiaTheme="minorEastAsia"/>
        </w:rPr>
        <w:t>138–150. https://doi.org/10.1016/j.chemgeo.2018.09.023</w:t>
      </w:r>
      <w:r>
        <w:rPr>
          <w:rFonts w:eastAsiaTheme="minorEastAsia"/>
        </w:rPr>
        <w:t>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proofErr w:type="spellStart"/>
      <w:r w:rsidRPr="00B9491F">
        <w:rPr>
          <w:rFonts w:eastAsiaTheme="minorEastAsia"/>
        </w:rPr>
        <w:t>Willbold</w:t>
      </w:r>
      <w:proofErr w:type="spellEnd"/>
      <w:r w:rsidRPr="00B9491F">
        <w:rPr>
          <w:rFonts w:eastAsiaTheme="minorEastAsia"/>
        </w:rPr>
        <w:t xml:space="preserve">, M., and Elliott, T., 2017, Molybdenum isotope variations in magmatic rocks: Chemical Geology, v. 449, p. 253–268,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10.1016/j.chemgeo.2016.12.011.</w:t>
      </w:r>
    </w:p>
    <w:p w:rsidR="00C0653A" w:rsidRPr="00B9491F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t xml:space="preserve">Yang, J., Barling, J., Siebert, C., </w:t>
      </w:r>
      <w:proofErr w:type="spellStart"/>
      <w:r w:rsidRPr="00B9491F">
        <w:rPr>
          <w:rFonts w:eastAsiaTheme="minorEastAsia"/>
        </w:rPr>
        <w:t>Fietzke</w:t>
      </w:r>
      <w:proofErr w:type="spellEnd"/>
      <w:r w:rsidRPr="00B9491F">
        <w:rPr>
          <w:rFonts w:eastAsiaTheme="minorEastAsia"/>
        </w:rPr>
        <w:t xml:space="preserve">, J., Stephens, E., and Halliday, A.N., 2017, The molybdenum isotopic compositions of I-, S- and A-type granitic suites: </w:t>
      </w:r>
      <w:proofErr w:type="spellStart"/>
      <w:r w:rsidRPr="00B9491F">
        <w:rPr>
          <w:rFonts w:eastAsiaTheme="minorEastAsia"/>
        </w:rPr>
        <w:t>Geochimica</w:t>
      </w:r>
      <w:proofErr w:type="spellEnd"/>
      <w:r w:rsidRPr="00B9491F">
        <w:rPr>
          <w:rFonts w:eastAsiaTheme="minorEastAsia"/>
        </w:rPr>
        <w:t xml:space="preserve"> et </w:t>
      </w:r>
      <w:proofErr w:type="spellStart"/>
      <w:r w:rsidRPr="00B9491F">
        <w:rPr>
          <w:rFonts w:eastAsiaTheme="minorEastAsia"/>
        </w:rPr>
        <w:t>Cosmochimica</w:t>
      </w:r>
      <w:proofErr w:type="spellEnd"/>
      <w:r w:rsidRPr="00B9491F">
        <w:rPr>
          <w:rFonts w:eastAsiaTheme="minorEastAsia"/>
        </w:rPr>
        <w:t xml:space="preserve"> Acta, v. 205, p. 168–186,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10.1016/j.gca.2017.01.027.</w:t>
      </w:r>
    </w:p>
    <w:p w:rsidR="00C0653A" w:rsidRDefault="00C0653A" w:rsidP="00C0653A">
      <w:pPr>
        <w:spacing w:after="120"/>
        <w:ind w:left="720" w:hanging="720"/>
        <w:rPr>
          <w:rFonts w:eastAsiaTheme="minorEastAsia"/>
        </w:rPr>
      </w:pPr>
      <w:r w:rsidRPr="00B9491F">
        <w:rPr>
          <w:rFonts w:eastAsiaTheme="minorEastAsia"/>
        </w:rPr>
        <w:lastRenderedPageBreak/>
        <w:t xml:space="preserve">Ye, Y., Zhang, S., Wang, H., Wang, X., Tan, C., Li, M., Wu, C., and Canfield, D.E., 2021, Black shale Mo isotope record reveals dynamic ocean redox during the Mesoproterozoic Era: Geochemical Perspectives Letters, v. 18, p. 16–21, </w:t>
      </w:r>
      <w:r w:rsidRPr="00F40A3F">
        <w:rPr>
          <w:rFonts w:eastAsiaTheme="minorEastAsia"/>
        </w:rPr>
        <w:t>https://doi.org/</w:t>
      </w:r>
      <w:r w:rsidRPr="00B9491F">
        <w:rPr>
          <w:rFonts w:eastAsiaTheme="minorEastAsia"/>
        </w:rPr>
        <w:t>10.7185/GEOCHEMLET.2118.</w:t>
      </w:r>
    </w:p>
    <w:p w:rsidR="00C0653A" w:rsidRDefault="00C0653A" w:rsidP="00C0653A">
      <w:pPr>
        <w:spacing w:afterLines="120" w:after="288"/>
        <w:ind w:left="720" w:hanging="720"/>
      </w:pPr>
      <w:proofErr w:type="spellStart"/>
      <w:r>
        <w:t>Yierpan</w:t>
      </w:r>
      <w:proofErr w:type="spellEnd"/>
      <w:r>
        <w:t xml:space="preserve">, A., König, S., </w:t>
      </w:r>
      <w:proofErr w:type="spellStart"/>
      <w:r>
        <w:t>Labidi</w:t>
      </w:r>
      <w:proofErr w:type="spellEnd"/>
      <w:r>
        <w:t xml:space="preserve">, J., and Schoenberg, R., 2020, Recycled selenium in hot spot–influenced lavas records ocean-atmosphere oxygenation: Science Advances, v. 6, p. eabb6179, </w:t>
      </w:r>
      <w:r w:rsidRPr="009C2935">
        <w:t>https://doi.org/</w:t>
      </w:r>
      <w:r>
        <w:t>10.1126/SCIADV.ABB6179.</w:t>
      </w:r>
    </w:p>
    <w:p w:rsidR="00C0653A" w:rsidRDefault="00C0653A" w:rsidP="00C0653A">
      <w:pPr>
        <w:rPr>
          <w:rFonts w:eastAsiaTheme="minorEastAsia"/>
        </w:rPr>
      </w:pPr>
    </w:p>
    <w:p w:rsidR="00C0653A" w:rsidRDefault="00C0653A" w:rsidP="00C0653A">
      <w:pPr>
        <w:rPr>
          <w:rFonts w:eastAsiaTheme="minorEastAsia"/>
        </w:rPr>
      </w:pPr>
    </w:p>
    <w:p w:rsidR="00C0653A" w:rsidRPr="00E2470A" w:rsidRDefault="00C0653A" w:rsidP="00C0653A">
      <w:pPr>
        <w:rPr>
          <w:rFonts w:eastAsiaTheme="minorEastAsia"/>
        </w:rPr>
      </w:pPr>
    </w:p>
    <w:p w:rsidR="00270C73" w:rsidRDefault="00270C73">
      <w:bookmarkStart w:id="4" w:name="_GoBack"/>
      <w:bookmarkEnd w:id="4"/>
    </w:p>
    <w:sectPr w:rsidR="00270C73" w:rsidSect="00C77C0B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74858"/>
    <w:multiLevelType w:val="hybridMultilevel"/>
    <w:tmpl w:val="9F8C2B82"/>
    <w:lvl w:ilvl="0" w:tplc="85581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3A"/>
    <w:rsid w:val="00270C73"/>
    <w:rsid w:val="00C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09BB6-4AA5-43C6-A89F-707CD96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53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53A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53A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653A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53A"/>
    <w:rPr>
      <w:rFonts w:ascii="Arial" w:eastAsiaTheme="majorEastAsia" w:hAnsi="Arial" w:cstheme="majorBidi"/>
      <w:sz w:val="28"/>
      <w:szCs w:val="24"/>
    </w:rPr>
  </w:style>
  <w:style w:type="paragraph" w:styleId="NoSpacing">
    <w:name w:val="No Spacing"/>
    <w:uiPriority w:val="1"/>
    <w:qFormat/>
    <w:rsid w:val="00C0653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Quote">
    <w:name w:val="Quote"/>
    <w:aliases w:val="Bildunterschrift"/>
    <w:basedOn w:val="Normal"/>
    <w:next w:val="Normal"/>
    <w:link w:val="QuoteChar"/>
    <w:uiPriority w:val="29"/>
    <w:qFormat/>
    <w:rsid w:val="00C0653A"/>
    <w:pPr>
      <w:spacing w:before="120" w:after="120" w:line="240" w:lineRule="auto"/>
    </w:pPr>
    <w:rPr>
      <w:i/>
      <w:iCs/>
      <w:sz w:val="20"/>
    </w:rPr>
  </w:style>
  <w:style w:type="character" w:customStyle="1" w:styleId="QuoteChar">
    <w:name w:val="Quote Char"/>
    <w:aliases w:val="Bildunterschrift Char"/>
    <w:basedOn w:val="DefaultParagraphFont"/>
    <w:link w:val="Quote"/>
    <w:uiPriority w:val="29"/>
    <w:rsid w:val="00C0653A"/>
    <w:rPr>
      <w:rFonts w:ascii="Times New Roman" w:hAnsi="Times New Roman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 KUMAR TRIPATHI</dc:creator>
  <cp:keywords/>
  <dc:description/>
  <cp:lastModifiedBy>PUNIT KUMAR TRIPATHI</cp:lastModifiedBy>
  <cp:revision>1</cp:revision>
  <dcterms:created xsi:type="dcterms:W3CDTF">2023-10-24T23:20:00Z</dcterms:created>
  <dcterms:modified xsi:type="dcterms:W3CDTF">2023-10-24T23:21:00Z</dcterms:modified>
</cp:coreProperties>
</file>