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E54AB" w14:textId="77777777" w:rsidR="00654E8F" w:rsidRPr="001549D3" w:rsidRDefault="00654E8F" w:rsidP="0001436A">
      <w:pPr>
        <w:pStyle w:val="SupplementaryMaterial"/>
        <w:rPr>
          <w:b w:val="0"/>
        </w:rPr>
      </w:pPr>
      <w:r w:rsidRPr="001549D3">
        <w:t>Supplementary Material</w:t>
      </w:r>
    </w:p>
    <w:p w14:paraId="0FD4920B" w14:textId="77777777" w:rsidR="00426BCE" w:rsidRDefault="00426BCE" w:rsidP="00426BCE">
      <w:pPr>
        <w:pStyle w:val="AuthorList"/>
        <w:rPr>
          <w:sz w:val="32"/>
          <w:szCs w:val="32"/>
        </w:rPr>
      </w:pPr>
      <w:r>
        <w:rPr>
          <w:sz w:val="32"/>
          <w:szCs w:val="32"/>
        </w:rPr>
        <w:t>The importance of the soluble and colloidal pools for trace metal cycling in deep-sea pore waters</w:t>
      </w:r>
    </w:p>
    <w:p w14:paraId="68F3577B" w14:textId="77777777" w:rsidR="00426BCE" w:rsidRDefault="00426BCE" w:rsidP="00426BCE">
      <w:pPr>
        <w:pStyle w:val="AuthorList"/>
        <w:rPr>
          <w:lang w:val="de-DE"/>
        </w:rPr>
      </w:pPr>
      <w:r>
        <w:rPr>
          <w:lang w:val="de-DE"/>
        </w:rPr>
        <w:t>Sophie A. L. Paul</w:t>
      </w:r>
      <w:r>
        <w:rPr>
          <w:vertAlign w:val="superscript"/>
          <w:lang w:val="de-DE"/>
        </w:rPr>
        <w:t>1,2*</w:t>
      </w:r>
      <w:r>
        <w:rPr>
          <w:lang w:val="de-DE"/>
        </w:rPr>
        <w:t>, Katja Schmidt</w:t>
      </w:r>
      <w:r>
        <w:rPr>
          <w:vertAlign w:val="superscript"/>
          <w:lang w:val="de-DE"/>
        </w:rPr>
        <w:t>3</w:t>
      </w:r>
      <w:r>
        <w:rPr>
          <w:lang w:val="de-DE"/>
        </w:rPr>
        <w:t>, Eric P. Achterberg</w:t>
      </w:r>
      <w:r>
        <w:rPr>
          <w:vertAlign w:val="superscript"/>
          <w:lang w:val="de-DE"/>
        </w:rPr>
        <w:t>2</w:t>
      </w:r>
      <w:r>
        <w:rPr>
          <w:lang w:val="de-DE"/>
        </w:rPr>
        <w:t>, Andrea Koschinsky</w:t>
      </w:r>
      <w:r>
        <w:rPr>
          <w:vertAlign w:val="superscript"/>
          <w:lang w:val="de-DE"/>
        </w:rPr>
        <w:t>1</w:t>
      </w:r>
      <w:r>
        <w:rPr>
          <w:lang w:val="de-DE"/>
        </w:rPr>
        <w:t xml:space="preserve"> </w:t>
      </w:r>
    </w:p>
    <w:p w14:paraId="5A6FFF52" w14:textId="77777777" w:rsidR="00426BCE" w:rsidRDefault="00426BCE" w:rsidP="00426BCE">
      <w:pPr>
        <w:spacing w:before="240" w:after="0"/>
        <w:rPr>
          <w:rFonts w:cs="Times New Roman"/>
          <w:szCs w:val="24"/>
        </w:rPr>
      </w:pPr>
      <w:r>
        <w:rPr>
          <w:rFonts w:cs="Times New Roman"/>
          <w:szCs w:val="24"/>
          <w:vertAlign w:val="superscript"/>
        </w:rPr>
        <w:t>1</w:t>
      </w:r>
      <w:r>
        <w:t xml:space="preserve"> </w:t>
      </w:r>
      <w:r>
        <w:rPr>
          <w:rFonts w:cs="Times New Roman"/>
          <w:szCs w:val="24"/>
        </w:rPr>
        <w:t>School of Science, Constructor University, Campus Ring 1, 28759 Bremen, Germany</w:t>
      </w:r>
    </w:p>
    <w:p w14:paraId="15A2CD60" w14:textId="77777777" w:rsidR="00426BCE" w:rsidRDefault="00426BCE" w:rsidP="00426BCE">
      <w:pPr>
        <w:spacing w:before="240" w:after="0"/>
        <w:rPr>
          <w:rFonts w:cs="Times New Roman"/>
          <w:szCs w:val="24"/>
        </w:rPr>
      </w:pPr>
      <w:r>
        <w:rPr>
          <w:rFonts w:cs="Times New Roman"/>
          <w:szCs w:val="24"/>
          <w:vertAlign w:val="superscript"/>
        </w:rPr>
        <w:t>2</w:t>
      </w:r>
      <w:r>
        <w:t xml:space="preserve"> </w:t>
      </w:r>
      <w:r>
        <w:rPr>
          <w:rFonts w:cs="Times New Roman"/>
          <w:szCs w:val="24"/>
        </w:rPr>
        <w:t xml:space="preserve">GEOMAR Helmholtz Centre for Ocean Research Kiel, 24148 Kiel, Germany </w:t>
      </w:r>
    </w:p>
    <w:p w14:paraId="21AD9486" w14:textId="5F371589" w:rsidR="00426BCE" w:rsidRDefault="00426BCE" w:rsidP="00426BCE">
      <w:pPr>
        <w:spacing w:before="240" w:after="0"/>
        <w:rPr>
          <w:rFonts w:cs="Times New Roman"/>
          <w:szCs w:val="24"/>
        </w:rPr>
      </w:pPr>
      <w:r>
        <w:rPr>
          <w:rFonts w:cs="Times New Roman"/>
          <w:szCs w:val="24"/>
          <w:vertAlign w:val="superscript"/>
        </w:rPr>
        <w:t>3</w:t>
      </w:r>
      <w:r>
        <w:t xml:space="preserve"> </w:t>
      </w:r>
      <w:r>
        <w:rPr>
          <w:rFonts w:cs="Times New Roman"/>
          <w:szCs w:val="24"/>
        </w:rPr>
        <w:t>Federal Institute for Geoscience</w:t>
      </w:r>
      <w:r w:rsidR="00264291">
        <w:rPr>
          <w:rFonts w:cs="Times New Roman"/>
          <w:szCs w:val="24"/>
        </w:rPr>
        <w:t>s</w:t>
      </w:r>
      <w:r>
        <w:rPr>
          <w:rFonts w:cs="Times New Roman"/>
          <w:szCs w:val="24"/>
        </w:rPr>
        <w:t xml:space="preserve"> and Natural Resources (BGR), Stilleweg 2, 30655 Hannover, Germany</w:t>
      </w:r>
    </w:p>
    <w:p w14:paraId="3D6184D0" w14:textId="7103D0DA" w:rsidR="00426BCE" w:rsidRPr="00426BCE" w:rsidRDefault="00426BCE" w:rsidP="00426BCE">
      <w:pPr>
        <w:rPr>
          <w:rFonts w:cs="Times New Roman"/>
          <w:b/>
          <w:sz w:val="22"/>
        </w:rPr>
      </w:pPr>
      <w:r w:rsidRPr="00426BCE">
        <w:rPr>
          <w:rFonts w:cs="Times New Roman"/>
          <w:b/>
          <w:noProof/>
        </w:rPr>
        <w:drawing>
          <wp:inline distT="0" distB="0" distL="0" distR="0" wp14:anchorId="5E960C44" wp14:editId="63A2A0E8">
            <wp:extent cx="5943600" cy="45510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551045"/>
                    </a:xfrm>
                    <a:prstGeom prst="rect">
                      <a:avLst/>
                    </a:prstGeom>
                    <a:noFill/>
                    <a:ln>
                      <a:noFill/>
                    </a:ln>
                  </pic:spPr>
                </pic:pic>
              </a:graphicData>
            </a:graphic>
          </wp:inline>
        </w:drawing>
      </w:r>
    </w:p>
    <w:p w14:paraId="6130FFEB" w14:textId="547621CF" w:rsidR="00426BCE" w:rsidRDefault="00426BCE" w:rsidP="00426BCE">
      <w:pPr>
        <w:jc w:val="both"/>
        <w:rPr>
          <w:rFonts w:cs="Times New Roman"/>
          <w:szCs w:val="24"/>
        </w:rPr>
      </w:pPr>
      <w:r>
        <w:rPr>
          <w:rFonts w:cs="Times New Roman"/>
          <w:b/>
          <w:szCs w:val="24"/>
        </w:rPr>
        <w:t xml:space="preserve">Supplementary </w:t>
      </w:r>
      <w:r w:rsidRPr="00426BCE">
        <w:rPr>
          <w:rFonts w:cs="Times New Roman"/>
          <w:b/>
          <w:szCs w:val="24"/>
        </w:rPr>
        <w:t xml:space="preserve">Figure </w:t>
      </w:r>
      <w:r w:rsidR="00AC03E6">
        <w:rPr>
          <w:rFonts w:cs="Times New Roman"/>
          <w:b/>
          <w:szCs w:val="24"/>
        </w:rPr>
        <w:t>S</w:t>
      </w:r>
      <w:r w:rsidRPr="00426BCE">
        <w:rPr>
          <w:rFonts w:cs="Times New Roman"/>
          <w:b/>
          <w:szCs w:val="24"/>
        </w:rPr>
        <w:t xml:space="preserve">1: </w:t>
      </w:r>
      <w:r w:rsidRPr="00426BCE">
        <w:rPr>
          <w:rFonts w:cs="Times New Roman"/>
          <w:szCs w:val="24"/>
        </w:rPr>
        <w:t>Solid-phase Mn for the German area, the German No Nodule area, and the Belgian area for selected cores. Manganese concentrations are highest in the German area, lower in the surface sediments of the No Nodule area and overall lower in the Belgian area. The peak at 3 cm in the Belgian area suggests the presence of micronodules, leading to the substantially higher Mn content locally.</w:t>
      </w:r>
    </w:p>
    <w:p w14:paraId="3C94BC56" w14:textId="77777777" w:rsidR="00426BCE" w:rsidRPr="00426BCE" w:rsidRDefault="00426BCE" w:rsidP="00426BCE">
      <w:pPr>
        <w:jc w:val="both"/>
        <w:rPr>
          <w:rFonts w:cs="Times New Roman"/>
          <w:szCs w:val="24"/>
        </w:rPr>
      </w:pPr>
    </w:p>
    <w:p w14:paraId="76B18DE3" w14:textId="77777777" w:rsidR="00426BCE" w:rsidRPr="00426BCE" w:rsidRDefault="00426BCE" w:rsidP="00426BCE">
      <w:pPr>
        <w:rPr>
          <w:rFonts w:cs="Times New Roman"/>
          <w:b/>
          <w:szCs w:val="24"/>
        </w:rPr>
      </w:pPr>
      <w:r w:rsidRPr="00426BCE">
        <w:rPr>
          <w:rFonts w:cs="Times New Roman"/>
          <w:b/>
          <w:szCs w:val="24"/>
        </w:rPr>
        <w:t>Solid-phase analyses</w:t>
      </w:r>
    </w:p>
    <w:p w14:paraId="149D3A3A" w14:textId="5496475F" w:rsidR="00426BCE" w:rsidRPr="00426BCE" w:rsidRDefault="00426BCE" w:rsidP="00426BCE">
      <w:pPr>
        <w:jc w:val="both"/>
        <w:rPr>
          <w:rFonts w:cs="Times New Roman"/>
          <w:szCs w:val="24"/>
        </w:rPr>
      </w:pPr>
      <w:r w:rsidRPr="00426BCE">
        <w:rPr>
          <w:rFonts w:cs="Times New Roman"/>
          <w:szCs w:val="24"/>
        </w:rPr>
        <w:t>Solid-phase analyses of Mn were performed on digestion solutions (for details see Paul et al., 2018) of 50 mg freeze-dried, homogenized sediments from which pore water had been extracted by centrifuging. The sampling procedures are described in the main text. Manganese was analyzed at Jacobs University</w:t>
      </w:r>
      <w:r w:rsidR="00264291">
        <w:rPr>
          <w:rFonts w:cs="Times New Roman"/>
          <w:szCs w:val="24"/>
        </w:rPr>
        <w:t xml:space="preserve"> Bremen (now Constructor University)</w:t>
      </w:r>
      <w:r w:rsidRPr="00426BCE">
        <w:rPr>
          <w:rFonts w:cs="Times New Roman"/>
          <w:szCs w:val="24"/>
        </w:rPr>
        <w:t xml:space="preserve"> using inductively coupled plasma optical emission spectrometry (ICPOES, </w:t>
      </w:r>
      <w:proofErr w:type="spellStart"/>
      <w:r w:rsidRPr="00426BCE">
        <w:rPr>
          <w:rFonts w:cs="Times New Roman"/>
          <w:szCs w:val="24"/>
        </w:rPr>
        <w:t>SpectroCiros</w:t>
      </w:r>
      <w:proofErr w:type="spellEnd"/>
      <w:r w:rsidRPr="00426BCE">
        <w:rPr>
          <w:rFonts w:cs="Times New Roman"/>
          <w:szCs w:val="24"/>
        </w:rPr>
        <w:t xml:space="preserve"> Vision Side </w:t>
      </w:r>
      <w:proofErr w:type="gramStart"/>
      <w:r w:rsidRPr="00426BCE">
        <w:rPr>
          <w:rFonts w:cs="Times New Roman"/>
          <w:szCs w:val="24"/>
        </w:rPr>
        <w:t>On</w:t>
      </w:r>
      <w:proofErr w:type="gramEnd"/>
      <w:r w:rsidRPr="00426BCE">
        <w:rPr>
          <w:rFonts w:cs="Times New Roman"/>
          <w:szCs w:val="24"/>
        </w:rPr>
        <w:t xml:space="preserve"> Plasma instrument). To check analytical accuracy and precision, the certified reference materials BHVO-2 (USGS) and MESS-4 (NRC) were digested and analyzed with the samples (Table S1).</w:t>
      </w:r>
    </w:p>
    <w:p w14:paraId="6ECF77BE" w14:textId="0598997A" w:rsidR="00426BCE" w:rsidRPr="00426BCE" w:rsidRDefault="00AC03E6" w:rsidP="00426BCE">
      <w:pPr>
        <w:jc w:val="both"/>
        <w:rPr>
          <w:rFonts w:cs="Times New Roman"/>
          <w:szCs w:val="24"/>
        </w:rPr>
      </w:pPr>
      <w:r>
        <w:rPr>
          <w:rFonts w:cs="Times New Roman"/>
          <w:szCs w:val="24"/>
        </w:rPr>
        <w:t xml:space="preserve">Supplementary </w:t>
      </w:r>
      <w:bookmarkStart w:id="0" w:name="_GoBack"/>
      <w:bookmarkEnd w:id="0"/>
      <w:r w:rsidR="00426BCE" w:rsidRPr="00426BCE">
        <w:rPr>
          <w:rFonts w:cs="Times New Roman"/>
          <w:szCs w:val="24"/>
        </w:rPr>
        <w:t xml:space="preserve">Table </w:t>
      </w:r>
      <w:r w:rsidR="00264291">
        <w:rPr>
          <w:rFonts w:cs="Times New Roman"/>
          <w:szCs w:val="24"/>
        </w:rPr>
        <w:t>S</w:t>
      </w:r>
      <w:r w:rsidR="00426BCE" w:rsidRPr="00426BCE">
        <w:rPr>
          <w:rFonts w:cs="Times New Roman"/>
          <w:szCs w:val="24"/>
        </w:rPr>
        <w:t>1: Information on limit of quantification (LOQ), accuracy, and precision for Mn solid-phase analyses. n=5 digested samples, averages from multiple measurements per ICP-OES run taken for the calculations, if the digested sample was measure more than once.</w:t>
      </w:r>
    </w:p>
    <w:tbl>
      <w:tblPr>
        <w:tblStyle w:val="Tabellenrast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963"/>
        <w:gridCol w:w="1590"/>
        <w:gridCol w:w="1607"/>
        <w:gridCol w:w="1591"/>
        <w:gridCol w:w="1607"/>
      </w:tblGrid>
      <w:tr w:rsidR="00426BCE" w:rsidRPr="00426BCE" w14:paraId="51312F7D" w14:textId="77777777" w:rsidTr="00426BCE">
        <w:tc>
          <w:tcPr>
            <w:tcW w:w="704" w:type="dxa"/>
            <w:tcBorders>
              <w:top w:val="single" w:sz="4" w:space="0" w:color="auto"/>
              <w:left w:val="nil"/>
              <w:bottom w:val="nil"/>
              <w:right w:val="nil"/>
            </w:tcBorders>
          </w:tcPr>
          <w:p w14:paraId="2831A877" w14:textId="77777777" w:rsidR="00426BCE" w:rsidRPr="00426BCE" w:rsidRDefault="00426BCE">
            <w:pPr>
              <w:spacing w:after="0"/>
              <w:jc w:val="both"/>
              <w:rPr>
                <w:rFonts w:cs="Times New Roman"/>
                <w:szCs w:val="24"/>
              </w:rPr>
            </w:pPr>
          </w:p>
        </w:tc>
        <w:tc>
          <w:tcPr>
            <w:tcW w:w="1963" w:type="dxa"/>
            <w:tcBorders>
              <w:top w:val="single" w:sz="4" w:space="0" w:color="auto"/>
              <w:left w:val="nil"/>
              <w:bottom w:val="nil"/>
              <w:right w:val="nil"/>
            </w:tcBorders>
            <w:hideMark/>
          </w:tcPr>
          <w:p w14:paraId="14189B33" w14:textId="77777777" w:rsidR="00426BCE" w:rsidRPr="00426BCE" w:rsidRDefault="00426BCE">
            <w:pPr>
              <w:spacing w:after="0"/>
              <w:rPr>
                <w:rFonts w:cs="Times New Roman"/>
                <w:b/>
                <w:szCs w:val="24"/>
                <w:vertAlign w:val="superscript"/>
              </w:rPr>
            </w:pPr>
            <w:proofErr w:type="spellStart"/>
            <w:r w:rsidRPr="00426BCE">
              <w:rPr>
                <w:rFonts w:cs="Times New Roman"/>
                <w:b/>
                <w:szCs w:val="24"/>
              </w:rPr>
              <w:t>LOQ</w:t>
            </w:r>
            <w:r w:rsidRPr="00426BCE">
              <w:rPr>
                <w:rFonts w:cs="Times New Roman"/>
                <w:b/>
                <w:szCs w:val="24"/>
                <w:vertAlign w:val="superscript"/>
              </w:rPr>
              <w:t>a</w:t>
            </w:r>
            <w:proofErr w:type="spellEnd"/>
            <w:r w:rsidRPr="00426BCE">
              <w:rPr>
                <w:rFonts w:cs="Times New Roman"/>
                <w:b/>
                <w:szCs w:val="24"/>
                <w:vertAlign w:val="superscript"/>
              </w:rPr>
              <w:t xml:space="preserve"> </w:t>
            </w:r>
          </w:p>
          <w:p w14:paraId="0F06AF53" w14:textId="77777777" w:rsidR="00426BCE" w:rsidRPr="00426BCE" w:rsidRDefault="00426BCE">
            <w:pPr>
              <w:spacing w:after="0"/>
              <w:rPr>
                <w:rFonts w:cs="Times New Roman"/>
                <w:b/>
                <w:szCs w:val="24"/>
              </w:rPr>
            </w:pPr>
            <w:r w:rsidRPr="00426BCE">
              <w:rPr>
                <w:rFonts w:cs="Times New Roman"/>
                <w:b/>
                <w:szCs w:val="24"/>
              </w:rPr>
              <w:t>[mg/kg]</w:t>
            </w:r>
          </w:p>
        </w:tc>
        <w:tc>
          <w:tcPr>
            <w:tcW w:w="1590" w:type="dxa"/>
            <w:tcBorders>
              <w:top w:val="single" w:sz="4" w:space="0" w:color="auto"/>
              <w:left w:val="nil"/>
              <w:bottom w:val="nil"/>
              <w:right w:val="nil"/>
            </w:tcBorders>
            <w:hideMark/>
          </w:tcPr>
          <w:p w14:paraId="0E80B4AF" w14:textId="77777777" w:rsidR="00426BCE" w:rsidRPr="00426BCE" w:rsidRDefault="00426BCE">
            <w:pPr>
              <w:spacing w:after="0"/>
              <w:jc w:val="both"/>
              <w:rPr>
                <w:rFonts w:cs="Times New Roman"/>
                <w:b/>
                <w:szCs w:val="24"/>
              </w:rPr>
            </w:pPr>
            <w:r w:rsidRPr="00426BCE">
              <w:rPr>
                <w:rFonts w:cs="Times New Roman"/>
                <w:b/>
                <w:szCs w:val="24"/>
              </w:rPr>
              <w:t>MESS-4 reference</w:t>
            </w:r>
          </w:p>
        </w:tc>
        <w:tc>
          <w:tcPr>
            <w:tcW w:w="1607" w:type="dxa"/>
            <w:tcBorders>
              <w:top w:val="single" w:sz="4" w:space="0" w:color="auto"/>
              <w:left w:val="nil"/>
              <w:bottom w:val="nil"/>
              <w:right w:val="nil"/>
            </w:tcBorders>
            <w:hideMark/>
          </w:tcPr>
          <w:p w14:paraId="7AA05385" w14:textId="77777777" w:rsidR="00426BCE" w:rsidRPr="00426BCE" w:rsidRDefault="00426BCE">
            <w:pPr>
              <w:spacing w:after="0"/>
              <w:jc w:val="both"/>
              <w:rPr>
                <w:rFonts w:cs="Times New Roman"/>
                <w:b/>
                <w:szCs w:val="24"/>
              </w:rPr>
            </w:pPr>
            <w:r w:rsidRPr="00426BCE">
              <w:rPr>
                <w:rFonts w:cs="Times New Roman"/>
                <w:b/>
                <w:szCs w:val="24"/>
              </w:rPr>
              <w:t>MESS-4 measured</w:t>
            </w:r>
          </w:p>
        </w:tc>
        <w:tc>
          <w:tcPr>
            <w:tcW w:w="1591" w:type="dxa"/>
            <w:tcBorders>
              <w:top w:val="single" w:sz="4" w:space="0" w:color="auto"/>
              <w:left w:val="nil"/>
              <w:bottom w:val="nil"/>
              <w:right w:val="nil"/>
            </w:tcBorders>
            <w:hideMark/>
          </w:tcPr>
          <w:p w14:paraId="73B10D20" w14:textId="77777777" w:rsidR="00426BCE" w:rsidRPr="00426BCE" w:rsidRDefault="00426BCE">
            <w:pPr>
              <w:spacing w:after="0"/>
              <w:jc w:val="both"/>
              <w:rPr>
                <w:rFonts w:cs="Times New Roman"/>
                <w:b/>
                <w:szCs w:val="24"/>
              </w:rPr>
            </w:pPr>
            <w:r w:rsidRPr="00426BCE">
              <w:rPr>
                <w:rFonts w:cs="Times New Roman"/>
                <w:b/>
                <w:szCs w:val="24"/>
              </w:rPr>
              <w:t>BHVO-2 reference</w:t>
            </w:r>
          </w:p>
        </w:tc>
        <w:tc>
          <w:tcPr>
            <w:tcW w:w="1607" w:type="dxa"/>
            <w:tcBorders>
              <w:top w:val="single" w:sz="4" w:space="0" w:color="auto"/>
              <w:left w:val="nil"/>
              <w:bottom w:val="nil"/>
              <w:right w:val="nil"/>
            </w:tcBorders>
            <w:hideMark/>
          </w:tcPr>
          <w:p w14:paraId="6A516F8C" w14:textId="77777777" w:rsidR="00426BCE" w:rsidRPr="00426BCE" w:rsidRDefault="00426BCE">
            <w:pPr>
              <w:spacing w:after="0"/>
              <w:jc w:val="both"/>
              <w:rPr>
                <w:rFonts w:cs="Times New Roman"/>
                <w:b/>
                <w:szCs w:val="24"/>
              </w:rPr>
            </w:pPr>
            <w:r w:rsidRPr="00426BCE">
              <w:rPr>
                <w:rFonts w:cs="Times New Roman"/>
                <w:b/>
                <w:szCs w:val="24"/>
              </w:rPr>
              <w:t>BHVO-2 measured</w:t>
            </w:r>
          </w:p>
        </w:tc>
      </w:tr>
      <w:tr w:rsidR="00426BCE" w:rsidRPr="00426BCE" w14:paraId="311CABE9" w14:textId="77777777" w:rsidTr="00426BCE">
        <w:tc>
          <w:tcPr>
            <w:tcW w:w="704" w:type="dxa"/>
            <w:tcBorders>
              <w:top w:val="nil"/>
              <w:left w:val="nil"/>
              <w:bottom w:val="single" w:sz="4" w:space="0" w:color="auto"/>
              <w:right w:val="nil"/>
            </w:tcBorders>
            <w:hideMark/>
          </w:tcPr>
          <w:p w14:paraId="66F7C23F" w14:textId="77777777" w:rsidR="00426BCE" w:rsidRPr="00426BCE" w:rsidRDefault="00426BCE">
            <w:pPr>
              <w:spacing w:after="0"/>
              <w:jc w:val="both"/>
              <w:rPr>
                <w:rFonts w:cs="Times New Roman"/>
                <w:b/>
                <w:szCs w:val="24"/>
              </w:rPr>
            </w:pPr>
            <w:r w:rsidRPr="00426BCE">
              <w:rPr>
                <w:rFonts w:cs="Times New Roman"/>
                <w:b/>
                <w:szCs w:val="24"/>
              </w:rPr>
              <w:t>Mn</w:t>
            </w:r>
          </w:p>
        </w:tc>
        <w:tc>
          <w:tcPr>
            <w:tcW w:w="1963" w:type="dxa"/>
            <w:tcBorders>
              <w:top w:val="nil"/>
              <w:left w:val="nil"/>
              <w:bottom w:val="single" w:sz="4" w:space="0" w:color="auto"/>
              <w:right w:val="nil"/>
            </w:tcBorders>
            <w:hideMark/>
          </w:tcPr>
          <w:p w14:paraId="49E3E40C" w14:textId="77777777" w:rsidR="00426BCE" w:rsidRPr="00426BCE" w:rsidRDefault="00426BCE">
            <w:pPr>
              <w:spacing w:after="0"/>
              <w:jc w:val="both"/>
              <w:rPr>
                <w:rFonts w:cs="Times New Roman"/>
                <w:szCs w:val="24"/>
              </w:rPr>
            </w:pPr>
            <w:r w:rsidRPr="00426BCE">
              <w:rPr>
                <w:rFonts w:cs="Times New Roman"/>
                <w:szCs w:val="24"/>
              </w:rPr>
              <w:t>21-97</w:t>
            </w:r>
          </w:p>
        </w:tc>
        <w:tc>
          <w:tcPr>
            <w:tcW w:w="1590" w:type="dxa"/>
            <w:tcBorders>
              <w:top w:val="nil"/>
              <w:left w:val="nil"/>
              <w:bottom w:val="single" w:sz="4" w:space="0" w:color="auto"/>
              <w:right w:val="nil"/>
            </w:tcBorders>
            <w:hideMark/>
          </w:tcPr>
          <w:p w14:paraId="46B06F2F" w14:textId="77777777" w:rsidR="00426BCE" w:rsidRPr="00426BCE" w:rsidRDefault="00426BCE">
            <w:pPr>
              <w:spacing w:after="0"/>
              <w:jc w:val="both"/>
              <w:rPr>
                <w:rFonts w:cs="Times New Roman"/>
                <w:szCs w:val="24"/>
              </w:rPr>
            </w:pPr>
            <w:r w:rsidRPr="00426BCE">
              <w:rPr>
                <w:rFonts w:cs="Times New Roman"/>
                <w:szCs w:val="24"/>
              </w:rPr>
              <w:t>298±14</w:t>
            </w:r>
          </w:p>
        </w:tc>
        <w:tc>
          <w:tcPr>
            <w:tcW w:w="1607" w:type="dxa"/>
            <w:tcBorders>
              <w:top w:val="nil"/>
              <w:left w:val="nil"/>
              <w:bottom w:val="single" w:sz="4" w:space="0" w:color="auto"/>
              <w:right w:val="nil"/>
            </w:tcBorders>
            <w:hideMark/>
          </w:tcPr>
          <w:p w14:paraId="79A63B35" w14:textId="77777777" w:rsidR="00426BCE" w:rsidRPr="00426BCE" w:rsidRDefault="00426BCE">
            <w:pPr>
              <w:spacing w:after="0"/>
              <w:jc w:val="both"/>
              <w:rPr>
                <w:rFonts w:cs="Times New Roman"/>
                <w:szCs w:val="24"/>
              </w:rPr>
            </w:pPr>
            <w:r w:rsidRPr="00426BCE">
              <w:rPr>
                <w:rFonts w:cs="Times New Roman"/>
                <w:szCs w:val="24"/>
              </w:rPr>
              <w:t>286±12</w:t>
            </w:r>
          </w:p>
        </w:tc>
        <w:tc>
          <w:tcPr>
            <w:tcW w:w="1591" w:type="dxa"/>
            <w:tcBorders>
              <w:top w:val="nil"/>
              <w:left w:val="nil"/>
              <w:bottom w:val="single" w:sz="4" w:space="0" w:color="auto"/>
              <w:right w:val="nil"/>
            </w:tcBorders>
            <w:hideMark/>
          </w:tcPr>
          <w:p w14:paraId="793A57FC" w14:textId="77777777" w:rsidR="00426BCE" w:rsidRPr="00426BCE" w:rsidRDefault="00426BCE">
            <w:pPr>
              <w:spacing w:after="0"/>
              <w:jc w:val="both"/>
              <w:rPr>
                <w:rFonts w:cs="Times New Roman"/>
                <w:szCs w:val="24"/>
              </w:rPr>
            </w:pPr>
            <w:r w:rsidRPr="00426BCE">
              <w:rPr>
                <w:rFonts w:cs="Times New Roman"/>
                <w:szCs w:val="24"/>
              </w:rPr>
              <w:t>1290±40</w:t>
            </w:r>
          </w:p>
        </w:tc>
        <w:tc>
          <w:tcPr>
            <w:tcW w:w="1607" w:type="dxa"/>
            <w:tcBorders>
              <w:top w:val="nil"/>
              <w:left w:val="nil"/>
              <w:bottom w:val="single" w:sz="4" w:space="0" w:color="auto"/>
              <w:right w:val="nil"/>
            </w:tcBorders>
            <w:hideMark/>
          </w:tcPr>
          <w:p w14:paraId="4E4E68F0" w14:textId="77777777" w:rsidR="00426BCE" w:rsidRPr="00426BCE" w:rsidRDefault="00426BCE">
            <w:pPr>
              <w:spacing w:after="0"/>
              <w:jc w:val="both"/>
              <w:rPr>
                <w:rFonts w:cs="Times New Roman"/>
                <w:szCs w:val="24"/>
              </w:rPr>
            </w:pPr>
            <w:r w:rsidRPr="00426BCE">
              <w:rPr>
                <w:rFonts w:cs="Times New Roman"/>
                <w:szCs w:val="24"/>
              </w:rPr>
              <w:t>1364±43</w:t>
            </w:r>
          </w:p>
        </w:tc>
      </w:tr>
    </w:tbl>
    <w:p w14:paraId="33FBD2A0" w14:textId="77777777" w:rsidR="00426BCE" w:rsidRPr="00426BCE" w:rsidRDefault="00426BCE" w:rsidP="00426BCE">
      <w:pPr>
        <w:jc w:val="both"/>
        <w:rPr>
          <w:rFonts w:cs="Times New Roman"/>
          <w:szCs w:val="24"/>
        </w:rPr>
      </w:pPr>
      <w:r w:rsidRPr="00426BCE">
        <w:rPr>
          <w:rFonts w:cs="Times New Roman"/>
          <w:szCs w:val="24"/>
          <w:vertAlign w:val="superscript"/>
        </w:rPr>
        <w:t>a</w:t>
      </w:r>
      <w:r w:rsidRPr="00426BCE">
        <w:rPr>
          <w:rFonts w:cs="Times New Roman"/>
          <w:szCs w:val="24"/>
        </w:rPr>
        <w:t>10 x standard deviation of acid blank per ICP-OES run</w:t>
      </w:r>
    </w:p>
    <w:p w14:paraId="58F1AED1" w14:textId="77777777" w:rsidR="00DE23E8" w:rsidRPr="001549D3" w:rsidRDefault="00DE23E8" w:rsidP="00654E8F">
      <w:pPr>
        <w:spacing w:before="240"/>
      </w:pPr>
    </w:p>
    <w:sectPr w:rsidR="00DE23E8" w:rsidRPr="001549D3" w:rsidSect="0093429D">
      <w:headerReference w:type="even" r:id="rId13"/>
      <w:footerReference w:type="even" r:id="rId14"/>
      <w:footerReference w:type="default" r:id="rId15"/>
      <w:headerReference w:type="first" r:id="rId16"/>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ACC67" w14:textId="77777777" w:rsidR="004335F2" w:rsidRDefault="004335F2" w:rsidP="00117666">
      <w:pPr>
        <w:spacing w:after="0"/>
      </w:pPr>
      <w:r>
        <w:separator/>
      </w:r>
    </w:p>
  </w:endnote>
  <w:endnote w:type="continuationSeparator" w:id="0">
    <w:p w14:paraId="7CB70D8E" w14:textId="77777777" w:rsidR="004335F2" w:rsidRDefault="004335F2"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F7665" w14:textId="77777777" w:rsidR="004335F2" w:rsidRDefault="004335F2" w:rsidP="00117666">
      <w:pPr>
        <w:spacing w:after="0"/>
      </w:pPr>
      <w:r>
        <w:separator/>
      </w:r>
    </w:p>
  </w:footnote>
  <w:footnote w:type="continuationSeparator" w:id="0">
    <w:p w14:paraId="0C7EC78A" w14:textId="77777777" w:rsidR="004335F2" w:rsidRDefault="004335F2"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enabsatz"/>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549D3"/>
    <w:rsid w:val="00160065"/>
    <w:rsid w:val="00177D84"/>
    <w:rsid w:val="00264291"/>
    <w:rsid w:val="00267D18"/>
    <w:rsid w:val="002868E2"/>
    <w:rsid w:val="002869C3"/>
    <w:rsid w:val="002936E4"/>
    <w:rsid w:val="002B4A57"/>
    <w:rsid w:val="002C74CA"/>
    <w:rsid w:val="0035203F"/>
    <w:rsid w:val="003544FB"/>
    <w:rsid w:val="003D2D47"/>
    <w:rsid w:val="003D2F2D"/>
    <w:rsid w:val="00401590"/>
    <w:rsid w:val="00426BCE"/>
    <w:rsid w:val="004335F2"/>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3429D"/>
    <w:rsid w:val="00943573"/>
    <w:rsid w:val="00970F7D"/>
    <w:rsid w:val="00994A3D"/>
    <w:rsid w:val="009C2B12"/>
    <w:rsid w:val="009C70F3"/>
    <w:rsid w:val="00A174D9"/>
    <w:rsid w:val="00A569CD"/>
    <w:rsid w:val="00AB5EE2"/>
    <w:rsid w:val="00AB6715"/>
    <w:rsid w:val="00AC03E6"/>
    <w:rsid w:val="00B1671E"/>
    <w:rsid w:val="00B25EB8"/>
    <w:rsid w:val="00B354E1"/>
    <w:rsid w:val="00B37F4D"/>
    <w:rsid w:val="00B96828"/>
    <w:rsid w:val="00C52A7B"/>
    <w:rsid w:val="00C56BAF"/>
    <w:rsid w:val="00C679AA"/>
    <w:rsid w:val="00C75972"/>
    <w:rsid w:val="00CC0A3A"/>
    <w:rsid w:val="00CD066B"/>
    <w:rsid w:val="00CE4FEE"/>
    <w:rsid w:val="00DB59C3"/>
    <w:rsid w:val="00DC259A"/>
    <w:rsid w:val="00DE23E8"/>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B6715"/>
    <w:pPr>
      <w:spacing w:before="120" w:after="240" w:line="240" w:lineRule="auto"/>
    </w:pPr>
    <w:rPr>
      <w:rFonts w:ascii="Times New Roman" w:hAnsi="Times New Roman"/>
      <w:sz w:val="24"/>
    </w:rPr>
  </w:style>
  <w:style w:type="paragraph" w:styleId="berschrift1">
    <w:name w:val="heading 1"/>
    <w:basedOn w:val="Listenabsatz"/>
    <w:next w:val="Standard"/>
    <w:link w:val="berschrift1Zchn"/>
    <w:uiPriority w:val="2"/>
    <w:qFormat/>
    <w:rsid w:val="00AB6715"/>
    <w:pPr>
      <w:numPr>
        <w:numId w:val="19"/>
      </w:numPr>
      <w:spacing w:before="240"/>
      <w:contextualSpacing w:val="0"/>
      <w:outlineLvl w:val="0"/>
    </w:pPr>
    <w:rPr>
      <w:b/>
    </w:rPr>
  </w:style>
  <w:style w:type="paragraph" w:styleId="berschrift2">
    <w:name w:val="heading 2"/>
    <w:basedOn w:val="berschrift1"/>
    <w:next w:val="Standard"/>
    <w:link w:val="berschrift2Zchn"/>
    <w:uiPriority w:val="2"/>
    <w:qFormat/>
    <w:rsid w:val="00AB6715"/>
    <w:pPr>
      <w:numPr>
        <w:ilvl w:val="1"/>
      </w:numPr>
      <w:spacing w:after="200"/>
      <w:outlineLvl w:val="1"/>
    </w:pPr>
  </w:style>
  <w:style w:type="paragraph" w:styleId="berschrift3">
    <w:name w:val="heading 3"/>
    <w:basedOn w:val="Standard"/>
    <w:next w:val="Standard"/>
    <w:link w:val="berschrift3Zchn"/>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berschrift4">
    <w:name w:val="heading 4"/>
    <w:basedOn w:val="berschrift3"/>
    <w:next w:val="Standard"/>
    <w:link w:val="berschrift4Zchn"/>
    <w:uiPriority w:val="2"/>
    <w:qFormat/>
    <w:rsid w:val="00AB6715"/>
    <w:pPr>
      <w:numPr>
        <w:ilvl w:val="3"/>
      </w:numPr>
      <w:outlineLvl w:val="3"/>
    </w:pPr>
    <w:rPr>
      <w:iCs/>
    </w:rPr>
  </w:style>
  <w:style w:type="paragraph" w:styleId="berschrift5">
    <w:name w:val="heading 5"/>
    <w:basedOn w:val="berschrift4"/>
    <w:next w:val="Standard"/>
    <w:link w:val="berschrift5Zchn"/>
    <w:uiPriority w:val="2"/>
    <w:qFormat/>
    <w:rsid w:val="00AB6715"/>
    <w:pPr>
      <w:numPr>
        <w:ilvl w:val="4"/>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rsid w:val="00AB6715"/>
    <w:rPr>
      <w:rFonts w:ascii="Times New Roman" w:eastAsia="Cambria" w:hAnsi="Times New Roman" w:cs="Times New Roman"/>
      <w:b/>
      <w:sz w:val="24"/>
      <w:szCs w:val="24"/>
    </w:rPr>
  </w:style>
  <w:style w:type="character" w:customStyle="1" w:styleId="berschrift2Zchn">
    <w:name w:val="Überschrift 2 Zchn"/>
    <w:basedOn w:val="Absatz-Standardschriftart"/>
    <w:link w:val="berschrift2"/>
    <w:uiPriority w:val="2"/>
    <w:rsid w:val="00AB6715"/>
    <w:rPr>
      <w:rFonts w:ascii="Times New Roman" w:eastAsia="Cambria" w:hAnsi="Times New Roman" w:cs="Times New Roman"/>
      <w:b/>
      <w:sz w:val="24"/>
      <w:szCs w:val="24"/>
    </w:rPr>
  </w:style>
  <w:style w:type="paragraph" w:styleId="Untertitel">
    <w:name w:val="Subtitle"/>
    <w:basedOn w:val="Standard"/>
    <w:next w:val="Standard"/>
    <w:link w:val="UntertitelZchn"/>
    <w:uiPriority w:val="99"/>
    <w:unhideWhenUsed/>
    <w:qFormat/>
    <w:rsid w:val="00AB6715"/>
    <w:pPr>
      <w:spacing w:before="240"/>
    </w:pPr>
    <w:rPr>
      <w:rFonts w:cs="Times New Roman"/>
      <w:b/>
      <w:szCs w:val="24"/>
    </w:rPr>
  </w:style>
  <w:style w:type="character" w:customStyle="1" w:styleId="UntertitelZchn">
    <w:name w:val="Untertitel Zchn"/>
    <w:basedOn w:val="Absatz-Standardschriftart"/>
    <w:link w:val="Untertitel"/>
    <w:uiPriority w:val="99"/>
    <w:rsid w:val="00AB6715"/>
    <w:rPr>
      <w:rFonts w:ascii="Times New Roman" w:hAnsi="Times New Roman" w:cs="Times New Roman"/>
      <w:b/>
      <w:sz w:val="24"/>
      <w:szCs w:val="24"/>
    </w:rPr>
  </w:style>
  <w:style w:type="paragraph" w:customStyle="1" w:styleId="AuthorList">
    <w:name w:val="Author List"/>
    <w:aliases w:val="Keywords,Abstract"/>
    <w:basedOn w:val="Untertitel"/>
    <w:next w:val="Standard"/>
    <w:uiPriority w:val="1"/>
    <w:qFormat/>
    <w:rsid w:val="00AB6715"/>
  </w:style>
  <w:style w:type="paragraph" w:styleId="Sprechblasentext">
    <w:name w:val="Balloon Text"/>
    <w:basedOn w:val="Standard"/>
    <w:link w:val="SprechblasentextZchn"/>
    <w:uiPriority w:val="99"/>
    <w:semiHidden/>
    <w:unhideWhenUsed/>
    <w:rsid w:val="00AB671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6715"/>
    <w:rPr>
      <w:rFonts w:ascii="Tahoma" w:hAnsi="Tahoma" w:cs="Tahoma"/>
      <w:sz w:val="16"/>
      <w:szCs w:val="16"/>
    </w:rPr>
  </w:style>
  <w:style w:type="character" w:styleId="Buchtitel">
    <w:name w:val="Book Title"/>
    <w:basedOn w:val="Absatz-Standardschriftart"/>
    <w:uiPriority w:val="33"/>
    <w:qFormat/>
    <w:rsid w:val="00AB6715"/>
    <w:rPr>
      <w:rFonts w:ascii="Times New Roman" w:hAnsi="Times New Roman"/>
      <w:b/>
      <w:bCs/>
      <w:i/>
      <w:iCs/>
      <w:spacing w:val="5"/>
    </w:rPr>
  </w:style>
  <w:style w:type="paragraph" w:styleId="Beschriftung">
    <w:name w:val="caption"/>
    <w:basedOn w:val="Standard"/>
    <w:next w:val="KeinLeerraum"/>
    <w:uiPriority w:val="35"/>
    <w:unhideWhenUsed/>
    <w:qFormat/>
    <w:rsid w:val="00AB6715"/>
    <w:pPr>
      <w:keepNext/>
    </w:pPr>
    <w:rPr>
      <w:rFonts w:cs="Times New Roman"/>
      <w:b/>
      <w:bCs/>
      <w:szCs w:val="24"/>
    </w:rPr>
  </w:style>
  <w:style w:type="paragraph" w:styleId="KeinLeerraum">
    <w:name w:val="No Spacing"/>
    <w:uiPriority w:val="99"/>
    <w:unhideWhenUsed/>
    <w:qFormat/>
    <w:rsid w:val="00AB6715"/>
    <w:pPr>
      <w:spacing w:after="0" w:line="240" w:lineRule="auto"/>
    </w:pPr>
    <w:rPr>
      <w:rFonts w:ascii="Times New Roman" w:hAnsi="Times New Roman"/>
      <w:sz w:val="24"/>
    </w:rPr>
  </w:style>
  <w:style w:type="character" w:styleId="Kommentarzeichen">
    <w:name w:val="annotation reference"/>
    <w:basedOn w:val="Absatz-Standardschriftart"/>
    <w:uiPriority w:val="99"/>
    <w:semiHidden/>
    <w:unhideWhenUsed/>
    <w:rsid w:val="00AB6715"/>
    <w:rPr>
      <w:sz w:val="16"/>
      <w:szCs w:val="16"/>
    </w:rPr>
  </w:style>
  <w:style w:type="paragraph" w:styleId="Kommentartext">
    <w:name w:val="annotation text"/>
    <w:basedOn w:val="Standard"/>
    <w:link w:val="KommentartextZchn"/>
    <w:uiPriority w:val="99"/>
    <w:semiHidden/>
    <w:unhideWhenUsed/>
    <w:rsid w:val="00AB6715"/>
    <w:rPr>
      <w:sz w:val="20"/>
      <w:szCs w:val="20"/>
    </w:rPr>
  </w:style>
  <w:style w:type="character" w:customStyle="1" w:styleId="KommentartextZchn">
    <w:name w:val="Kommentartext Zchn"/>
    <w:basedOn w:val="Absatz-Standardschriftart"/>
    <w:link w:val="Kommentartext"/>
    <w:uiPriority w:val="99"/>
    <w:semiHidden/>
    <w:rsid w:val="00AB6715"/>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AB6715"/>
    <w:rPr>
      <w:b/>
      <w:bCs/>
    </w:rPr>
  </w:style>
  <w:style w:type="character" w:customStyle="1" w:styleId="KommentarthemaZchn">
    <w:name w:val="Kommentarthema Zchn"/>
    <w:basedOn w:val="KommentartextZchn"/>
    <w:link w:val="Kommentarthema"/>
    <w:uiPriority w:val="99"/>
    <w:semiHidden/>
    <w:rsid w:val="00AB6715"/>
    <w:rPr>
      <w:rFonts w:ascii="Times New Roman" w:hAnsi="Times New Roman"/>
      <w:b/>
      <w:bCs/>
      <w:sz w:val="20"/>
      <w:szCs w:val="20"/>
    </w:rPr>
  </w:style>
  <w:style w:type="character" w:styleId="Hervorhebung">
    <w:name w:val="Emphasis"/>
    <w:basedOn w:val="Absatz-Standardschriftart"/>
    <w:uiPriority w:val="20"/>
    <w:qFormat/>
    <w:rsid w:val="00AB6715"/>
    <w:rPr>
      <w:rFonts w:ascii="Times New Roman" w:hAnsi="Times New Roman"/>
      <w:i/>
      <w:iCs/>
    </w:rPr>
  </w:style>
  <w:style w:type="character" w:styleId="Endnotenzeichen">
    <w:name w:val="endnote reference"/>
    <w:basedOn w:val="Absatz-Standardschriftart"/>
    <w:uiPriority w:val="99"/>
    <w:semiHidden/>
    <w:unhideWhenUsed/>
    <w:rsid w:val="00AB6715"/>
    <w:rPr>
      <w:vertAlign w:val="superscript"/>
    </w:rPr>
  </w:style>
  <w:style w:type="paragraph" w:styleId="Endnotentext">
    <w:name w:val="endnote text"/>
    <w:basedOn w:val="Standard"/>
    <w:link w:val="EndnotentextZchn"/>
    <w:uiPriority w:val="99"/>
    <w:semiHidden/>
    <w:unhideWhenUsed/>
    <w:rsid w:val="00AB6715"/>
    <w:pPr>
      <w:spacing w:after="0"/>
    </w:pPr>
    <w:rPr>
      <w:sz w:val="20"/>
      <w:szCs w:val="20"/>
    </w:rPr>
  </w:style>
  <w:style w:type="character" w:customStyle="1" w:styleId="EndnotentextZchn">
    <w:name w:val="Endnotentext Zchn"/>
    <w:basedOn w:val="Absatz-Standardschriftart"/>
    <w:link w:val="Endnotentext"/>
    <w:uiPriority w:val="99"/>
    <w:semiHidden/>
    <w:rsid w:val="00AB6715"/>
    <w:rPr>
      <w:rFonts w:ascii="Times New Roman" w:hAnsi="Times New Roman"/>
      <w:sz w:val="20"/>
      <w:szCs w:val="20"/>
    </w:rPr>
  </w:style>
  <w:style w:type="character" w:styleId="BesuchterLink">
    <w:name w:val="FollowedHyperlink"/>
    <w:basedOn w:val="Absatz-Standardschriftart"/>
    <w:uiPriority w:val="99"/>
    <w:semiHidden/>
    <w:unhideWhenUsed/>
    <w:rsid w:val="00AB6715"/>
    <w:rPr>
      <w:color w:val="800080" w:themeColor="followedHyperlink"/>
      <w:u w:val="single"/>
    </w:rPr>
  </w:style>
  <w:style w:type="paragraph" w:styleId="Fuzeile">
    <w:name w:val="footer"/>
    <w:basedOn w:val="Standard"/>
    <w:link w:val="FuzeileZchn"/>
    <w:uiPriority w:val="99"/>
    <w:unhideWhenUsed/>
    <w:rsid w:val="00AB6715"/>
    <w:pPr>
      <w:tabs>
        <w:tab w:val="center" w:pos="4844"/>
        <w:tab w:val="right" w:pos="9689"/>
      </w:tabs>
      <w:spacing w:after="0"/>
    </w:pPr>
  </w:style>
  <w:style w:type="character" w:customStyle="1" w:styleId="FuzeileZchn">
    <w:name w:val="Fußzeile Zchn"/>
    <w:basedOn w:val="Absatz-Standardschriftart"/>
    <w:link w:val="Fuzeile"/>
    <w:uiPriority w:val="99"/>
    <w:rsid w:val="00AB6715"/>
    <w:rPr>
      <w:rFonts w:ascii="Times New Roman" w:hAnsi="Times New Roman"/>
      <w:sz w:val="24"/>
    </w:rPr>
  </w:style>
  <w:style w:type="character" w:styleId="Funotenzeichen">
    <w:name w:val="footnote reference"/>
    <w:basedOn w:val="Absatz-Standardschriftart"/>
    <w:uiPriority w:val="99"/>
    <w:semiHidden/>
    <w:unhideWhenUsed/>
    <w:rsid w:val="00AB6715"/>
    <w:rPr>
      <w:vertAlign w:val="superscript"/>
    </w:rPr>
  </w:style>
  <w:style w:type="paragraph" w:styleId="Funotentext">
    <w:name w:val="footnote text"/>
    <w:basedOn w:val="Standard"/>
    <w:link w:val="FunotentextZchn"/>
    <w:uiPriority w:val="99"/>
    <w:semiHidden/>
    <w:unhideWhenUsed/>
    <w:rsid w:val="00AB6715"/>
    <w:pPr>
      <w:spacing w:after="0"/>
    </w:pPr>
    <w:rPr>
      <w:sz w:val="20"/>
      <w:szCs w:val="20"/>
    </w:rPr>
  </w:style>
  <w:style w:type="character" w:customStyle="1" w:styleId="FunotentextZchn">
    <w:name w:val="Fußnotentext Zchn"/>
    <w:basedOn w:val="Absatz-Standardschriftart"/>
    <w:link w:val="Funotentext"/>
    <w:uiPriority w:val="99"/>
    <w:semiHidden/>
    <w:rsid w:val="00AB6715"/>
    <w:rPr>
      <w:rFonts w:ascii="Times New Roman" w:hAnsi="Times New Roman"/>
      <w:sz w:val="20"/>
      <w:szCs w:val="20"/>
    </w:rPr>
  </w:style>
  <w:style w:type="paragraph" w:styleId="Kopfzeile">
    <w:name w:val="header"/>
    <w:basedOn w:val="Standard"/>
    <w:link w:val="KopfzeileZchn"/>
    <w:uiPriority w:val="99"/>
    <w:unhideWhenUsed/>
    <w:rsid w:val="00AB6715"/>
    <w:pPr>
      <w:tabs>
        <w:tab w:val="center" w:pos="4844"/>
        <w:tab w:val="right" w:pos="9689"/>
      </w:tabs>
    </w:pPr>
    <w:rPr>
      <w:b/>
    </w:rPr>
  </w:style>
  <w:style w:type="character" w:customStyle="1" w:styleId="KopfzeileZchn">
    <w:name w:val="Kopfzeile Zchn"/>
    <w:basedOn w:val="Absatz-Standardschriftart"/>
    <w:link w:val="Kopfzeile"/>
    <w:uiPriority w:val="99"/>
    <w:rsid w:val="00AB6715"/>
    <w:rPr>
      <w:rFonts w:ascii="Times New Roman" w:hAnsi="Times New Roman"/>
      <w:b/>
      <w:sz w:val="24"/>
    </w:rPr>
  </w:style>
  <w:style w:type="paragraph" w:styleId="Listenabsatz">
    <w:name w:val="List Paragraph"/>
    <w:basedOn w:val="Standard"/>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Absatz-Standardschriftart"/>
    <w:uiPriority w:val="99"/>
    <w:unhideWhenUsed/>
    <w:rsid w:val="00AB6715"/>
    <w:rPr>
      <w:color w:val="0000FF"/>
      <w:u w:val="single"/>
    </w:rPr>
  </w:style>
  <w:style w:type="character" w:styleId="IntensiveHervorhebung">
    <w:name w:val="Intense Emphasis"/>
    <w:basedOn w:val="Absatz-Standardschriftart"/>
    <w:uiPriority w:val="21"/>
    <w:unhideWhenUsed/>
    <w:rsid w:val="00AB6715"/>
    <w:rPr>
      <w:rFonts w:ascii="Times New Roman" w:hAnsi="Times New Roman"/>
      <w:i/>
      <w:iCs/>
      <w:color w:val="auto"/>
    </w:rPr>
  </w:style>
  <w:style w:type="character" w:styleId="IntensiverVerweis">
    <w:name w:val="Intense Reference"/>
    <w:basedOn w:val="Absatz-Standardschriftart"/>
    <w:uiPriority w:val="32"/>
    <w:qFormat/>
    <w:rsid w:val="00AB6715"/>
    <w:rPr>
      <w:b/>
      <w:bCs/>
      <w:smallCaps/>
      <w:color w:val="auto"/>
      <w:spacing w:val="5"/>
    </w:rPr>
  </w:style>
  <w:style w:type="character" w:styleId="Zeilennummer">
    <w:name w:val="line number"/>
    <w:basedOn w:val="Absatz-Standardschriftart"/>
    <w:uiPriority w:val="99"/>
    <w:semiHidden/>
    <w:unhideWhenUsed/>
    <w:rsid w:val="00AB6715"/>
  </w:style>
  <w:style w:type="character" w:customStyle="1" w:styleId="berschrift3Zchn">
    <w:name w:val="Überschrift 3 Zchn"/>
    <w:basedOn w:val="Absatz-Standardschriftart"/>
    <w:link w:val="berschrift3"/>
    <w:uiPriority w:val="2"/>
    <w:rsid w:val="00AB6715"/>
    <w:rPr>
      <w:rFonts w:ascii="Times New Roman" w:eastAsiaTheme="majorEastAsia" w:hAnsi="Times New Roman" w:cstheme="majorBidi"/>
      <w:b/>
      <w:sz w:val="24"/>
      <w:szCs w:val="24"/>
    </w:rPr>
  </w:style>
  <w:style w:type="character" w:customStyle="1" w:styleId="berschrift4Zchn">
    <w:name w:val="Überschrift 4 Zchn"/>
    <w:basedOn w:val="Absatz-Standardschriftart"/>
    <w:link w:val="berschrift4"/>
    <w:uiPriority w:val="2"/>
    <w:rsid w:val="00AB6715"/>
    <w:rPr>
      <w:rFonts w:ascii="Times New Roman" w:eastAsiaTheme="majorEastAsia" w:hAnsi="Times New Roman" w:cstheme="majorBidi"/>
      <w:b/>
      <w:iCs/>
      <w:sz w:val="24"/>
      <w:szCs w:val="24"/>
    </w:rPr>
  </w:style>
  <w:style w:type="character" w:customStyle="1" w:styleId="berschrift5Zchn">
    <w:name w:val="Überschrift 5 Zchn"/>
    <w:basedOn w:val="Absatz-Standardschriftart"/>
    <w:link w:val="berschrift5"/>
    <w:uiPriority w:val="2"/>
    <w:rsid w:val="00AB6715"/>
    <w:rPr>
      <w:rFonts w:ascii="Times New Roman" w:eastAsiaTheme="majorEastAsia" w:hAnsi="Times New Roman" w:cstheme="majorBidi"/>
      <w:b/>
      <w:iCs/>
      <w:sz w:val="24"/>
      <w:szCs w:val="24"/>
    </w:rPr>
  </w:style>
  <w:style w:type="paragraph" w:styleId="StandardWeb">
    <w:name w:val="Normal (Web)"/>
    <w:basedOn w:val="Standard"/>
    <w:uiPriority w:val="99"/>
    <w:unhideWhenUsed/>
    <w:rsid w:val="00AB6715"/>
    <w:pPr>
      <w:spacing w:before="100" w:beforeAutospacing="1" w:after="100" w:afterAutospacing="1"/>
    </w:pPr>
    <w:rPr>
      <w:rFonts w:eastAsia="Times New Roman" w:cs="Times New Roman"/>
      <w:szCs w:val="24"/>
    </w:rPr>
  </w:style>
  <w:style w:type="paragraph" w:styleId="Zitat">
    <w:name w:val="Quote"/>
    <w:basedOn w:val="Standard"/>
    <w:next w:val="Standard"/>
    <w:link w:val="ZitatZchn"/>
    <w:uiPriority w:val="29"/>
    <w:qFormat/>
    <w:rsid w:val="00AB671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B6715"/>
    <w:rPr>
      <w:rFonts w:ascii="Times New Roman" w:hAnsi="Times New Roman"/>
      <w:i/>
      <w:iCs/>
      <w:color w:val="404040" w:themeColor="text1" w:themeTint="BF"/>
      <w:sz w:val="24"/>
    </w:rPr>
  </w:style>
  <w:style w:type="character" w:styleId="Fett">
    <w:name w:val="Strong"/>
    <w:basedOn w:val="Absatz-Standardschriftart"/>
    <w:uiPriority w:val="22"/>
    <w:qFormat/>
    <w:rsid w:val="00AB6715"/>
    <w:rPr>
      <w:rFonts w:ascii="Times New Roman" w:hAnsi="Times New Roman"/>
      <w:b/>
      <w:bCs/>
    </w:rPr>
  </w:style>
  <w:style w:type="character" w:styleId="SchwacheHervorhebung">
    <w:name w:val="Subtle Emphasis"/>
    <w:basedOn w:val="Absatz-Standardschriftart"/>
    <w:uiPriority w:val="19"/>
    <w:qFormat/>
    <w:rsid w:val="00AB6715"/>
    <w:rPr>
      <w:rFonts w:ascii="Times New Roman" w:hAnsi="Times New Roman"/>
      <w:i/>
      <w:iCs/>
      <w:color w:val="404040" w:themeColor="text1" w:themeTint="BF"/>
    </w:rPr>
  </w:style>
  <w:style w:type="table" w:styleId="Tabellenraster">
    <w:name w:val="Table Grid"/>
    <w:basedOn w:val="NormaleTabelle"/>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AB6715"/>
    <w:pPr>
      <w:suppressLineNumbers/>
      <w:spacing w:before="240" w:after="360"/>
      <w:jc w:val="center"/>
    </w:pPr>
    <w:rPr>
      <w:rFonts w:cs="Times New Roman"/>
      <w:b/>
      <w:sz w:val="32"/>
      <w:szCs w:val="32"/>
    </w:rPr>
  </w:style>
  <w:style w:type="character" w:customStyle="1" w:styleId="TitelZchn">
    <w:name w:val="Titel Zchn"/>
    <w:basedOn w:val="Absatz-Standardschriftart"/>
    <w:link w:val="Titel"/>
    <w:rsid w:val="00AB6715"/>
    <w:rPr>
      <w:rFonts w:ascii="Times New Roman" w:hAnsi="Times New Roman" w:cs="Times New Roman"/>
      <w:b/>
      <w:sz w:val="32"/>
      <w:szCs w:val="32"/>
    </w:rPr>
  </w:style>
  <w:style w:type="paragraph" w:customStyle="1" w:styleId="SupplementaryMaterial">
    <w:name w:val="Supplementary Material"/>
    <w:basedOn w:val="Titel"/>
    <w:next w:val="Titel"/>
    <w:qFormat/>
    <w:rsid w:val="0001436A"/>
    <w:pPr>
      <w:spacing w:after="120"/>
    </w:pPr>
    <w:rPr>
      <w:i/>
    </w:rPr>
  </w:style>
  <w:style w:type="paragraph" w:styleId="berarbeitung">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555777425">
      <w:bodyDiv w:val="1"/>
      <w:marLeft w:val="0"/>
      <w:marRight w:val="0"/>
      <w:marTop w:val="0"/>
      <w:marBottom w:val="0"/>
      <w:divBdr>
        <w:top w:val="none" w:sz="0" w:space="0" w:color="auto"/>
        <w:left w:val="none" w:sz="0" w:space="0" w:color="auto"/>
        <w:bottom w:val="none" w:sz="0" w:space="0" w:color="auto"/>
        <w:right w:val="none" w:sz="0" w:space="0" w:color="auto"/>
      </w:divBdr>
    </w:div>
    <w:div w:id="171967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4.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5.xml><?xml version="1.0" encoding="utf-8"?>
<ds:datastoreItem xmlns:ds="http://schemas.openxmlformats.org/officeDocument/2006/customXml" ds:itemID="{0858D46C-C2B4-4193-B111-9C18308C5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0</TotalTime>
  <Pages>2</Pages>
  <Words>269</Words>
  <Characters>1701</Characters>
  <Application>Microsoft Office Word</Application>
  <DocSecurity>0</DocSecurity>
  <Lines>14</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Paul, Sophie</cp:lastModifiedBy>
  <cp:revision>3</cp:revision>
  <cp:lastPrinted>2013-10-03T12:51:00Z</cp:lastPrinted>
  <dcterms:created xsi:type="dcterms:W3CDTF">2024-01-26T14:59:00Z</dcterms:created>
  <dcterms:modified xsi:type="dcterms:W3CDTF">2024-01-26T15:04:00Z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