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7CF4D" w14:textId="77777777" w:rsidR="00EC7C85" w:rsidRDefault="00EC7C85" w:rsidP="00F125EE">
      <w:pPr>
        <w:rPr>
          <w:sz w:val="36"/>
          <w:szCs w:val="36"/>
        </w:rPr>
      </w:pPr>
    </w:p>
    <w:p w14:paraId="53B0A160" w14:textId="77777777" w:rsidR="00393BAB" w:rsidRDefault="00393BAB"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5290DEC3" w14:textId="6231CE3A" w:rsidR="005753D5" w:rsidRPr="0069122D" w:rsidRDefault="005753D5" w:rsidP="005753D5">
      <w:pPr>
        <w:pStyle w:val="Head"/>
        <w:spacing w:before="0" w:after="0"/>
        <w:rPr>
          <w:sz w:val="32"/>
          <w:szCs w:val="32"/>
        </w:rPr>
      </w:pPr>
      <w:r w:rsidRPr="0069122D">
        <w:rPr>
          <w:sz w:val="32"/>
          <w:szCs w:val="32"/>
        </w:rPr>
        <w:t xml:space="preserve">Deep ocean </w:t>
      </w:r>
      <w:r w:rsidR="00200678">
        <w:rPr>
          <w:sz w:val="32"/>
          <w:szCs w:val="32"/>
        </w:rPr>
        <w:t>hydrographic</w:t>
      </w:r>
      <w:r w:rsidRPr="0069122D">
        <w:rPr>
          <w:sz w:val="32"/>
          <w:szCs w:val="32"/>
        </w:rPr>
        <w:t xml:space="preserve"> variability estimated from distributed geodetic sensor arrays off northern Chile</w:t>
      </w:r>
    </w:p>
    <w:p w14:paraId="2310F9ED" w14:textId="77777777" w:rsidR="005D17C6" w:rsidRPr="005D17C6" w:rsidRDefault="005D17C6" w:rsidP="005D17C6">
      <w:pPr>
        <w:jc w:val="center"/>
        <w:rPr>
          <w:szCs w:val="24"/>
          <w:lang w:val="de-DE"/>
        </w:rPr>
      </w:pPr>
      <w:proofErr w:type="spellStart"/>
      <w:r w:rsidRPr="005D17C6">
        <w:rPr>
          <w:szCs w:val="24"/>
          <w:lang w:val="de-DE"/>
        </w:rPr>
        <w:t>Authors</w:t>
      </w:r>
      <w:proofErr w:type="spellEnd"/>
    </w:p>
    <w:p w14:paraId="5D50AC1F" w14:textId="38DCD83A" w:rsidR="005D17C6" w:rsidRPr="005D17C6" w:rsidRDefault="005D17C6" w:rsidP="005D17C6">
      <w:pPr>
        <w:jc w:val="center"/>
        <w:rPr>
          <w:szCs w:val="24"/>
          <w:lang w:val="de-DE"/>
        </w:rPr>
      </w:pPr>
      <w:r w:rsidRPr="005D17C6">
        <w:rPr>
          <w:szCs w:val="24"/>
          <w:lang w:val="de-DE"/>
        </w:rPr>
        <w:t>Anna Jegen</w:t>
      </w:r>
      <w:r w:rsidRPr="0053753E">
        <w:rPr>
          <w:szCs w:val="24"/>
          <w:vertAlign w:val="superscript"/>
          <w:lang w:val="de-DE"/>
        </w:rPr>
        <w:t>1</w:t>
      </w:r>
      <w:r w:rsidRPr="005D17C6">
        <w:rPr>
          <w:szCs w:val="24"/>
          <w:lang w:val="de-DE"/>
        </w:rPr>
        <w:t>*</w:t>
      </w:r>
      <w:r w:rsidR="0053753E">
        <w:rPr>
          <w:szCs w:val="24"/>
          <w:lang w:val="de-DE"/>
        </w:rPr>
        <w:t>,</w:t>
      </w:r>
      <w:r w:rsidRPr="005D17C6">
        <w:rPr>
          <w:szCs w:val="24"/>
          <w:lang w:val="de-DE"/>
        </w:rPr>
        <w:t xml:space="preserve"> Dietrich Lange</w:t>
      </w:r>
      <w:r w:rsidRPr="0053753E">
        <w:rPr>
          <w:szCs w:val="24"/>
          <w:vertAlign w:val="superscript"/>
          <w:lang w:val="de-DE"/>
        </w:rPr>
        <w:t>1</w:t>
      </w:r>
      <w:r w:rsidRPr="005D17C6">
        <w:rPr>
          <w:szCs w:val="24"/>
          <w:lang w:val="de-DE"/>
        </w:rPr>
        <w:t>, Johannes Karstensen</w:t>
      </w:r>
      <w:r w:rsidRPr="0053753E">
        <w:rPr>
          <w:szCs w:val="24"/>
          <w:vertAlign w:val="superscript"/>
          <w:lang w:val="de-DE"/>
        </w:rPr>
        <w:t>1</w:t>
      </w:r>
      <w:r w:rsidRPr="005D17C6">
        <w:rPr>
          <w:szCs w:val="24"/>
          <w:lang w:val="de-DE"/>
        </w:rPr>
        <w:t>, Oscar Pizarro</w:t>
      </w:r>
      <w:r w:rsidRPr="0053753E">
        <w:rPr>
          <w:szCs w:val="24"/>
          <w:vertAlign w:val="superscript"/>
          <w:lang w:val="de-DE"/>
        </w:rPr>
        <w:t>2</w:t>
      </w:r>
      <w:r w:rsidRPr="005D17C6">
        <w:rPr>
          <w:szCs w:val="24"/>
          <w:lang w:val="de-DE"/>
        </w:rPr>
        <w:t>, Heidrun Kopp</w:t>
      </w:r>
      <w:r w:rsidRPr="0053753E">
        <w:rPr>
          <w:szCs w:val="24"/>
          <w:vertAlign w:val="superscript"/>
          <w:lang w:val="de-DE"/>
        </w:rPr>
        <w:t>1</w:t>
      </w:r>
    </w:p>
    <w:p w14:paraId="6D0CE933" w14:textId="77777777" w:rsidR="00AC02A6" w:rsidRPr="00ED2CBE" w:rsidRDefault="00AC02A6" w:rsidP="00AC02A6">
      <w:pPr>
        <w:jc w:val="center"/>
        <w:rPr>
          <w:sz w:val="20"/>
        </w:rPr>
      </w:pPr>
      <w:r w:rsidRPr="00ED2CBE">
        <w:rPr>
          <w:sz w:val="20"/>
        </w:rPr>
        <w:t xml:space="preserve">*Corresponding author. Email: </w:t>
      </w:r>
      <w:hyperlink r:id="rId10" w:history="1">
        <w:r w:rsidRPr="00323018">
          <w:rPr>
            <w:rStyle w:val="Hyperlink"/>
            <w:sz w:val="20"/>
          </w:rPr>
          <w:t>ajegen@geomar.de</w:t>
        </w:r>
      </w:hyperlink>
    </w:p>
    <w:p w14:paraId="036AD84F" w14:textId="5534FE4E" w:rsidR="00AC02A6" w:rsidRPr="00AC02A6" w:rsidRDefault="00AC02A6" w:rsidP="00AC02A6">
      <w:pPr>
        <w:jc w:val="center"/>
        <w:rPr>
          <w:szCs w:val="24"/>
        </w:rPr>
      </w:pPr>
    </w:p>
    <w:p w14:paraId="349B17F3" w14:textId="77777777" w:rsidR="005D17C6" w:rsidRPr="00AC02A6" w:rsidRDefault="005D17C6" w:rsidP="005D17C6">
      <w:pPr>
        <w:jc w:val="center"/>
        <w:rPr>
          <w:szCs w:val="24"/>
          <w:lang w:val="en-IE"/>
        </w:rPr>
      </w:pPr>
    </w:p>
    <w:p w14:paraId="3CF29154" w14:textId="77777777" w:rsidR="005D17C6" w:rsidRPr="005D17C6" w:rsidRDefault="005D17C6" w:rsidP="005D17C6">
      <w:pPr>
        <w:jc w:val="center"/>
        <w:rPr>
          <w:szCs w:val="24"/>
          <w:lang w:val="de-DE"/>
        </w:rPr>
      </w:pPr>
      <w:proofErr w:type="spellStart"/>
      <w:r w:rsidRPr="005D17C6">
        <w:rPr>
          <w:szCs w:val="24"/>
          <w:lang w:val="de-DE"/>
        </w:rPr>
        <w:t>Affiliations</w:t>
      </w:r>
      <w:proofErr w:type="spellEnd"/>
      <w:r w:rsidRPr="005D17C6">
        <w:rPr>
          <w:szCs w:val="24"/>
          <w:lang w:val="de-DE"/>
        </w:rPr>
        <w:t xml:space="preserve"> </w:t>
      </w:r>
    </w:p>
    <w:p w14:paraId="40BE2B5E" w14:textId="77777777" w:rsidR="005D17C6" w:rsidRPr="005D17C6" w:rsidRDefault="005D17C6" w:rsidP="005D17C6">
      <w:pPr>
        <w:jc w:val="center"/>
        <w:rPr>
          <w:szCs w:val="24"/>
          <w:lang w:val="de-DE"/>
        </w:rPr>
      </w:pPr>
      <w:r w:rsidRPr="005D17C6">
        <w:rPr>
          <w:szCs w:val="24"/>
          <w:lang w:val="de-DE"/>
        </w:rPr>
        <w:t>1GEOMAR Helmholtz-Zentrum für Ozeanforschung Kiel, Kiel, Germany.</w:t>
      </w:r>
    </w:p>
    <w:p w14:paraId="5A92858C" w14:textId="77777777" w:rsidR="005D17C6" w:rsidRPr="005D17C6" w:rsidRDefault="005D17C6" w:rsidP="005D17C6">
      <w:pPr>
        <w:jc w:val="center"/>
        <w:rPr>
          <w:szCs w:val="24"/>
          <w:lang w:val="de-DE"/>
        </w:rPr>
      </w:pPr>
    </w:p>
    <w:p w14:paraId="0648E06D" w14:textId="421A21E1" w:rsidR="000F0DCE" w:rsidRPr="005D17C6" w:rsidRDefault="005D17C6" w:rsidP="005D17C6">
      <w:pPr>
        <w:jc w:val="center"/>
        <w:rPr>
          <w:szCs w:val="24"/>
          <w:lang w:val="en-IE"/>
        </w:rPr>
      </w:pPr>
      <w:r w:rsidRPr="005D17C6">
        <w:rPr>
          <w:szCs w:val="24"/>
        </w:rPr>
        <w:t>2Universidad de Concepción, Barrio Universitario s/n, Concepción, Chile.</w:t>
      </w:r>
    </w:p>
    <w:p w14:paraId="19A4AA36" w14:textId="77777777" w:rsidR="00AC02A6" w:rsidRDefault="00AC02A6" w:rsidP="005001AC">
      <w:pPr>
        <w:jc w:val="center"/>
        <w:rPr>
          <w:sz w:val="20"/>
        </w:rPr>
      </w:pPr>
    </w:p>
    <w:p w14:paraId="050BA42C" w14:textId="77777777" w:rsidR="00ED2CBE" w:rsidRDefault="00ED2CBE" w:rsidP="00533910">
      <w:pPr>
        <w:pStyle w:val="PubInfo"/>
      </w:pPr>
    </w:p>
    <w:p w14:paraId="71939F02" w14:textId="77777777" w:rsidR="00533910" w:rsidRPr="00EE59BE" w:rsidRDefault="00533910" w:rsidP="00533910">
      <w:pPr>
        <w:jc w:val="center"/>
      </w:pPr>
    </w:p>
    <w:p w14:paraId="3A1047ED" w14:textId="77777777" w:rsidR="00533910" w:rsidRDefault="00533910" w:rsidP="005001AC">
      <w:pPr>
        <w:jc w:val="center"/>
        <w:rPr>
          <w:szCs w:val="24"/>
        </w:rPr>
      </w:pP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5953D2BA" w14:textId="697A123A" w:rsidR="002C030F" w:rsidRDefault="00BB2D2A" w:rsidP="00262D72">
      <w:pPr>
        <w:ind w:left="720"/>
      </w:pPr>
      <w:r>
        <w:t>Supplementary</w:t>
      </w:r>
      <w:r w:rsidR="00AB399E">
        <w:t xml:space="preserve"> </w:t>
      </w:r>
      <w:r w:rsidR="002C030F">
        <w:t>Text</w:t>
      </w:r>
    </w:p>
    <w:p w14:paraId="7FC81517" w14:textId="62AF5026" w:rsidR="002C030F" w:rsidRDefault="002C030F" w:rsidP="00262D72">
      <w:pPr>
        <w:ind w:left="720"/>
      </w:pPr>
      <w:r>
        <w:t>Fig</w:t>
      </w:r>
      <w:r w:rsidR="00A3403B">
        <w:t xml:space="preserve">s. </w:t>
      </w:r>
      <w:r>
        <w:t>S1</w:t>
      </w:r>
      <w:r w:rsidR="00A3403B">
        <w:t xml:space="preserve"> to </w:t>
      </w:r>
      <w:r>
        <w:t>S</w:t>
      </w:r>
      <w:r w:rsidR="003D24BC">
        <w:t>6</w:t>
      </w:r>
    </w:p>
    <w:p w14:paraId="68691C5A" w14:textId="70324A37" w:rsidR="00065EBD" w:rsidRDefault="003F5904" w:rsidP="00E02647">
      <w:pPr>
        <w:ind w:left="720"/>
      </w:pPr>
      <w:r>
        <w:t>References</w:t>
      </w:r>
    </w:p>
    <w:p w14:paraId="23718CE0" w14:textId="77777777" w:rsidR="00015F74" w:rsidRDefault="00015F74" w:rsidP="00262D72">
      <w:pPr>
        <w:ind w:left="720"/>
      </w:pPr>
      <w:r>
        <w:br/>
      </w:r>
    </w:p>
    <w:p w14:paraId="7F6E0C41" w14:textId="03BC466D" w:rsidR="00355362" w:rsidRDefault="00015F74" w:rsidP="009A7C5F">
      <w:pPr>
        <w:pStyle w:val="SMHeading"/>
      </w:pPr>
      <w:r>
        <w:br w:type="page"/>
      </w:r>
      <w:bookmarkStart w:id="0" w:name="Tables"/>
      <w:bookmarkStart w:id="1" w:name="MaterialsMethods"/>
      <w:bookmarkEnd w:id="0"/>
      <w:bookmarkEnd w:id="1"/>
    </w:p>
    <w:p w14:paraId="56F29DC2" w14:textId="77777777" w:rsidR="008218C4" w:rsidRDefault="008218C4" w:rsidP="009A5287">
      <w:pPr>
        <w:pStyle w:val="SMText"/>
        <w:ind w:firstLine="0"/>
      </w:pPr>
    </w:p>
    <w:p w14:paraId="12923ABF" w14:textId="77777777" w:rsidR="00015F74" w:rsidRDefault="00BB2D2A" w:rsidP="00B9440A">
      <w:pPr>
        <w:pStyle w:val="SMHeading"/>
      </w:pPr>
      <w:r>
        <w:t>Supplementary</w:t>
      </w:r>
      <w:r w:rsidR="00015F74">
        <w:t xml:space="preserve"> Text</w:t>
      </w:r>
    </w:p>
    <w:p w14:paraId="0EE46098" w14:textId="556F3667" w:rsidR="00F74F95" w:rsidRPr="00355362" w:rsidRDefault="00CA24A6" w:rsidP="00B9440A">
      <w:pPr>
        <w:pStyle w:val="SMSubheading"/>
      </w:pPr>
      <w:r>
        <w:t>Instrumentation</w:t>
      </w:r>
      <w:r w:rsidR="006E37D9">
        <w:t xml:space="preserve"> details of the high-resolution temperature sensors</w:t>
      </w:r>
    </w:p>
    <w:p w14:paraId="5F1F43F3" w14:textId="52D0A669" w:rsidR="00A631DF" w:rsidRDefault="006426C8" w:rsidP="007718B2">
      <w:pPr>
        <w:pStyle w:val="SMText"/>
      </w:pPr>
      <w:bookmarkStart w:id="2" w:name="Figures"/>
      <w:bookmarkEnd w:id="2"/>
      <w:r>
        <w:t xml:space="preserve">A custom Pt100 design, developed by Sensing Devices Ltd is housed in the pressure tubes of the geodetic sensors. Each of the 23 instruments was mounted onto a high steel frame so that all data was acquired 4 m above the seafloor.  The resolution has been determined to conform to 1/10 of the DIN Class B, translating to a tolerance of +/-0.025 °C. </w:t>
      </w:r>
      <w:r w:rsidR="006E37D9">
        <w:t>L</w:t>
      </w:r>
      <w:r>
        <w:t xml:space="preserve">ow drift components were used in all signal conditioning electronics, such as the AD converter, the voltage reference in the AD converter and the calibration resistor. In temperature sensors such as the Pt100, the most common cause for sensor drift is related to the ageing of the reference voltage used by the A/D converter, which is also known as long-term drift (LTD). The LTD curve of a typical device is attenuated with time. The precise time range that has to pass before the LTD settles within a low drift coefficient is temperature dependent and increases with decreasing temperature. The exact approximation of the LTD’s effect on the data is hindered by the nonlinear </w:t>
      </w:r>
      <w:proofErr w:type="spellStart"/>
      <w:r>
        <w:t>behaviour</w:t>
      </w:r>
      <w:proofErr w:type="spellEnd"/>
      <w:r>
        <w:t xml:space="preserve"> of the reference voltage that is not consistent between devices nor between different kinds of reference voltages. Nevertheless, since the same build of reference voltage was used in all stations of all three arrays, the general course of the LTD should be similar, since they were deployed at roughly the same time and in water of comparable temperature. Therefore, since the discussed linear warming trend is only detectable in two of the three arrays, and all stations are of the same build and age, we conclude that the trend is not the result of the LTD, but records a physical change in water properties. Other experiments, which used stations of the same build in the Marmara Sea and Ionian Sea showed that while temperature increases and concurrent travel time decreases were measured in the Marmara Sea, temperatures in the Ionian Sea appeared to stagnate </w:t>
      </w:r>
      <w:r w:rsidR="00BF60FB">
        <w:fldChar w:fldCharType="begin"/>
      </w:r>
      <w:r w:rsidR="00996002">
        <w:instrText xml:space="preserve"> ADDIN ZOTERO_ITEM CSL_CITATION {"citationID":"ccQDE5qo","properties":{"formattedCitation":"\\super 1\\uc0\\u8211{}3\\nosupersub{}","plainCitation":"1–3","noteIndex":0},"citationItems":[{"id":2171,"uris":["http://zotero.org/users/local/lGURTdxx/items/XYB6LT7M"],"itemData":{"id":2171,"type":"article-journal","abstract":"Using offshore geodetic observations, we show that a segment of the North Anatolian Fault in the central Sea of Marmara is locked and therefore accumulating strain. The strain accumulation along this fault segment was previously extrapolated from onshore observations or inferred from the absence of seismicity, but both methods could not distinguish between fully locked or fully creeping fault behavior. A network of acoustic transponders measured crustal deformation with mm-precision on the seafloor for 2.5 years and did not detect any significant fault displacement. Absence of deformation together with sparse seismicity monitored by ocean bottom seismometers indicates complete fault locking to at least 3 km depth and presumably into the crystalline basement. The slip-deficit of at least 4 m since the last known rupture in 1766 is equivalent to an earthquake of magnitude 7.1 to 7.4 in the Sea of Marmara offshore metropolitan Istanbul.","container-title":"Nature Communications","DOI":"10.1038/s41467-019-11016-z","ISSN":"2041-1723","issue":"1","journalAbbreviation":"Nat Commun","language":"en","license":"2019 The Author(s)","note":"number: 1\npublisher: Nature Publishing Group","page":"3006","source":"www.nature.com","title":"Interseismic strain build-up on the submarine North Anatolian Fault offshore Istanbul","volume":"10","author":[{"family":"Lange","given":"Dietrich"},{"family":"Kopp","given":"Heidrun"},{"family":"Royer","given":"Jean-Yves"},{"family":"Henry","given":"Pierre"},{"family":"Çakir","given":"Ziyadin"},{"family":"Petersen","given":"Florian"},{"family":"Sakic","given":"Pierre"},{"family":"Ballu","given":"Valerie"},{"family":"Bialas","given":"Jörg"},{"family":"Özeren","given":"Mehmet Sinan"},{"family":"Ergintav","given":"Semih"},{"family":"Géli","given":"Louis"}],"issued":{"date-parts":[["2019",7,8]]}}},{"id":2162,"uris":["http://zotero.org/users/local/lGURTdxx/items/FL5H4UVH"],"itemData":{"id":2162,"type":"article-journal","abstract":"The Earth’s ocean floor deforms continuously under the influence of plate tectonic processes. In recent years, the development of deep-sea instruments using acoustic direct-path ranging allows observations of ocean floor deformation with unprecedented spatial and temporal resolution. Due to rapid technological progress, acoustic ranging emerged as a central research field to monitor seafloor deformation. Here we review recent developments and the progress of direct-path ranging applications. We discuss the methodology and examine the effects of the oceanographic environment on the measurement precision. Comparing the resolution of previous deployments, we find that the baseline uncertainty increases linearly with baseline length, at least for distances up to 3 km, but with different linear relations for each deployment. Measurements of displacement at millimeter-level precision across normal, thrust or strike-slip faults are discussed to evaluate the influence of dedicated network designs appropriate for the discrete fault geometries. Furthermore, tectonically quiet areas, such as flanks of coastal or ocean island volcanoes and passive continental margins pose substantial hazards that often lack in-situ monitoring and are therefore a significant target for the application of seafloor geodetic techniques.","container-title":"Journal of Geodynamics","DOI":"10.1016/j.jog.2019.01.002","ISSN":"0264-3707","journalAbbreviation":"Journal of Geodynamics","language":"en","page":"14-24","source":"ScienceDirect","title":"Measuring tectonic seafloor deformation and strain-build up with acoustic direct-path ranging","volume":"124","author":[{"family":"Petersen","given":"Florian"},{"family":"Kopp","given":"Heidrun"},{"family":"Lange","given":"Dietrich"},{"family":"Hannemann","given":"Katrin"},{"family":"Urlaub","given":"Morelia"}],"issued":{"date-parts":[["2019",2,1]]}}},{"id":2229,"uris":["http://zotero.org/users/local/lGURTdxx/items/9WIDY6EP"],"itemData":{"id":2229,"type":"article-journal","abstract":"The southeastern flank of Etna volcano slides into the Ionian Sea at rates of centimeters per year. The prevailing understanding is that pressurization of the magmatic system, and not gravitational forces, controls flank movement, although this has also been proposed. So far, it has not been possible to separate between these processes, because no data on offshore deformation were available until we conducted the first long-term seafloor displacement monitoring campaign from April 2016 until July 2017. Unprecedented seafloor geodetic data reveal a &gt;4-cm slip along the offshore extension of a fault related to flank kinematics during one 8-day-long event in May 2017, while displacement on land peaked at ~4 cm at the coast. As deformation increases away from the magmatic system, the bulk of Mount Etna’s present continuous deformation must be driven by gravity while being further destabilized by magma dynamics. We cannot exclude flank movement to evolve into catastrophic collapse, implying that Etna’s flank movement poses a much greater hazard than previously thought. The hazard of flank collapse might be underestimated at other coastal and ocean island volcanoes, where the dynamics of submerged flanks are unknown.","container-title":"Science Advances","DOI":"10.1126/sciadv.aat9700","issue":"10","note":"publisher: American Association for the Advancement of Science","page":"eaat9700","source":"science.org (Atypon)","title":"Gravitational collapse of Mount Etna’s southeastern flank","volume":"4","author":[{"family":"Urlaub","given":"Morelia"},{"family":"Petersen","given":"Florian"},{"family":"Gross","given":"Felix"},{"family":"Bonforte","given":"Alessandro"},{"family":"Puglisi","given":"Giuseppe"},{"family":"Guglielmino","given":"Francesco"},{"family":"Krastel","given":"Sebastian"},{"family":"Lange","given":"Dietrich"},{"family":"Kopp","given":"Heidrun"}],"issued":{"date-parts":[["2018",10,10]]}}}],"schema":"https://github.com/citation-style-language/schema/raw/master/csl-citation.json"} </w:instrText>
      </w:r>
      <w:r w:rsidR="00BF60FB">
        <w:fldChar w:fldCharType="separate"/>
      </w:r>
      <w:r w:rsidR="00996002" w:rsidRPr="00996002">
        <w:rPr>
          <w:szCs w:val="24"/>
          <w:vertAlign w:val="superscript"/>
        </w:rPr>
        <w:t>1–3</w:t>
      </w:r>
      <w:r w:rsidR="00BF60FB">
        <w:fldChar w:fldCharType="end"/>
      </w:r>
      <w:r w:rsidR="006E37D9">
        <w:t xml:space="preserve">. </w:t>
      </w:r>
      <w:r>
        <w:t xml:space="preserve">The analysis of the relative course of the temperature records from one array, has shown that the intra-array variability is not random, but systematic, which suggests that the variability is not the result of lacking sensor accuracy but linked to the depth-dependent decrease of temperature field fluctuations (Fig. </w:t>
      </w:r>
      <w:r w:rsidR="00A23D22">
        <w:t>1</w:t>
      </w:r>
      <w:r>
        <w:t xml:space="preserve">B). Since the smallest intra-array variability that could be observed is much smaller than the official tolerance of +/- 0.025 °C (e.g. ~0.0017 °C, Fig. </w:t>
      </w:r>
      <w:r w:rsidR="00A23D22">
        <w:t>1</w:t>
      </w:r>
      <w:r>
        <w:t>B), we conclude that the accuracy of the temperature sensors must be smaller or equal to the observed intra-array variability.</w:t>
      </w:r>
    </w:p>
    <w:p w14:paraId="298CEFAD" w14:textId="1ED3780C" w:rsidR="00FE7CBD" w:rsidRDefault="00FE7CBD" w:rsidP="00FE7CBD">
      <w:pPr>
        <w:pStyle w:val="SMText"/>
        <w:ind w:firstLine="0"/>
      </w:pPr>
    </w:p>
    <w:p w14:paraId="42E63F81" w14:textId="77777777" w:rsidR="007718B2" w:rsidRDefault="007718B2" w:rsidP="007718B2">
      <w:pPr>
        <w:pStyle w:val="SMText"/>
      </w:pPr>
    </w:p>
    <w:p w14:paraId="2EB508C9" w14:textId="26FD5128" w:rsidR="00A631DF" w:rsidRPr="00355362" w:rsidRDefault="00A631DF" w:rsidP="00A631DF">
      <w:pPr>
        <w:pStyle w:val="SMSubheading"/>
      </w:pPr>
      <w:r w:rsidRPr="00A631DF">
        <w:t>Pressure-sensor-internal temperature sensor data</w:t>
      </w:r>
    </w:p>
    <w:p w14:paraId="3C02AA5E" w14:textId="750A81FD" w:rsidR="00A111FF" w:rsidRDefault="002C479E" w:rsidP="00A111FF">
      <w:pPr>
        <w:pStyle w:val="SMText"/>
      </w:pPr>
      <w:r w:rsidRPr="002C479E">
        <w:t xml:space="preserve">Every station was equipped with a pressure sensor, which acquired absolute pressure data at the same rate and time as the temperature was measured (160 min at the mid and lower slope; 90 min at the outer rise). </w:t>
      </w:r>
      <w:r w:rsidR="009404D8">
        <w:t xml:space="preserve">The pressure sensors that were mounted to the stations were manufactured by </w:t>
      </w:r>
      <w:proofErr w:type="spellStart"/>
      <w:r w:rsidR="009404D8">
        <w:t>Presens</w:t>
      </w:r>
      <w:proofErr w:type="spellEnd"/>
      <w:r w:rsidR="009404D8">
        <w:t xml:space="preserve"> and have an internal Pt1000 temperature sensor. The internal temperature sensor is needed for the conversion of the pressure sensor’s internal engineering units to physically meaningful units </w:t>
      </w:r>
      <w:r w:rsidR="000455D1">
        <w:fldChar w:fldCharType="begin"/>
      </w:r>
      <w:r w:rsidR="00996002">
        <w:instrText xml:space="preserve"> ADDIN ZOTERO_ITEM CSL_CITATION {"citationID":"FipJt2Ib","properties":{"formattedCitation":"\\super 4\\nosupersub{}","plainCitation":"4","noteIndex":0},"citationItems":[{"id":1048,"uris":["http://zotero.org/users/local/lGURTdxx/items/8NL8UM52"],"itemData":{"id":1048,"type":"article-journal","abstract":"Abstract Sixteen records from seven Digiquartz deep-ocean bottom pressure sensors have been in deployments of 3–12 month duration under the Gulf Stream in depths of 3300 to 4400 m. Particular attention is given (i) to characterizing any observed drift in their calibration in relation to their construction (bellows or Bourdon-tube) and to their prior history of pressurization, and (ii) to estimating and removing this drift from the records. Bellows-type sensors exhibited significant drift (0.2 to 0.85 db) in all of their deployments. Bourdon-tube sensors had less drift in their first deployment (0 to 0.45 db), and in subsequent deployments had either no drift or a small drift with different shape that may have been due to clock-frequency drift. An exponential decay with time [</w:instrText>
      </w:r>
      <w:r w:rsidR="00996002">
        <w:rPr>
          <w:rFonts w:ascii="Cambria Math" w:hAnsi="Cambria Math" w:cs="Cambria Math"/>
        </w:rPr>
        <w:instrText>∼</w:instrText>
      </w:r>
      <w:r w:rsidR="00996002">
        <w:instrText xml:space="preserve">exp(−αt)] was found to best represent the drifts, such a curve was fit in a least-squares sense to each pressure record and then subtracted from it Careful attention is given to estimating the uncertainty of the residual “dedrifted” records, which is 0.02 dh for records that are at least a year long; the stability over a few days and resolution of these measurements is better than 0.001 db. As a consistency cheer, neighboring pairs of bottom pressure records are used to calculate geostrophic currents from their differences, and the comparison with directly observed currents confirms that the error in drift removal may be less than 0.02 db. Typical amplitudes of the deep-ocean tidal- and derided signals are respectively 0.7 and 0.13 db in this region, so that we infer that this methodology is suitable for studies requiring knowledge of deep-ocean dynamic pressures even for subtidal mesoscale periodicites.","container-title":"Journal of Atmospheric and Oceanic Technology","DOI":"10.1175/1520-0426(1990)007&lt;0296:DOBPMD&gt;2.0.CO;2","ISSN":"0739-0572, 1520-0426","issue":"2","language":"EN","note":"publisher: American Meteorological Society\nsection: Journal of Atmospheric and Oceanic Technology","page":"296-306","source":"journals.ametsoc.org","title":"Deep-Ocean Bottom Pressure Measurement: Drift Removal and Performance","title-short":"Deep-Ocean Bottom Pressure Measurement","volume":"7","author":[{"family":"Watts","given":"D. Randolph"},{"family":"Kontoyiannis","given":"Harilaos"}],"issued":{"date-parts":[["1990",4,1]]}}}],"schema":"https://github.com/citation-style-language/schema/raw/master/csl-citation.json"} </w:instrText>
      </w:r>
      <w:r w:rsidR="000455D1">
        <w:fldChar w:fldCharType="separate"/>
      </w:r>
      <w:r w:rsidR="00996002" w:rsidRPr="00996002">
        <w:rPr>
          <w:szCs w:val="24"/>
          <w:vertAlign w:val="superscript"/>
        </w:rPr>
        <w:t>4</w:t>
      </w:r>
      <w:r w:rsidR="000455D1">
        <w:fldChar w:fldCharType="end"/>
      </w:r>
      <w:r w:rsidR="009404D8">
        <w:t xml:space="preserve">. However, since this conversion merely requires a temperature approximation, pressure-sensor-internal temperature sensors are seldom calibrated absolutely and are thus of lower accuracy than stand-alone temperature sensors. Nevertheless, potential temperatures were calculated from the pressure-sensor-internal temperature measurements using Gibbs </w:t>
      </w:r>
      <w:proofErr w:type="spellStart"/>
      <w:r w:rsidR="009404D8">
        <w:t>SeaWater</w:t>
      </w:r>
      <w:proofErr w:type="spellEnd"/>
      <w:r w:rsidR="009404D8">
        <w:t xml:space="preserve"> Oceanographic Package of TEOS-10</w:t>
      </w:r>
      <w:r w:rsidR="00A13374">
        <w:t xml:space="preserve"> and reference values for salinity and pressure.</w:t>
      </w:r>
      <w:r w:rsidR="009404D8">
        <w:t xml:space="preserve"> The </w:t>
      </w:r>
      <w:r w:rsidR="00A13374">
        <w:t xml:space="preserve">increased </w:t>
      </w:r>
      <w:r w:rsidR="009404D8">
        <w:t>degree of chaotic intra-array variability that is particularly visible at the lower slope (Fig. S</w:t>
      </w:r>
      <w:r w:rsidR="00A23D22">
        <w:t>1</w:t>
      </w:r>
      <w:r w:rsidR="009404D8">
        <w:t>B), where temperature fluctuations are the weakest</w:t>
      </w:r>
      <w:r w:rsidR="00A13374">
        <w:t xml:space="preserve">, is likely related to the decreased </w:t>
      </w:r>
      <w:r w:rsidR="00A13374">
        <w:lastRenderedPageBreak/>
        <w:t xml:space="preserve">precision of the pressure-sensor-internal temperature sensors. </w:t>
      </w:r>
      <w:r w:rsidR="009404D8">
        <w:t>In spite of t</w:t>
      </w:r>
      <w:r w:rsidR="00A13374">
        <w:t>he</w:t>
      </w:r>
      <w:r w:rsidR="009404D8">
        <w:t xml:space="preserve"> reduced precision of the pressure-sensor-internal temperature sensors, the corresponding records were still used for linear regression as they are an independent temperature observation and can thus aid in the verification of the observed temperature trends (Fig. S</w:t>
      </w:r>
      <w:r w:rsidR="00DD58A7">
        <w:t>3</w:t>
      </w:r>
      <w:r w:rsidR="009404D8">
        <w:t xml:space="preserve">). </w:t>
      </w:r>
    </w:p>
    <w:p w14:paraId="346D6469" w14:textId="1A4240A5" w:rsidR="00A111FF" w:rsidRDefault="00A111FF" w:rsidP="00A111FF">
      <w:pPr>
        <w:pStyle w:val="SMText"/>
      </w:pPr>
      <w:r>
        <w:t>The histogram of the pressure-sensor-internal temperature trends from the outer rise shows stronger side peaks and a larger variance than the histogram of the high-resolution temperature trends from the outer rise (Fig. 6A, Fig. S</w:t>
      </w:r>
      <w:r w:rsidR="00A23D22">
        <w:t>5</w:t>
      </w:r>
      <w:r>
        <w:t>A). At the two slope arrays, the stochastic linear regression of the pressure-sensor-internal temperature records determines average temperature trends that are larger than those determined by the stochastic linear regression of the high-resolution temperature records. However, with an average trend of 0.003 °C/a at the lower slope and 0.004 °C/a at the mid slope, the pressure-sensor-internal temperature trends are nevertheless of the same magnitude as the high-resolution temperature trends.</w:t>
      </w:r>
    </w:p>
    <w:p w14:paraId="5404BAD1" w14:textId="01E11EF6" w:rsidR="00A631DF" w:rsidRDefault="009404D8" w:rsidP="00A111FF">
      <w:pPr>
        <w:pStyle w:val="SMText"/>
        <w:ind w:firstLine="0"/>
      </w:pPr>
      <w:r>
        <w:t xml:space="preserve">At the outer rise, the trends of the pressure-sensor-internal potential temperatures range between -0.003 °C/a and -0.001 °C/a with an average of -0.002 °C/a. </w:t>
      </w:r>
      <w:r w:rsidR="00A13374">
        <w:t>At the lower slope,</w:t>
      </w:r>
      <w:r>
        <w:t xml:space="preserve"> </w:t>
      </w:r>
      <w:r w:rsidR="00A13374">
        <w:t>multi-year</w:t>
      </w:r>
      <w:r>
        <w:t xml:space="preserve"> trends ranging between</w:t>
      </w:r>
      <w:r w:rsidR="00A13374">
        <w:t>-</w:t>
      </w:r>
      <w:r>
        <w:t xml:space="preserve"> 0.002 °C/a and 0.0</w:t>
      </w:r>
      <w:r w:rsidR="00A13374">
        <w:t>33</w:t>
      </w:r>
      <w:r>
        <w:t xml:space="preserve"> °C/a with an average of 0.003 °C/a were determined. Similarly, warming trends ranging between </w:t>
      </w:r>
      <w:r w:rsidR="001E3927">
        <w:t>-</w:t>
      </w:r>
      <w:r>
        <w:t>0.0</w:t>
      </w:r>
      <w:r w:rsidR="001E3927">
        <w:t>51</w:t>
      </w:r>
      <w:r>
        <w:t xml:space="preserve"> °C/a and 0,0</w:t>
      </w:r>
      <w:r w:rsidR="001E3927">
        <w:t>92</w:t>
      </w:r>
      <w:r>
        <w:t xml:space="preserve"> °C/a with an average of 0,00</w:t>
      </w:r>
      <w:r w:rsidR="001E3927">
        <w:t>4</w:t>
      </w:r>
      <w:r>
        <w:t xml:space="preserve"> °C/a were determined for the pressure-sensor-internal temperature records from the mid slope. While the average warming trends, determined by the linear regression of the pressure-sensor-internal temperature records and the high-resolution temperature records are very similar at the mid (0.00</w:t>
      </w:r>
      <w:r w:rsidR="001E3927">
        <w:t>4</w:t>
      </w:r>
      <w:r>
        <w:t xml:space="preserve"> °C/a and 0.00</w:t>
      </w:r>
      <w:r w:rsidR="00A13374">
        <w:t>3</w:t>
      </w:r>
      <w:r>
        <w:t xml:space="preserve"> °C/a) and lower slope (0.003 °C/a and 0.00</w:t>
      </w:r>
      <w:r w:rsidR="00A13374">
        <w:t>2</w:t>
      </w:r>
      <w:r>
        <w:t xml:space="preserve"> °C/a respectively), average slopes from the outer rise (-0.002 °C/a and 0.01</w:t>
      </w:r>
      <w:r w:rsidR="00A13374">
        <w:t>8</w:t>
      </w:r>
      <w:r>
        <w:t xml:space="preserve">°C/a respectively) deviate stronger between sensors. </w:t>
      </w:r>
    </w:p>
    <w:p w14:paraId="29D453A1" w14:textId="14663ACB" w:rsidR="009A5287" w:rsidRDefault="009A5287" w:rsidP="00B9440A">
      <w:pPr>
        <w:pStyle w:val="SMText"/>
      </w:pPr>
    </w:p>
    <w:p w14:paraId="30EA357E" w14:textId="77777777" w:rsidR="00D766F1" w:rsidRDefault="00D766F1" w:rsidP="00B9440A">
      <w:pPr>
        <w:pStyle w:val="SMText"/>
      </w:pPr>
    </w:p>
    <w:p w14:paraId="38D4AB0C" w14:textId="4F721929" w:rsidR="00D84078" w:rsidRPr="00A23D22" w:rsidRDefault="00AA7E77" w:rsidP="00D84078">
      <w:pPr>
        <w:rPr>
          <w:b/>
          <w:bCs/>
          <w:kern w:val="32"/>
          <w:szCs w:val="24"/>
        </w:rPr>
      </w:pPr>
      <w:r>
        <w:br w:type="page"/>
      </w:r>
    </w:p>
    <w:p w14:paraId="51B2C3B3" w14:textId="77777777" w:rsidR="00D84078" w:rsidRDefault="00D84078" w:rsidP="00D84078">
      <w:pPr>
        <w:pStyle w:val="SMcaption"/>
      </w:pPr>
      <w:r>
        <w:rPr>
          <w:noProof/>
        </w:rPr>
        <w:lastRenderedPageBreak/>
        <w:drawing>
          <wp:inline distT="0" distB="0" distL="0" distR="0" wp14:anchorId="43CDA98A" wp14:editId="41CF79ED">
            <wp:extent cx="5981700" cy="720164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8800" cy="7234276"/>
                    </a:xfrm>
                    <a:prstGeom prst="rect">
                      <a:avLst/>
                    </a:prstGeom>
                  </pic:spPr>
                </pic:pic>
              </a:graphicData>
            </a:graphic>
          </wp:inline>
        </w:drawing>
      </w:r>
    </w:p>
    <w:p w14:paraId="520A89C9" w14:textId="0740DFCD" w:rsidR="00D84078" w:rsidRDefault="00D84078" w:rsidP="00D84078">
      <w:pPr>
        <w:pStyle w:val="SMHeading"/>
      </w:pPr>
      <w:r>
        <w:t>Figure S</w:t>
      </w:r>
      <w:r w:rsidR="00A23D22">
        <w:t>1</w:t>
      </w:r>
      <w:r>
        <w:t>.</w:t>
      </w:r>
    </w:p>
    <w:p w14:paraId="54AC4918" w14:textId="04A727BB" w:rsidR="00BB47D1" w:rsidRPr="00BB7BAD" w:rsidRDefault="00D84078" w:rsidP="00BB7BAD">
      <w:pPr>
        <w:pStyle w:val="SMcaption"/>
        <w:rPr>
          <w:color w:val="000000"/>
          <w:sz w:val="22"/>
          <w:szCs w:val="22"/>
        </w:rPr>
      </w:pPr>
      <w:r w:rsidRPr="00983DA4">
        <w:rPr>
          <w:color w:val="000000"/>
          <w:sz w:val="22"/>
          <w:szCs w:val="22"/>
        </w:rPr>
        <w:t>Comparison of potential temperature changes during warming events of exemplary periods</w:t>
      </w:r>
      <w:r w:rsidRPr="00983DA4">
        <w:rPr>
          <w:sz w:val="22"/>
          <w:szCs w:val="22"/>
        </w:rPr>
        <w:t xml:space="preserve">. Left column shows </w:t>
      </w:r>
      <w:r w:rsidRPr="00983DA4">
        <w:rPr>
          <w:color w:val="000000"/>
          <w:sz w:val="22"/>
          <w:szCs w:val="22"/>
        </w:rPr>
        <w:t xml:space="preserve">temperature changes measured at stations from the mid slope array and right column those measured at stations of lower slope array. Temperature changes are shown relative to the event’s first measurement and </w:t>
      </w:r>
      <w:proofErr w:type="spellStart"/>
      <w:r w:rsidRPr="00983DA4">
        <w:rPr>
          <w:color w:val="000000"/>
          <w:sz w:val="22"/>
          <w:szCs w:val="22"/>
        </w:rPr>
        <w:t>normalised</w:t>
      </w:r>
      <w:proofErr w:type="spellEnd"/>
      <w:r w:rsidRPr="00983DA4">
        <w:rPr>
          <w:color w:val="000000"/>
          <w:sz w:val="22"/>
          <w:szCs w:val="22"/>
        </w:rPr>
        <w:t xml:space="preserve"> with its standard deviation.</w:t>
      </w:r>
      <w:r w:rsidR="00BB47D1">
        <w:br w:type="page"/>
      </w:r>
    </w:p>
    <w:p w14:paraId="690778BC" w14:textId="164368FF" w:rsidR="002249FF" w:rsidRDefault="002249FF" w:rsidP="00B9440A">
      <w:pPr>
        <w:pStyle w:val="SMHeading"/>
      </w:pPr>
      <w:r>
        <w:rPr>
          <w:noProof/>
        </w:rPr>
        <w:lastRenderedPageBreak/>
        <w:drawing>
          <wp:inline distT="0" distB="0" distL="0" distR="0" wp14:anchorId="331FBCFA" wp14:editId="2008A55E">
            <wp:extent cx="4350317" cy="6227173"/>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0317" cy="6227173"/>
                    </a:xfrm>
                    <a:prstGeom prst="rect">
                      <a:avLst/>
                    </a:prstGeom>
                  </pic:spPr>
                </pic:pic>
              </a:graphicData>
            </a:graphic>
          </wp:inline>
        </w:drawing>
      </w:r>
    </w:p>
    <w:p w14:paraId="2507BD7C" w14:textId="61A50662" w:rsidR="00670299" w:rsidRPr="003C44F3" w:rsidRDefault="00112C5B" w:rsidP="003C44F3">
      <w:pPr>
        <w:pStyle w:val="SMHeading"/>
        <w:rPr>
          <w:b w:val="0"/>
        </w:rPr>
      </w:pPr>
      <w:r w:rsidRPr="00355362">
        <w:t>Fig. S</w:t>
      </w:r>
      <w:r w:rsidR="00A23D22">
        <w:t>2</w:t>
      </w:r>
      <w:r w:rsidR="008218C4">
        <w:t>.</w:t>
      </w:r>
      <w:r w:rsidR="003C44F3">
        <w:t xml:space="preserve"> </w:t>
      </w:r>
      <w:r w:rsidR="003774AA" w:rsidRPr="003C44F3">
        <w:rPr>
          <w:b w:val="0"/>
          <w:color w:val="000000"/>
          <w:sz w:val="22"/>
          <w:szCs w:val="22"/>
        </w:rPr>
        <w:t>Monthly running averages, with a minimum period of 7 days, were calculated from all station’s</w:t>
      </w:r>
      <w:r w:rsidR="00D84078">
        <w:rPr>
          <w:b w:val="0"/>
          <w:color w:val="000000"/>
          <w:sz w:val="22"/>
          <w:szCs w:val="22"/>
        </w:rPr>
        <w:t xml:space="preserve"> </w:t>
      </w:r>
      <w:r w:rsidR="003774AA" w:rsidRPr="003C44F3">
        <w:rPr>
          <w:b w:val="0"/>
          <w:color w:val="000000"/>
          <w:sz w:val="22"/>
          <w:szCs w:val="22"/>
        </w:rPr>
        <w:t xml:space="preserve">temperature records </w:t>
      </w:r>
      <w:r w:rsidR="00D84078">
        <w:rPr>
          <w:b w:val="0"/>
          <w:color w:val="000000"/>
          <w:sz w:val="22"/>
          <w:szCs w:val="22"/>
        </w:rPr>
        <w:t xml:space="preserve">that were acquired by the pressure-sensor-internal temperature sensor. </w:t>
      </w:r>
      <w:r w:rsidR="002249FF" w:rsidRPr="003C44F3">
        <w:rPr>
          <w:b w:val="0"/>
          <w:color w:val="000000"/>
          <w:sz w:val="22"/>
          <w:szCs w:val="22"/>
        </w:rPr>
        <w:t>Panel A shows the outer rise array, panel B the lower slope array and panel</w:t>
      </w:r>
      <w:r w:rsidR="003774AA" w:rsidRPr="003C44F3">
        <w:rPr>
          <w:b w:val="0"/>
          <w:color w:val="000000"/>
          <w:sz w:val="22"/>
          <w:szCs w:val="22"/>
        </w:rPr>
        <w:t xml:space="preserve"> </w:t>
      </w:r>
      <w:r w:rsidR="002249FF" w:rsidRPr="003C44F3">
        <w:rPr>
          <w:b w:val="0"/>
          <w:color w:val="000000"/>
          <w:sz w:val="22"/>
          <w:szCs w:val="22"/>
        </w:rPr>
        <w:t xml:space="preserve">C the mid slope array. </w:t>
      </w:r>
      <w:r w:rsidR="003774AA" w:rsidRPr="003C44F3">
        <w:rPr>
          <w:b w:val="0"/>
          <w:color w:val="000000"/>
          <w:sz w:val="22"/>
          <w:szCs w:val="22"/>
        </w:rPr>
        <w:t xml:space="preserve">The monthly average of each station is shown </w:t>
      </w:r>
      <w:proofErr w:type="spellStart"/>
      <w:r w:rsidR="003774AA" w:rsidRPr="003C44F3">
        <w:rPr>
          <w:b w:val="0"/>
          <w:color w:val="000000"/>
          <w:sz w:val="22"/>
          <w:szCs w:val="22"/>
        </w:rPr>
        <w:t>colour</w:t>
      </w:r>
      <w:proofErr w:type="spellEnd"/>
      <w:r w:rsidR="003774AA" w:rsidRPr="003C44F3">
        <w:rPr>
          <w:b w:val="0"/>
          <w:color w:val="000000"/>
          <w:sz w:val="22"/>
          <w:szCs w:val="22"/>
        </w:rPr>
        <w:t xml:space="preserve">-coded according to the relative depth of the station. The multi-year temperature trend of each station, determined via linear regression of the entire time series is marked in the plot by a dotted line, </w:t>
      </w:r>
      <w:proofErr w:type="spellStart"/>
      <w:r w:rsidR="003774AA" w:rsidRPr="003C44F3">
        <w:rPr>
          <w:b w:val="0"/>
          <w:color w:val="000000"/>
          <w:sz w:val="22"/>
          <w:szCs w:val="22"/>
        </w:rPr>
        <w:t>coloured</w:t>
      </w:r>
      <w:proofErr w:type="spellEnd"/>
      <w:r w:rsidR="003774AA" w:rsidRPr="003C44F3">
        <w:rPr>
          <w:b w:val="0"/>
          <w:color w:val="000000"/>
          <w:sz w:val="22"/>
          <w:szCs w:val="22"/>
        </w:rPr>
        <w:t xml:space="preserve"> in accordance with the station’s measured potential temperature.</w:t>
      </w:r>
    </w:p>
    <w:p w14:paraId="3FF03D25" w14:textId="4B80E87E" w:rsidR="008218C4" w:rsidRDefault="002249FF" w:rsidP="00384D9B">
      <w:r w:rsidRPr="003C44F3">
        <w:br w:type="page"/>
      </w:r>
    </w:p>
    <w:p w14:paraId="22E3B26B" w14:textId="043ABE50" w:rsidR="002249FF" w:rsidRPr="00355362" w:rsidRDefault="00EC2821" w:rsidP="002249FF">
      <w:pPr>
        <w:pStyle w:val="SMHeading"/>
      </w:pPr>
      <w:r>
        <w:rPr>
          <w:noProof/>
        </w:rPr>
        <w:lastRenderedPageBreak/>
        <w:drawing>
          <wp:inline distT="0" distB="0" distL="0" distR="0" wp14:anchorId="52A6E35B" wp14:editId="66E5F17D">
            <wp:extent cx="5943600" cy="136842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368425"/>
                    </a:xfrm>
                    <a:prstGeom prst="rect">
                      <a:avLst/>
                    </a:prstGeom>
                  </pic:spPr>
                </pic:pic>
              </a:graphicData>
            </a:graphic>
          </wp:inline>
        </w:drawing>
      </w:r>
      <w:r w:rsidR="002249FF" w:rsidRPr="00355362">
        <w:t>Fig. S</w:t>
      </w:r>
      <w:r w:rsidR="00A23D22">
        <w:t>3</w:t>
      </w:r>
      <w:r w:rsidR="002249FF">
        <w:t>.</w:t>
      </w:r>
    </w:p>
    <w:p w14:paraId="14406D78" w14:textId="6E0E1240" w:rsidR="002249FF" w:rsidRPr="000944BB" w:rsidRDefault="002249FF" w:rsidP="002249FF">
      <w:pPr>
        <w:pStyle w:val="SMcaption"/>
        <w:rPr>
          <w:sz w:val="22"/>
          <w:szCs w:val="22"/>
        </w:rPr>
      </w:pPr>
      <w:r w:rsidRPr="000944BB">
        <w:rPr>
          <w:sz w:val="22"/>
          <w:szCs w:val="22"/>
        </w:rPr>
        <w:t>The histograms of the slopes (i.e. yearly temperature trends) calculated from the pressure-sensor-internal temperature series of the outer rise, the lower slope and the upper slope are shown in panel A, B and C, respectively. A total of 400 subsets were extracted from each station’s records and used for linear regression. The kernel density estimation (blue line), a 0 °C/a reference line (dashed red line) and 25th, 50th and 75th percentile</w:t>
      </w:r>
      <w:r w:rsidR="00B5028E">
        <w:rPr>
          <w:sz w:val="22"/>
          <w:szCs w:val="22"/>
        </w:rPr>
        <w:t>s</w:t>
      </w:r>
      <w:r w:rsidRPr="000944BB">
        <w:rPr>
          <w:sz w:val="22"/>
          <w:szCs w:val="22"/>
        </w:rPr>
        <w:t xml:space="preserve"> are drawn onto the histograms.</w:t>
      </w:r>
    </w:p>
    <w:p w14:paraId="2B4C5556" w14:textId="7881C735" w:rsidR="00A049D3" w:rsidRDefault="00A049D3"/>
    <w:p w14:paraId="5BC10231" w14:textId="199F1ADE" w:rsidR="001F2FEA" w:rsidRDefault="00A36063" w:rsidP="00D84078">
      <w:pPr>
        <w:rPr>
          <w:color w:val="000000"/>
          <w:sz w:val="22"/>
          <w:szCs w:val="22"/>
        </w:rPr>
      </w:pPr>
      <w:r>
        <w:br w:type="page"/>
      </w:r>
    </w:p>
    <w:p w14:paraId="3ACCC184" w14:textId="20F011A5" w:rsidR="001F2FEA" w:rsidRDefault="001F2FEA" w:rsidP="00B9440A">
      <w:pPr>
        <w:pStyle w:val="SMHeading"/>
      </w:pPr>
      <w:r>
        <w:rPr>
          <w:noProof/>
        </w:rPr>
        <w:lastRenderedPageBreak/>
        <w:drawing>
          <wp:inline distT="0" distB="0" distL="0" distR="0" wp14:anchorId="34E1B94A" wp14:editId="773595BD">
            <wp:extent cx="4678680" cy="7044643"/>
            <wp:effectExtent l="0" t="0" r="762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4289" cy="7053089"/>
                    </a:xfrm>
                    <a:prstGeom prst="rect">
                      <a:avLst/>
                    </a:prstGeom>
                  </pic:spPr>
                </pic:pic>
              </a:graphicData>
            </a:graphic>
          </wp:inline>
        </w:drawing>
      </w:r>
    </w:p>
    <w:p w14:paraId="605B1901" w14:textId="1067D4C1" w:rsidR="00015F74" w:rsidRDefault="001F2FEA" w:rsidP="00B9440A">
      <w:pPr>
        <w:pStyle w:val="SMHeading"/>
      </w:pPr>
      <w:r>
        <w:t>Figure</w:t>
      </w:r>
      <w:r w:rsidR="00015F74">
        <w:t xml:space="preserve"> S</w:t>
      </w:r>
      <w:r w:rsidR="00A23D22">
        <w:t>4</w:t>
      </w:r>
      <w:r w:rsidR="00015F74">
        <w:t>.</w:t>
      </w:r>
    </w:p>
    <w:p w14:paraId="10BF7DE9" w14:textId="0371C58D" w:rsidR="000B50C2" w:rsidRDefault="00D84078" w:rsidP="00B9440A">
      <w:pPr>
        <w:pStyle w:val="SMcaption"/>
        <w:rPr>
          <w:color w:val="000000"/>
          <w:sz w:val="22"/>
          <w:szCs w:val="22"/>
        </w:rPr>
      </w:pPr>
      <w:r>
        <w:rPr>
          <w:color w:val="000000"/>
          <w:sz w:val="22"/>
          <w:szCs w:val="22"/>
        </w:rPr>
        <w:t xml:space="preserve">Spectral estimate of all temperature series </w:t>
      </w:r>
      <w:r w:rsidR="005665DF">
        <w:rPr>
          <w:color w:val="000000"/>
          <w:sz w:val="22"/>
          <w:szCs w:val="22"/>
        </w:rPr>
        <w:t>acquired by the pressure-sensor-internal temperature of each station of the</w:t>
      </w:r>
      <w:r>
        <w:rPr>
          <w:color w:val="000000"/>
          <w:sz w:val="22"/>
          <w:szCs w:val="22"/>
        </w:rPr>
        <w:t xml:space="preserve"> three arrays (A-C)</w:t>
      </w:r>
      <w:r w:rsidR="005665DF">
        <w:rPr>
          <w:color w:val="000000"/>
          <w:sz w:val="22"/>
          <w:szCs w:val="22"/>
        </w:rPr>
        <w:t>. Spectra are</w:t>
      </w:r>
      <w:r>
        <w:rPr>
          <w:color w:val="000000"/>
          <w:sz w:val="22"/>
          <w:szCs w:val="22"/>
        </w:rPr>
        <w:t xml:space="preserve"> estimated</w:t>
      </w:r>
      <w:r w:rsidR="005665DF">
        <w:rPr>
          <w:color w:val="000000"/>
          <w:sz w:val="22"/>
          <w:szCs w:val="22"/>
        </w:rPr>
        <w:t xml:space="preserve"> using</w:t>
      </w:r>
      <w:r>
        <w:rPr>
          <w:color w:val="000000"/>
          <w:sz w:val="22"/>
          <w:szCs w:val="22"/>
        </w:rPr>
        <w:t xml:space="preserve"> the </w:t>
      </w:r>
      <w:proofErr w:type="spellStart"/>
      <w:r>
        <w:rPr>
          <w:color w:val="000000"/>
          <w:sz w:val="22"/>
          <w:szCs w:val="22"/>
        </w:rPr>
        <w:t>multitaper</w:t>
      </w:r>
      <w:proofErr w:type="spellEnd"/>
      <w:r>
        <w:rPr>
          <w:color w:val="000000"/>
          <w:sz w:val="22"/>
          <w:szCs w:val="22"/>
        </w:rPr>
        <w:t xml:space="preserve"> method </w:t>
      </w:r>
      <w:r w:rsidR="005665DF">
        <w:rPr>
          <w:color w:val="000000"/>
          <w:sz w:val="22"/>
          <w:szCs w:val="22"/>
        </w:rPr>
        <w:t>and</w:t>
      </w:r>
      <w:r>
        <w:rPr>
          <w:color w:val="000000"/>
          <w:sz w:val="22"/>
          <w:szCs w:val="22"/>
        </w:rPr>
        <w:t xml:space="preserve"> a time-bandwidth product of 10. The spectral estimates are </w:t>
      </w:r>
      <w:proofErr w:type="spellStart"/>
      <w:r>
        <w:rPr>
          <w:color w:val="000000"/>
          <w:sz w:val="22"/>
          <w:szCs w:val="22"/>
        </w:rPr>
        <w:t>coloured</w:t>
      </w:r>
      <w:proofErr w:type="spellEnd"/>
      <w:r>
        <w:rPr>
          <w:color w:val="000000"/>
          <w:sz w:val="22"/>
          <w:szCs w:val="22"/>
        </w:rPr>
        <w:t xml:space="preserve"> according to the station’s </w:t>
      </w:r>
      <w:r w:rsidR="00FB5DC5">
        <w:rPr>
          <w:color w:val="000000"/>
          <w:sz w:val="22"/>
          <w:szCs w:val="22"/>
        </w:rPr>
        <w:t>relative depth (shallow (green) to deep (blue)).</w:t>
      </w:r>
    </w:p>
    <w:p w14:paraId="3EB45BBC" w14:textId="6AE35FE6" w:rsidR="000B50C2" w:rsidRDefault="000B50C2">
      <w:pPr>
        <w:rPr>
          <w:color w:val="000000"/>
          <w:sz w:val="22"/>
          <w:szCs w:val="22"/>
        </w:rPr>
      </w:pPr>
      <w:r>
        <w:rPr>
          <w:color w:val="000000"/>
          <w:sz w:val="22"/>
          <w:szCs w:val="22"/>
        </w:rPr>
        <w:br w:type="page"/>
      </w:r>
      <w:r>
        <w:rPr>
          <w:noProof/>
          <w:color w:val="000000"/>
          <w:sz w:val="22"/>
          <w:szCs w:val="22"/>
        </w:rPr>
        <w:lastRenderedPageBreak/>
        <w:drawing>
          <wp:inline distT="0" distB="0" distL="0" distR="0" wp14:anchorId="2FE2D8D1" wp14:editId="6760390A">
            <wp:extent cx="5676379" cy="4716780"/>
            <wp:effectExtent l="0" t="0" r="63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6.png"/>
                    <pic:cNvPicPr/>
                  </pic:nvPicPr>
                  <pic:blipFill rotWithShape="1">
                    <a:blip r:embed="rId15" cstate="print">
                      <a:extLst>
                        <a:ext uri="{28A0092B-C50C-407E-A947-70E740481C1C}">
                          <a14:useLocalDpi xmlns:a14="http://schemas.microsoft.com/office/drawing/2010/main" val="0"/>
                        </a:ext>
                      </a:extLst>
                    </a:blip>
                    <a:srcRect l="17829"/>
                    <a:stretch/>
                  </pic:blipFill>
                  <pic:spPr bwMode="auto">
                    <a:xfrm>
                      <a:off x="0" y="0"/>
                      <a:ext cx="5705862" cy="4741279"/>
                    </a:xfrm>
                    <a:prstGeom prst="rect">
                      <a:avLst/>
                    </a:prstGeom>
                    <a:ln>
                      <a:noFill/>
                    </a:ln>
                    <a:extLst>
                      <a:ext uri="{53640926-AAD7-44D8-BBD7-CCE9431645EC}">
                        <a14:shadowObscured xmlns:a14="http://schemas.microsoft.com/office/drawing/2010/main"/>
                      </a:ext>
                    </a:extLst>
                  </pic:spPr>
                </pic:pic>
              </a:graphicData>
            </a:graphic>
          </wp:inline>
        </w:drawing>
      </w:r>
    </w:p>
    <w:p w14:paraId="1240EDE2" w14:textId="1E8F59C3" w:rsidR="000B50C2" w:rsidRDefault="000B50C2" w:rsidP="000B50C2">
      <w:pPr>
        <w:pStyle w:val="SMHeading"/>
      </w:pPr>
      <w:r>
        <w:t>Figure S5.</w:t>
      </w:r>
    </w:p>
    <w:p w14:paraId="0733505D" w14:textId="685684CE" w:rsidR="000B50C2" w:rsidRDefault="000B50C2" w:rsidP="000B50C2">
      <w:pPr>
        <w:pStyle w:val="SMcaption"/>
        <w:rPr>
          <w:color w:val="000000"/>
          <w:sz w:val="22"/>
          <w:szCs w:val="22"/>
        </w:rPr>
      </w:pPr>
      <w:r>
        <w:rPr>
          <w:color w:val="000000"/>
          <w:sz w:val="22"/>
          <w:szCs w:val="22"/>
        </w:rPr>
        <w:t>Temperature and Salinities, measured by CTD casts acquired over the three arrays</w:t>
      </w:r>
      <w:r w:rsidR="00EB63BD">
        <w:rPr>
          <w:color w:val="000000"/>
          <w:sz w:val="22"/>
          <w:szCs w:val="22"/>
        </w:rPr>
        <w:t xml:space="preserve">. CTD cast location from left to right is </w:t>
      </w:r>
      <w:r w:rsidR="00AB1120">
        <w:rPr>
          <w:color w:val="000000"/>
          <w:sz w:val="22"/>
          <w:szCs w:val="22"/>
        </w:rPr>
        <w:t>A: 21° 03.609’S, 071° 44.149’W</w:t>
      </w:r>
      <w:r w:rsidR="00EB42EE">
        <w:rPr>
          <w:color w:val="000000"/>
          <w:sz w:val="22"/>
          <w:szCs w:val="22"/>
        </w:rPr>
        <w:t>;</w:t>
      </w:r>
      <w:r w:rsidR="00AB1120">
        <w:rPr>
          <w:color w:val="000000"/>
          <w:sz w:val="22"/>
          <w:szCs w:val="22"/>
        </w:rPr>
        <w:t xml:space="preserve"> </w:t>
      </w:r>
      <w:r w:rsidR="005D026E">
        <w:rPr>
          <w:color w:val="000000"/>
          <w:sz w:val="22"/>
          <w:szCs w:val="22"/>
        </w:rPr>
        <w:t>B:</w:t>
      </w:r>
      <w:r w:rsidR="00EB42EE">
        <w:rPr>
          <w:color w:val="000000"/>
          <w:sz w:val="22"/>
          <w:szCs w:val="22"/>
        </w:rPr>
        <w:t xml:space="preserve"> 20° 46.565’S, 071°04.631’W; </w:t>
      </w:r>
      <w:r w:rsidR="00EB63BD">
        <w:rPr>
          <w:color w:val="000000"/>
          <w:sz w:val="22"/>
          <w:szCs w:val="22"/>
        </w:rPr>
        <w:t xml:space="preserve">C: </w:t>
      </w:r>
      <w:r w:rsidR="00EB63BD" w:rsidRPr="00EB63BD">
        <w:rPr>
          <w:color w:val="000000"/>
          <w:sz w:val="22"/>
          <w:szCs w:val="22"/>
        </w:rPr>
        <w:t>20° 47.887’ S</w:t>
      </w:r>
      <w:r w:rsidR="00EB63BD">
        <w:rPr>
          <w:color w:val="000000"/>
          <w:sz w:val="22"/>
          <w:szCs w:val="22"/>
        </w:rPr>
        <w:t xml:space="preserve">, </w:t>
      </w:r>
      <w:r w:rsidR="00EB63BD" w:rsidRPr="00EB63BD">
        <w:rPr>
          <w:color w:val="000000"/>
          <w:sz w:val="22"/>
          <w:szCs w:val="22"/>
        </w:rPr>
        <w:t>070° 49.824' W</w:t>
      </w:r>
      <w:r w:rsidR="00481C83">
        <w:rPr>
          <w:color w:val="000000"/>
          <w:sz w:val="22"/>
          <w:szCs w:val="22"/>
        </w:rPr>
        <w:t>.</w:t>
      </w:r>
    </w:p>
    <w:p w14:paraId="5A31C9AC" w14:textId="00417DB7" w:rsidR="00EE0971" w:rsidRDefault="00EE0971" w:rsidP="000B50C2">
      <w:pPr>
        <w:pStyle w:val="SMcaption"/>
        <w:rPr>
          <w:color w:val="000000"/>
          <w:sz w:val="22"/>
          <w:szCs w:val="22"/>
          <w:lang w:val="en-IE"/>
        </w:rPr>
      </w:pPr>
    </w:p>
    <w:p w14:paraId="2163DF76" w14:textId="2D3F711F" w:rsidR="005B0F82" w:rsidRDefault="00814BAA" w:rsidP="005B0F82">
      <w:pPr>
        <w:pStyle w:val="SMSubheading"/>
        <w:rPr>
          <w:u w:val="single"/>
        </w:rPr>
      </w:pPr>
      <w:r w:rsidRPr="00E22D59">
        <w:rPr>
          <w:u w:val="single"/>
        </w:rPr>
        <w:t xml:space="preserve">Sound speed </w:t>
      </w:r>
      <w:r w:rsidR="005B0F82">
        <w:rPr>
          <w:u w:val="single"/>
        </w:rPr>
        <w:t xml:space="preserve">data and </w:t>
      </w:r>
      <w:r w:rsidRPr="00E22D59">
        <w:rPr>
          <w:u w:val="single"/>
        </w:rPr>
        <w:t>derived salinit</w:t>
      </w:r>
      <w:r w:rsidR="005B0F82">
        <w:rPr>
          <w:u w:val="single"/>
        </w:rPr>
        <w:t>ies</w:t>
      </w:r>
    </w:p>
    <w:p w14:paraId="19BA7695" w14:textId="631E143A" w:rsidR="005B0F82" w:rsidRPr="005B0F82" w:rsidRDefault="008208C6" w:rsidP="005B0F82">
      <w:pPr>
        <w:pStyle w:val="SMText"/>
        <w:ind w:firstLine="0"/>
      </w:pPr>
      <w:r>
        <w:t>The discussed sound speed measurements were acquired by the built-in sound speed sensor of the</w:t>
      </w:r>
      <w:r w:rsidR="005B0F82" w:rsidRPr="00FE7CBD">
        <w:t xml:space="preserve"> acoustic transponder </w:t>
      </w:r>
      <w:bookmarkStart w:id="3" w:name="_Hlk164873072"/>
      <w:r w:rsidR="005B0F82" w:rsidRPr="00FE7CBD">
        <w:rPr>
          <w:i/>
        </w:rPr>
        <w:t>Type 8300 Wideband Transponder</w:t>
      </w:r>
      <w:bookmarkEnd w:id="3"/>
      <w:r>
        <w:rPr>
          <w:i/>
        </w:rPr>
        <w:t xml:space="preserve"> </w:t>
      </w:r>
      <w:r w:rsidRPr="008208C6">
        <w:t>(</w:t>
      </w:r>
      <w:r w:rsidRPr="00FE7CBD">
        <w:t xml:space="preserve">manufactured by </w:t>
      </w:r>
      <w:proofErr w:type="spellStart"/>
      <w:r w:rsidRPr="00FE7CBD">
        <w:rPr>
          <w:i/>
        </w:rPr>
        <w:t>Sonardyne</w:t>
      </w:r>
      <w:proofErr w:type="spellEnd"/>
      <w:r w:rsidRPr="008208C6">
        <w:t>)</w:t>
      </w:r>
      <w:r w:rsidR="005B0F82">
        <w:rPr>
          <w:i/>
        </w:rPr>
        <w:t>.</w:t>
      </w:r>
      <w:r w:rsidR="00516BAF">
        <w:rPr>
          <w:i/>
        </w:rPr>
        <w:t xml:space="preserve"> </w:t>
      </w:r>
      <w:bookmarkStart w:id="4" w:name="_GoBack"/>
      <w:bookmarkEnd w:id="4"/>
      <w:r w:rsidR="00516BAF" w:rsidRPr="00516BAF">
        <w:t>The</w:t>
      </w:r>
      <w:r w:rsidR="00516BAF">
        <w:t xml:space="preserve"> built-in sound speed sensor is the 100 mm</w:t>
      </w:r>
      <w:r w:rsidR="005B0F82" w:rsidRPr="00E82E1D">
        <w:t xml:space="preserve"> </w:t>
      </w:r>
      <w:r w:rsidR="00516BAF">
        <w:t>model</w:t>
      </w:r>
      <w:r w:rsidR="005B0F82">
        <w:t xml:space="preserve">, which is given a resolution of 0.01 m/s </w:t>
      </w:r>
      <w:r w:rsidR="00516BAF">
        <w:t xml:space="preserve">and an accuracy of +/- 0.03 m/s </w:t>
      </w:r>
      <w:r w:rsidR="005B0F82">
        <w:t>by the manufacturer.</w:t>
      </w:r>
    </w:p>
    <w:p w14:paraId="11E52817" w14:textId="062A6A71" w:rsidR="004066F0" w:rsidRPr="00BA2092" w:rsidRDefault="000E56EE" w:rsidP="0098205B">
      <w:pPr>
        <w:pStyle w:val="SMSubheading"/>
        <w:rPr>
          <w:u w:val="none"/>
        </w:rPr>
      </w:pPr>
      <w:r>
        <w:rPr>
          <w:u w:val="none"/>
        </w:rPr>
        <w:t xml:space="preserve">The salinities derived from the sound speed measurements of each station are shown in Figure S6. The time series of an array show similar overall trends, though station 2310 and 2104 </w:t>
      </w:r>
      <w:r w:rsidR="002C2995">
        <w:rPr>
          <w:u w:val="none"/>
        </w:rPr>
        <w:t>show oscillations that are not mirrored by the other stations and are thus possibl</w:t>
      </w:r>
      <w:r w:rsidR="00AE1605">
        <w:rPr>
          <w:u w:val="none"/>
        </w:rPr>
        <w:t>e</w:t>
      </w:r>
      <w:r w:rsidR="00E925A9">
        <w:rPr>
          <w:u w:val="none"/>
        </w:rPr>
        <w:t xml:space="preserve"> artefacts.</w:t>
      </w:r>
      <w:r w:rsidR="00450498">
        <w:rPr>
          <w:u w:val="none"/>
        </w:rPr>
        <w:t xml:space="preserve"> While the oceanic plate site appears to experience an overall salinity increase over the time of the experiment, salinities appear to decrease over the continental slope</w:t>
      </w:r>
      <w:r w:rsidR="00BE6AD8">
        <w:rPr>
          <w:u w:val="none"/>
        </w:rPr>
        <w:t xml:space="preserve"> (Fig. S6)</w:t>
      </w:r>
      <w:r w:rsidR="00450498">
        <w:rPr>
          <w:u w:val="none"/>
        </w:rPr>
        <w:t>.</w:t>
      </w:r>
      <w:r w:rsidR="005A269C">
        <w:rPr>
          <w:u w:val="none"/>
        </w:rPr>
        <w:t xml:space="preserve"> </w:t>
      </w:r>
      <w:r w:rsidR="00347940">
        <w:rPr>
          <w:u w:val="none"/>
        </w:rPr>
        <w:t>Over the continental slope, t</w:t>
      </w:r>
      <w:r w:rsidR="005A269C">
        <w:rPr>
          <w:u w:val="none"/>
        </w:rPr>
        <w:t xml:space="preserve">he </w:t>
      </w:r>
      <w:r w:rsidR="00347940">
        <w:rPr>
          <w:u w:val="none"/>
        </w:rPr>
        <w:t>most prominent feature</w:t>
      </w:r>
      <w:r w:rsidR="00516BAF">
        <w:rPr>
          <w:u w:val="none"/>
        </w:rPr>
        <w:t>s</w:t>
      </w:r>
      <w:r w:rsidR="00347940">
        <w:rPr>
          <w:u w:val="none"/>
        </w:rPr>
        <w:t xml:space="preserve"> of the </w:t>
      </w:r>
      <w:r w:rsidR="005A269C">
        <w:rPr>
          <w:u w:val="none"/>
        </w:rPr>
        <w:t xml:space="preserve">salinity depth sections </w:t>
      </w:r>
      <w:r w:rsidR="00516BAF">
        <w:rPr>
          <w:u w:val="none"/>
        </w:rPr>
        <w:t>are</w:t>
      </w:r>
      <w:r w:rsidR="00347940">
        <w:rPr>
          <w:u w:val="none"/>
        </w:rPr>
        <w:t>,</w:t>
      </w:r>
      <w:r w:rsidR="005A269C">
        <w:rPr>
          <w:u w:val="none"/>
        </w:rPr>
        <w:t xml:space="preserve"> </w:t>
      </w:r>
      <w:r w:rsidR="00347940">
        <w:rPr>
          <w:u w:val="none"/>
        </w:rPr>
        <w:t>the abrupt increase in salinity at the beginning of 2016 (Fig. S6B+C) and the anomalies produced by the salinity oscillations of 2310 and 2104 (Fig. S7+6B, 2017-05; Fig S7+6C, 2017-09).</w:t>
      </w:r>
      <w:r w:rsidR="00152052">
        <w:rPr>
          <w:u w:val="none"/>
        </w:rPr>
        <w:t xml:space="preserve"> However, the corresponding salinity oscillations of stations 2310 and 2104 are likely artefacts, since they </w:t>
      </w:r>
      <w:r w:rsidR="00152052">
        <w:rPr>
          <w:u w:val="none"/>
        </w:rPr>
        <w:lastRenderedPageBreak/>
        <w:t>do not appear in the neighboring station’s salinities.</w:t>
      </w:r>
      <w:r w:rsidR="00275C4E">
        <w:rPr>
          <w:u w:val="none"/>
        </w:rPr>
        <w:t xml:space="preserve"> </w:t>
      </w:r>
      <w:r w:rsidR="00E509A5">
        <w:rPr>
          <w:u w:val="none"/>
        </w:rPr>
        <w:t>High frequency oscillations</w:t>
      </w:r>
      <w:r w:rsidR="00E10B8E">
        <w:rPr>
          <w:u w:val="none"/>
        </w:rPr>
        <w:t>, similar to those seen in the T/z section (Fig. 4),</w:t>
      </w:r>
      <w:r w:rsidR="00E509A5">
        <w:rPr>
          <w:u w:val="none"/>
        </w:rPr>
        <w:t xml:space="preserve"> can be observed in the salinity data of all three arrays, </w:t>
      </w:r>
      <w:r w:rsidR="00E10B8E">
        <w:rPr>
          <w:u w:val="none"/>
        </w:rPr>
        <w:t>though they appear to have larger average frequencies and lack the clear depth-dependency of the amplitude (Fig. S7).</w:t>
      </w:r>
    </w:p>
    <w:p w14:paraId="6B807B51" w14:textId="4B4F0F5B" w:rsidR="0098205B" w:rsidRDefault="005D1CFA" w:rsidP="000B50C2">
      <w:pPr>
        <w:pStyle w:val="SMcaption"/>
        <w:rPr>
          <w:color w:val="000000"/>
          <w:sz w:val="22"/>
          <w:szCs w:val="22"/>
        </w:rPr>
      </w:pPr>
      <w:r>
        <w:rPr>
          <w:noProof/>
          <w:color w:val="000000"/>
          <w:sz w:val="22"/>
          <w:szCs w:val="22"/>
        </w:rPr>
        <w:drawing>
          <wp:inline distT="0" distB="0" distL="0" distR="0" wp14:anchorId="779FCACE" wp14:editId="03957ACB">
            <wp:extent cx="3877670" cy="6797040"/>
            <wp:effectExtent l="0" t="0" r="889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1325" cy="6820976"/>
                    </a:xfrm>
                    <a:prstGeom prst="rect">
                      <a:avLst/>
                    </a:prstGeom>
                  </pic:spPr>
                </pic:pic>
              </a:graphicData>
            </a:graphic>
          </wp:inline>
        </w:drawing>
      </w:r>
    </w:p>
    <w:p w14:paraId="330CF691" w14:textId="12A1AE8E" w:rsidR="005D1CFA" w:rsidRPr="00E97E06" w:rsidRDefault="005D1CFA" w:rsidP="000B50C2">
      <w:pPr>
        <w:pStyle w:val="SMcaption"/>
        <w:rPr>
          <w:b/>
          <w:color w:val="000000"/>
          <w:sz w:val="22"/>
          <w:szCs w:val="22"/>
        </w:rPr>
      </w:pPr>
      <w:r w:rsidRPr="00E97E06">
        <w:rPr>
          <w:b/>
          <w:color w:val="000000"/>
          <w:sz w:val="22"/>
          <w:szCs w:val="22"/>
        </w:rPr>
        <w:t>Figure S6</w:t>
      </w:r>
      <w:r w:rsidR="007C7B3C" w:rsidRPr="00E97E06">
        <w:rPr>
          <w:b/>
          <w:color w:val="000000"/>
          <w:sz w:val="22"/>
          <w:szCs w:val="22"/>
        </w:rPr>
        <w:t>.</w:t>
      </w:r>
    </w:p>
    <w:p w14:paraId="2F9503E3" w14:textId="77777777" w:rsidR="00CE682F" w:rsidRDefault="00E63BD3" w:rsidP="000B50C2">
      <w:pPr>
        <w:pStyle w:val="SMcaption"/>
      </w:pPr>
      <w:r>
        <w:t xml:space="preserve">Thin lines show the </w:t>
      </w:r>
      <w:r w:rsidR="00B24B16">
        <w:t xml:space="preserve">derived salinity </w:t>
      </w:r>
      <w:r>
        <w:t>data and solid lines the m</w:t>
      </w:r>
      <w:r w:rsidRPr="004268BA">
        <w:t xml:space="preserve">onthly running averages, </w:t>
      </w:r>
      <w:r>
        <w:t xml:space="preserve">that were calculated </w:t>
      </w:r>
      <w:r w:rsidRPr="004268BA">
        <w:t xml:space="preserve">with a minimum period of 7 days. </w:t>
      </w:r>
      <w:r w:rsidRPr="00547C3D">
        <w:t xml:space="preserve">The monthly average of each station is shown </w:t>
      </w:r>
      <w:proofErr w:type="spellStart"/>
      <w:r w:rsidRPr="00547C3D">
        <w:t>colour</w:t>
      </w:r>
      <w:proofErr w:type="spellEnd"/>
      <w:r w:rsidRPr="00547C3D">
        <w:t xml:space="preserve">-coded according to the relative depth of the station and the average of all the array’s </w:t>
      </w:r>
      <w:r w:rsidRPr="00547C3D">
        <w:lastRenderedPageBreak/>
        <w:t>temperature records was added in black</w:t>
      </w:r>
      <w:r>
        <w:t xml:space="preserve">. </w:t>
      </w:r>
      <w:r w:rsidRPr="00547C3D">
        <w:t xml:space="preserve">Panel A shows the </w:t>
      </w:r>
      <w:r>
        <w:t>oceanic plate site</w:t>
      </w:r>
      <w:r w:rsidRPr="00547C3D">
        <w:t xml:space="preserve">, panel B the lower </w:t>
      </w:r>
      <w:r>
        <w:t xml:space="preserve">continental </w:t>
      </w:r>
      <w:r w:rsidRPr="00547C3D">
        <w:t xml:space="preserve">slope array and panel C the mid </w:t>
      </w:r>
      <w:r>
        <w:t xml:space="preserve">continental </w:t>
      </w:r>
      <w:r w:rsidRPr="00547C3D">
        <w:t xml:space="preserve">slope array. </w:t>
      </w:r>
      <w:r w:rsidRPr="004268BA">
        <w:t xml:space="preserve">The </w:t>
      </w:r>
      <w:r>
        <w:t>multi-year temperature trend of each station, determined via linear regression of each time series is</w:t>
      </w:r>
      <w:r w:rsidRPr="004268BA">
        <w:t xml:space="preserve"> marked by </w:t>
      </w:r>
      <w:r>
        <w:t>the</w:t>
      </w:r>
      <w:r w:rsidRPr="004268BA">
        <w:t xml:space="preserve"> dotted line</w:t>
      </w:r>
      <w:r>
        <w:t>s</w:t>
      </w:r>
      <w:r w:rsidRPr="004268BA">
        <w:t xml:space="preserve">, </w:t>
      </w:r>
      <w:proofErr w:type="spellStart"/>
      <w:r w:rsidRPr="004268BA">
        <w:t>coloured</w:t>
      </w:r>
      <w:proofErr w:type="spellEnd"/>
      <w:r w:rsidRPr="004268BA">
        <w:t xml:space="preserve"> in accordance with the station’s </w:t>
      </w:r>
      <w:r w:rsidR="00B24B16">
        <w:t>derived salinity</w:t>
      </w:r>
      <w:r w:rsidRPr="004268BA">
        <w:t>.</w:t>
      </w:r>
    </w:p>
    <w:p w14:paraId="3DD5ED65" w14:textId="39B6A998" w:rsidR="00EE0971" w:rsidRDefault="00EE0971" w:rsidP="000B50C2">
      <w:pPr>
        <w:pStyle w:val="SMcaption"/>
        <w:rPr>
          <w:color w:val="000000"/>
          <w:sz w:val="22"/>
          <w:szCs w:val="22"/>
          <w:lang w:val="en-IE"/>
        </w:rPr>
      </w:pPr>
      <w:r>
        <w:rPr>
          <w:noProof/>
          <w:color w:val="000000"/>
          <w:sz w:val="22"/>
          <w:szCs w:val="22"/>
          <w:lang w:val="en-IE"/>
        </w:rPr>
        <w:drawing>
          <wp:inline distT="0" distB="0" distL="0" distR="0" wp14:anchorId="155501F6" wp14:editId="5A462BAF">
            <wp:extent cx="5851009" cy="43027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1009" cy="4302760"/>
                    </a:xfrm>
                    <a:prstGeom prst="rect">
                      <a:avLst/>
                    </a:prstGeom>
                  </pic:spPr>
                </pic:pic>
              </a:graphicData>
            </a:graphic>
          </wp:inline>
        </w:drawing>
      </w:r>
    </w:p>
    <w:p w14:paraId="0237CD58" w14:textId="15B1B93A" w:rsidR="00EE0971" w:rsidRPr="009B71D4" w:rsidRDefault="00EE0971" w:rsidP="009B71D4">
      <w:pPr>
        <w:pStyle w:val="SMHeading"/>
        <w:rPr>
          <w:lang w:val="en-IE"/>
        </w:rPr>
      </w:pPr>
      <w:r w:rsidRPr="009B71D4">
        <w:rPr>
          <w:lang w:val="en-IE"/>
        </w:rPr>
        <w:t>Figure S</w:t>
      </w:r>
      <w:r w:rsidR="00E97E06">
        <w:rPr>
          <w:lang w:val="en-IE"/>
        </w:rPr>
        <w:t>7</w:t>
      </w:r>
      <w:r w:rsidRPr="009B71D4">
        <w:rPr>
          <w:lang w:val="en-IE"/>
        </w:rPr>
        <w:t>.</w:t>
      </w:r>
    </w:p>
    <w:p w14:paraId="59F967B2" w14:textId="44480026" w:rsidR="00EE0971" w:rsidRDefault="00B73249" w:rsidP="000B50C2">
      <w:pPr>
        <w:pStyle w:val="SMcaption"/>
        <w:rPr>
          <w:color w:val="000000"/>
          <w:sz w:val="22"/>
          <w:szCs w:val="22"/>
          <w:lang w:val="en-IE"/>
        </w:rPr>
      </w:pPr>
      <w:r>
        <w:rPr>
          <w:color w:val="000000"/>
          <w:sz w:val="22"/>
          <w:szCs w:val="22"/>
          <w:lang w:val="en-IE"/>
        </w:rPr>
        <w:t>Salinity depth section of the three seafloor array sites (Panels A-C). The salinity was derived from sound speed measurements and was gridded day wise with a vertical resolution of 40m.</w:t>
      </w:r>
    </w:p>
    <w:p w14:paraId="193A8474" w14:textId="77777777" w:rsidR="007F7413" w:rsidRPr="00EB63BD" w:rsidRDefault="007F7413" w:rsidP="000B50C2">
      <w:pPr>
        <w:pStyle w:val="SMcaption"/>
        <w:rPr>
          <w:color w:val="000000"/>
          <w:sz w:val="22"/>
          <w:szCs w:val="22"/>
          <w:lang w:val="en-IE"/>
        </w:rPr>
      </w:pPr>
    </w:p>
    <w:p w14:paraId="7182D9B5" w14:textId="77777777" w:rsidR="000B50C2" w:rsidRDefault="000B50C2" w:rsidP="000B50C2">
      <w:pPr>
        <w:pStyle w:val="SMcaption"/>
        <w:rPr>
          <w:color w:val="000000"/>
          <w:sz w:val="22"/>
          <w:szCs w:val="22"/>
        </w:rPr>
      </w:pPr>
    </w:p>
    <w:p w14:paraId="784374FF" w14:textId="297F8FA1" w:rsidR="007976C5" w:rsidRPr="00CD5BD1" w:rsidRDefault="007976C5" w:rsidP="007B1E48">
      <w:pPr>
        <w:pStyle w:val="Literaturverzeichnis"/>
        <w:rPr>
          <w:b/>
          <w:color w:val="000000"/>
          <w:sz w:val="22"/>
          <w:szCs w:val="22"/>
        </w:rPr>
      </w:pPr>
      <w:r w:rsidRPr="00CD5BD1">
        <w:rPr>
          <w:b/>
          <w:color w:val="000000"/>
          <w:sz w:val="22"/>
          <w:szCs w:val="22"/>
        </w:rPr>
        <w:t>REFERENCES AND NOTES</w:t>
      </w:r>
    </w:p>
    <w:p w14:paraId="5795048B" w14:textId="77777777" w:rsidR="00996002" w:rsidRPr="00996002" w:rsidRDefault="007B1E48" w:rsidP="00996002">
      <w:pPr>
        <w:pStyle w:val="Literaturverzeichnis"/>
        <w:rPr>
          <w:sz w:val="22"/>
        </w:rPr>
      </w:pPr>
      <w:r>
        <w:rPr>
          <w:color w:val="000000"/>
          <w:sz w:val="22"/>
          <w:szCs w:val="22"/>
        </w:rPr>
        <w:fldChar w:fldCharType="begin"/>
      </w:r>
      <w:r w:rsidR="00996002">
        <w:rPr>
          <w:color w:val="000000"/>
          <w:sz w:val="22"/>
          <w:szCs w:val="22"/>
        </w:rPr>
        <w:instrText xml:space="preserve"> ADDIN ZOTERO_BIBL {"uncited":[],"omitted":[],"custom":[]} CSL_BIBLIOGRAPHY </w:instrText>
      </w:r>
      <w:r>
        <w:rPr>
          <w:color w:val="000000"/>
          <w:sz w:val="22"/>
          <w:szCs w:val="22"/>
        </w:rPr>
        <w:fldChar w:fldCharType="separate"/>
      </w:r>
      <w:r w:rsidR="00996002" w:rsidRPr="00996002">
        <w:rPr>
          <w:sz w:val="22"/>
        </w:rPr>
        <w:t>1.</w:t>
      </w:r>
      <w:r w:rsidR="00996002" w:rsidRPr="00996002">
        <w:rPr>
          <w:sz w:val="22"/>
        </w:rPr>
        <w:tab/>
        <w:t xml:space="preserve">Lange, D. </w:t>
      </w:r>
      <w:r w:rsidR="00996002" w:rsidRPr="00996002">
        <w:rPr>
          <w:i/>
          <w:iCs/>
          <w:sz w:val="22"/>
        </w:rPr>
        <w:t>et al.</w:t>
      </w:r>
      <w:r w:rsidR="00996002" w:rsidRPr="00996002">
        <w:rPr>
          <w:sz w:val="22"/>
        </w:rPr>
        <w:t xml:space="preserve"> Interseismic strain build-up on the submarine North Anatolian Fault offshore Istanbul. </w:t>
      </w:r>
      <w:r w:rsidR="00996002" w:rsidRPr="00996002">
        <w:rPr>
          <w:i/>
          <w:iCs/>
          <w:sz w:val="22"/>
        </w:rPr>
        <w:t>Nat Commun</w:t>
      </w:r>
      <w:r w:rsidR="00996002" w:rsidRPr="00996002">
        <w:rPr>
          <w:sz w:val="22"/>
        </w:rPr>
        <w:t xml:space="preserve"> </w:t>
      </w:r>
      <w:r w:rsidR="00996002" w:rsidRPr="00996002">
        <w:rPr>
          <w:b/>
          <w:bCs/>
          <w:sz w:val="22"/>
        </w:rPr>
        <w:t>10</w:t>
      </w:r>
      <w:r w:rsidR="00996002" w:rsidRPr="00996002">
        <w:rPr>
          <w:sz w:val="22"/>
        </w:rPr>
        <w:t>, 3006 (2019).</w:t>
      </w:r>
    </w:p>
    <w:p w14:paraId="0ADC3140" w14:textId="77777777" w:rsidR="00996002" w:rsidRPr="00996002" w:rsidRDefault="00996002" w:rsidP="00996002">
      <w:pPr>
        <w:pStyle w:val="Literaturverzeichnis"/>
        <w:rPr>
          <w:sz w:val="22"/>
        </w:rPr>
      </w:pPr>
      <w:r w:rsidRPr="00996002">
        <w:rPr>
          <w:sz w:val="22"/>
        </w:rPr>
        <w:t>2.</w:t>
      </w:r>
      <w:r w:rsidRPr="00996002">
        <w:rPr>
          <w:sz w:val="22"/>
        </w:rPr>
        <w:tab/>
        <w:t xml:space="preserve">Petersen, F., Kopp, H., Lange, D., Hannemann, K. &amp; Urlaub, M. Measuring tectonic seafloor deformation and strain-build up with acoustic direct-path ranging. </w:t>
      </w:r>
      <w:r w:rsidRPr="00996002">
        <w:rPr>
          <w:i/>
          <w:iCs/>
          <w:sz w:val="22"/>
        </w:rPr>
        <w:t>Journal of Geodynamics</w:t>
      </w:r>
      <w:r w:rsidRPr="00996002">
        <w:rPr>
          <w:sz w:val="22"/>
        </w:rPr>
        <w:t xml:space="preserve"> </w:t>
      </w:r>
      <w:r w:rsidRPr="00996002">
        <w:rPr>
          <w:b/>
          <w:bCs/>
          <w:sz w:val="22"/>
        </w:rPr>
        <w:t>124</w:t>
      </w:r>
      <w:r w:rsidRPr="00996002">
        <w:rPr>
          <w:sz w:val="22"/>
        </w:rPr>
        <w:t>, 14–24 (2019).</w:t>
      </w:r>
    </w:p>
    <w:p w14:paraId="3C5A152E" w14:textId="77777777" w:rsidR="00996002" w:rsidRPr="00996002" w:rsidRDefault="00996002" w:rsidP="00996002">
      <w:pPr>
        <w:pStyle w:val="Literaturverzeichnis"/>
        <w:rPr>
          <w:sz w:val="22"/>
        </w:rPr>
      </w:pPr>
      <w:r w:rsidRPr="00996002">
        <w:rPr>
          <w:sz w:val="22"/>
        </w:rPr>
        <w:lastRenderedPageBreak/>
        <w:t>3.</w:t>
      </w:r>
      <w:r w:rsidRPr="00996002">
        <w:rPr>
          <w:sz w:val="22"/>
        </w:rPr>
        <w:tab/>
        <w:t xml:space="preserve">Urlaub, M. </w:t>
      </w:r>
      <w:r w:rsidRPr="00996002">
        <w:rPr>
          <w:i/>
          <w:iCs/>
          <w:sz w:val="22"/>
        </w:rPr>
        <w:t>et al.</w:t>
      </w:r>
      <w:r w:rsidRPr="00996002">
        <w:rPr>
          <w:sz w:val="22"/>
        </w:rPr>
        <w:t xml:space="preserve"> Gravitational collapse of Mount Etna’s southeastern flank. </w:t>
      </w:r>
      <w:r w:rsidRPr="00996002">
        <w:rPr>
          <w:i/>
          <w:iCs/>
          <w:sz w:val="22"/>
        </w:rPr>
        <w:t>Science Advances</w:t>
      </w:r>
      <w:r w:rsidRPr="00996002">
        <w:rPr>
          <w:sz w:val="22"/>
        </w:rPr>
        <w:t xml:space="preserve"> </w:t>
      </w:r>
      <w:r w:rsidRPr="00996002">
        <w:rPr>
          <w:b/>
          <w:bCs/>
          <w:sz w:val="22"/>
        </w:rPr>
        <w:t>4</w:t>
      </w:r>
      <w:r w:rsidRPr="00996002">
        <w:rPr>
          <w:sz w:val="22"/>
        </w:rPr>
        <w:t>, eaat9700 (2018).</w:t>
      </w:r>
    </w:p>
    <w:p w14:paraId="66EB50A3" w14:textId="77777777" w:rsidR="00996002" w:rsidRPr="00996002" w:rsidRDefault="00996002" w:rsidP="00996002">
      <w:pPr>
        <w:pStyle w:val="Literaturverzeichnis"/>
        <w:rPr>
          <w:sz w:val="22"/>
        </w:rPr>
      </w:pPr>
      <w:r w:rsidRPr="00996002">
        <w:rPr>
          <w:sz w:val="22"/>
        </w:rPr>
        <w:t>4.</w:t>
      </w:r>
      <w:r w:rsidRPr="00996002">
        <w:rPr>
          <w:sz w:val="22"/>
        </w:rPr>
        <w:tab/>
        <w:t xml:space="preserve">Watts, D. R. &amp; Kontoyiannis, H. Deep-Ocean Bottom Pressure Measurement: Drift Removal and Performance. </w:t>
      </w:r>
      <w:r w:rsidRPr="00996002">
        <w:rPr>
          <w:i/>
          <w:iCs/>
          <w:sz w:val="22"/>
        </w:rPr>
        <w:t>Journal of Atmospheric and Oceanic Technology</w:t>
      </w:r>
      <w:r w:rsidRPr="00996002">
        <w:rPr>
          <w:sz w:val="22"/>
        </w:rPr>
        <w:t xml:space="preserve"> </w:t>
      </w:r>
      <w:r w:rsidRPr="00996002">
        <w:rPr>
          <w:b/>
          <w:bCs/>
          <w:sz w:val="22"/>
        </w:rPr>
        <w:t>7</w:t>
      </w:r>
      <w:r w:rsidRPr="00996002">
        <w:rPr>
          <w:sz w:val="22"/>
        </w:rPr>
        <w:t>, 296–306 (1990).</w:t>
      </w:r>
    </w:p>
    <w:p w14:paraId="3A2534E2" w14:textId="6C816FA1" w:rsidR="007B1E48" w:rsidRDefault="007B1E48">
      <w:pPr>
        <w:rPr>
          <w:color w:val="000000"/>
          <w:sz w:val="22"/>
          <w:szCs w:val="22"/>
        </w:rPr>
      </w:pPr>
      <w:r>
        <w:rPr>
          <w:color w:val="000000"/>
          <w:sz w:val="22"/>
          <w:szCs w:val="22"/>
        </w:rPr>
        <w:fldChar w:fldCharType="end"/>
      </w:r>
    </w:p>
    <w:p w14:paraId="073577B2" w14:textId="77777777" w:rsidR="00B9440A" w:rsidRPr="00015F74" w:rsidRDefault="00B9440A" w:rsidP="00B9440A">
      <w:pPr>
        <w:pStyle w:val="SMcaption"/>
      </w:pPr>
    </w:p>
    <w:sectPr w:rsidR="00B9440A" w:rsidRPr="00015F74" w:rsidSect="00E853D5">
      <w:headerReference w:type="default" r:id="rId18"/>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F2C7D" w14:textId="77777777" w:rsidR="005C52A9" w:rsidRDefault="005C52A9">
      <w:r>
        <w:separator/>
      </w:r>
    </w:p>
  </w:endnote>
  <w:endnote w:type="continuationSeparator" w:id="0">
    <w:p w14:paraId="203E5517" w14:textId="77777777" w:rsidR="005C52A9" w:rsidRDefault="005C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F125EE" w:rsidRDefault="00114193">
    <w:pPr>
      <w:pStyle w:val="Fuzeile"/>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CCE14" w14:textId="77777777" w:rsidR="005C52A9" w:rsidRDefault="005C52A9">
      <w:r>
        <w:separator/>
      </w:r>
    </w:p>
  </w:footnote>
  <w:footnote w:type="continuationSeparator" w:id="0">
    <w:p w14:paraId="6DE6C59E" w14:textId="77777777" w:rsidR="005C52A9" w:rsidRDefault="005C5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55D1"/>
    <w:rsid w:val="00050446"/>
    <w:rsid w:val="00065EBD"/>
    <w:rsid w:val="00066D0C"/>
    <w:rsid w:val="00083B44"/>
    <w:rsid w:val="000850DC"/>
    <w:rsid w:val="000944BB"/>
    <w:rsid w:val="000A6A77"/>
    <w:rsid w:val="000B50C2"/>
    <w:rsid w:val="000C07BF"/>
    <w:rsid w:val="000C2771"/>
    <w:rsid w:val="000D46F4"/>
    <w:rsid w:val="000E56EE"/>
    <w:rsid w:val="000E7654"/>
    <w:rsid w:val="000F0DCE"/>
    <w:rsid w:val="000F6BE3"/>
    <w:rsid w:val="000F78E1"/>
    <w:rsid w:val="00112C5B"/>
    <w:rsid w:val="00114193"/>
    <w:rsid w:val="00115A38"/>
    <w:rsid w:val="0011687B"/>
    <w:rsid w:val="00117D69"/>
    <w:rsid w:val="00124F82"/>
    <w:rsid w:val="001270AC"/>
    <w:rsid w:val="00141B6D"/>
    <w:rsid w:val="001477C5"/>
    <w:rsid w:val="00152052"/>
    <w:rsid w:val="0016337A"/>
    <w:rsid w:val="00164269"/>
    <w:rsid w:val="001A1BDE"/>
    <w:rsid w:val="001A5451"/>
    <w:rsid w:val="001B13CE"/>
    <w:rsid w:val="001E3927"/>
    <w:rsid w:val="001F0876"/>
    <w:rsid w:val="001F0B7D"/>
    <w:rsid w:val="001F167C"/>
    <w:rsid w:val="001F2FEA"/>
    <w:rsid w:val="001F5E91"/>
    <w:rsid w:val="00200678"/>
    <w:rsid w:val="002077B9"/>
    <w:rsid w:val="002249FF"/>
    <w:rsid w:val="00242BDE"/>
    <w:rsid w:val="00262D72"/>
    <w:rsid w:val="00275C4E"/>
    <w:rsid w:val="00294FBB"/>
    <w:rsid w:val="002A4DD9"/>
    <w:rsid w:val="002C030F"/>
    <w:rsid w:val="002C2995"/>
    <w:rsid w:val="002C479E"/>
    <w:rsid w:val="002F0FB6"/>
    <w:rsid w:val="0030527D"/>
    <w:rsid w:val="0031671A"/>
    <w:rsid w:val="00331D75"/>
    <w:rsid w:val="003419FF"/>
    <w:rsid w:val="00347940"/>
    <w:rsid w:val="00355362"/>
    <w:rsid w:val="00363E44"/>
    <w:rsid w:val="003659A8"/>
    <w:rsid w:val="003669F9"/>
    <w:rsid w:val="003715AD"/>
    <w:rsid w:val="003774AA"/>
    <w:rsid w:val="00384D9B"/>
    <w:rsid w:val="0039070A"/>
    <w:rsid w:val="00392402"/>
    <w:rsid w:val="00393BAB"/>
    <w:rsid w:val="00395E86"/>
    <w:rsid w:val="003A2FD8"/>
    <w:rsid w:val="003B40E6"/>
    <w:rsid w:val="003C44F3"/>
    <w:rsid w:val="003D19C4"/>
    <w:rsid w:val="003D24BC"/>
    <w:rsid w:val="003E74FB"/>
    <w:rsid w:val="003F5904"/>
    <w:rsid w:val="003F6E14"/>
    <w:rsid w:val="00405336"/>
    <w:rsid w:val="004066F0"/>
    <w:rsid w:val="00435ABE"/>
    <w:rsid w:val="00441F04"/>
    <w:rsid w:val="00450498"/>
    <w:rsid w:val="004571D5"/>
    <w:rsid w:val="00461D81"/>
    <w:rsid w:val="0046356B"/>
    <w:rsid w:val="00477182"/>
    <w:rsid w:val="004779CB"/>
    <w:rsid w:val="004815E6"/>
    <w:rsid w:val="00481C83"/>
    <w:rsid w:val="00483765"/>
    <w:rsid w:val="00496698"/>
    <w:rsid w:val="004A6F57"/>
    <w:rsid w:val="004D0135"/>
    <w:rsid w:val="004D70EB"/>
    <w:rsid w:val="004E42D8"/>
    <w:rsid w:val="004E7BA2"/>
    <w:rsid w:val="004F7EDF"/>
    <w:rsid w:val="005001AC"/>
    <w:rsid w:val="0050252B"/>
    <w:rsid w:val="00516BAF"/>
    <w:rsid w:val="00527D71"/>
    <w:rsid w:val="00533910"/>
    <w:rsid w:val="0053753E"/>
    <w:rsid w:val="00540C9B"/>
    <w:rsid w:val="005475FC"/>
    <w:rsid w:val="005520A8"/>
    <w:rsid w:val="005607D9"/>
    <w:rsid w:val="005607DD"/>
    <w:rsid w:val="005665DF"/>
    <w:rsid w:val="00573083"/>
    <w:rsid w:val="005753D5"/>
    <w:rsid w:val="005A269C"/>
    <w:rsid w:val="005A558C"/>
    <w:rsid w:val="005B0F82"/>
    <w:rsid w:val="005C52A9"/>
    <w:rsid w:val="005D026E"/>
    <w:rsid w:val="005D17C6"/>
    <w:rsid w:val="005D1CFA"/>
    <w:rsid w:val="005D712F"/>
    <w:rsid w:val="005E28F8"/>
    <w:rsid w:val="005E6513"/>
    <w:rsid w:val="00602E9F"/>
    <w:rsid w:val="00607E8E"/>
    <w:rsid w:val="00611C33"/>
    <w:rsid w:val="00632CA3"/>
    <w:rsid w:val="006426C8"/>
    <w:rsid w:val="0064297B"/>
    <w:rsid w:val="00651114"/>
    <w:rsid w:val="00664560"/>
    <w:rsid w:val="00670299"/>
    <w:rsid w:val="00691985"/>
    <w:rsid w:val="00697611"/>
    <w:rsid w:val="006A1B64"/>
    <w:rsid w:val="006A595E"/>
    <w:rsid w:val="006E37D9"/>
    <w:rsid w:val="006F7CDF"/>
    <w:rsid w:val="007108F5"/>
    <w:rsid w:val="00713E5B"/>
    <w:rsid w:val="007229D8"/>
    <w:rsid w:val="007402FC"/>
    <w:rsid w:val="007411A1"/>
    <w:rsid w:val="00742BFF"/>
    <w:rsid w:val="007718B2"/>
    <w:rsid w:val="00781B56"/>
    <w:rsid w:val="00793072"/>
    <w:rsid w:val="007976C5"/>
    <w:rsid w:val="007B1E48"/>
    <w:rsid w:val="007C45B3"/>
    <w:rsid w:val="007C7B3C"/>
    <w:rsid w:val="007D3ECD"/>
    <w:rsid w:val="007D6324"/>
    <w:rsid w:val="007E2786"/>
    <w:rsid w:val="007F7413"/>
    <w:rsid w:val="00807D35"/>
    <w:rsid w:val="00814BAA"/>
    <w:rsid w:val="008208C6"/>
    <w:rsid w:val="008218C4"/>
    <w:rsid w:val="008461E2"/>
    <w:rsid w:val="00867A98"/>
    <w:rsid w:val="00870867"/>
    <w:rsid w:val="00884960"/>
    <w:rsid w:val="00885C9B"/>
    <w:rsid w:val="008D3218"/>
    <w:rsid w:val="008D506D"/>
    <w:rsid w:val="008D5D2A"/>
    <w:rsid w:val="00914B63"/>
    <w:rsid w:val="009354F3"/>
    <w:rsid w:val="009404D8"/>
    <w:rsid w:val="00940EA2"/>
    <w:rsid w:val="009447DC"/>
    <w:rsid w:val="00945471"/>
    <w:rsid w:val="00950234"/>
    <w:rsid w:val="00954339"/>
    <w:rsid w:val="0096147A"/>
    <w:rsid w:val="00961BA5"/>
    <w:rsid w:val="009743A9"/>
    <w:rsid w:val="00980C9D"/>
    <w:rsid w:val="0098205B"/>
    <w:rsid w:val="00983DA4"/>
    <w:rsid w:val="0099140D"/>
    <w:rsid w:val="00996002"/>
    <w:rsid w:val="009A5287"/>
    <w:rsid w:val="009A7C5F"/>
    <w:rsid w:val="009B2AC5"/>
    <w:rsid w:val="009B4E6A"/>
    <w:rsid w:val="009B71D4"/>
    <w:rsid w:val="009B7984"/>
    <w:rsid w:val="009F4BED"/>
    <w:rsid w:val="009F7D93"/>
    <w:rsid w:val="00A02E0C"/>
    <w:rsid w:val="00A049D3"/>
    <w:rsid w:val="00A111FF"/>
    <w:rsid w:val="00A13374"/>
    <w:rsid w:val="00A23D22"/>
    <w:rsid w:val="00A32298"/>
    <w:rsid w:val="00A3403B"/>
    <w:rsid w:val="00A36063"/>
    <w:rsid w:val="00A51A12"/>
    <w:rsid w:val="00A53A78"/>
    <w:rsid w:val="00A627D4"/>
    <w:rsid w:val="00A631DF"/>
    <w:rsid w:val="00A6592A"/>
    <w:rsid w:val="00A74DA2"/>
    <w:rsid w:val="00A77632"/>
    <w:rsid w:val="00AA7E77"/>
    <w:rsid w:val="00AB1120"/>
    <w:rsid w:val="00AB399E"/>
    <w:rsid w:val="00AB744C"/>
    <w:rsid w:val="00AC02A6"/>
    <w:rsid w:val="00AC59D0"/>
    <w:rsid w:val="00AC6F43"/>
    <w:rsid w:val="00AD16B1"/>
    <w:rsid w:val="00AD499C"/>
    <w:rsid w:val="00AE1605"/>
    <w:rsid w:val="00AE1F4A"/>
    <w:rsid w:val="00AE7BD9"/>
    <w:rsid w:val="00B16627"/>
    <w:rsid w:val="00B24B16"/>
    <w:rsid w:val="00B36869"/>
    <w:rsid w:val="00B43B31"/>
    <w:rsid w:val="00B47CFA"/>
    <w:rsid w:val="00B5028E"/>
    <w:rsid w:val="00B574A3"/>
    <w:rsid w:val="00B57F00"/>
    <w:rsid w:val="00B63245"/>
    <w:rsid w:val="00B65354"/>
    <w:rsid w:val="00B720DD"/>
    <w:rsid w:val="00B73249"/>
    <w:rsid w:val="00B73C69"/>
    <w:rsid w:val="00B77B2A"/>
    <w:rsid w:val="00B82C22"/>
    <w:rsid w:val="00B93DBA"/>
    <w:rsid w:val="00B9440A"/>
    <w:rsid w:val="00BA2092"/>
    <w:rsid w:val="00BB2D2A"/>
    <w:rsid w:val="00BB3B0C"/>
    <w:rsid w:val="00BB47D1"/>
    <w:rsid w:val="00BB7BAD"/>
    <w:rsid w:val="00BC152D"/>
    <w:rsid w:val="00BC290E"/>
    <w:rsid w:val="00BC3E04"/>
    <w:rsid w:val="00BD1C3F"/>
    <w:rsid w:val="00BD58CF"/>
    <w:rsid w:val="00BE6AD8"/>
    <w:rsid w:val="00BF0C92"/>
    <w:rsid w:val="00BF60FB"/>
    <w:rsid w:val="00C04CC1"/>
    <w:rsid w:val="00C04D91"/>
    <w:rsid w:val="00C22F4B"/>
    <w:rsid w:val="00C4096C"/>
    <w:rsid w:val="00C50C6D"/>
    <w:rsid w:val="00C600D9"/>
    <w:rsid w:val="00C92B22"/>
    <w:rsid w:val="00CA24A6"/>
    <w:rsid w:val="00CC1384"/>
    <w:rsid w:val="00CD3720"/>
    <w:rsid w:val="00CD5BD1"/>
    <w:rsid w:val="00CE682F"/>
    <w:rsid w:val="00CF0E8F"/>
    <w:rsid w:val="00CF1848"/>
    <w:rsid w:val="00CF5C2F"/>
    <w:rsid w:val="00CF5F6C"/>
    <w:rsid w:val="00D04BCF"/>
    <w:rsid w:val="00D11A56"/>
    <w:rsid w:val="00D143D9"/>
    <w:rsid w:val="00D26981"/>
    <w:rsid w:val="00D30C95"/>
    <w:rsid w:val="00D43878"/>
    <w:rsid w:val="00D51C15"/>
    <w:rsid w:val="00D5511B"/>
    <w:rsid w:val="00D766F1"/>
    <w:rsid w:val="00D84078"/>
    <w:rsid w:val="00DC20E9"/>
    <w:rsid w:val="00DD2E17"/>
    <w:rsid w:val="00DD58A7"/>
    <w:rsid w:val="00DF7D88"/>
    <w:rsid w:val="00E02647"/>
    <w:rsid w:val="00E10B8E"/>
    <w:rsid w:val="00E22D59"/>
    <w:rsid w:val="00E257C8"/>
    <w:rsid w:val="00E40A10"/>
    <w:rsid w:val="00E41512"/>
    <w:rsid w:val="00E4519A"/>
    <w:rsid w:val="00E509A5"/>
    <w:rsid w:val="00E63BD3"/>
    <w:rsid w:val="00E66616"/>
    <w:rsid w:val="00E82E1D"/>
    <w:rsid w:val="00E83597"/>
    <w:rsid w:val="00E853D5"/>
    <w:rsid w:val="00E925A9"/>
    <w:rsid w:val="00E9773B"/>
    <w:rsid w:val="00E97E06"/>
    <w:rsid w:val="00EA49BA"/>
    <w:rsid w:val="00EA6F42"/>
    <w:rsid w:val="00EB42EE"/>
    <w:rsid w:val="00EB63BD"/>
    <w:rsid w:val="00EC13A3"/>
    <w:rsid w:val="00EC2821"/>
    <w:rsid w:val="00EC6A1E"/>
    <w:rsid w:val="00EC7C85"/>
    <w:rsid w:val="00ED2CBE"/>
    <w:rsid w:val="00EE0971"/>
    <w:rsid w:val="00F125EE"/>
    <w:rsid w:val="00F12E98"/>
    <w:rsid w:val="00F22029"/>
    <w:rsid w:val="00F364F8"/>
    <w:rsid w:val="00F515FB"/>
    <w:rsid w:val="00F630EA"/>
    <w:rsid w:val="00F7007E"/>
    <w:rsid w:val="00F73193"/>
    <w:rsid w:val="00F74F95"/>
    <w:rsid w:val="00F77354"/>
    <w:rsid w:val="00F80705"/>
    <w:rsid w:val="00FA1481"/>
    <w:rsid w:val="00FA529A"/>
    <w:rsid w:val="00FB5DC5"/>
    <w:rsid w:val="00FE7CBD"/>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630EA"/>
    <w:rPr>
      <w:sz w:val="24"/>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link w:val="berschrift1"/>
    <w:semiHidden/>
    <w:rsid w:val="00FF04E3"/>
    <w:rPr>
      <w:b/>
      <w:bCs/>
      <w:kern w:val="32"/>
      <w:sz w:val="24"/>
      <w:szCs w:val="24"/>
    </w:rPr>
  </w:style>
  <w:style w:type="character" w:customStyle="1" w:styleId="berschrift2Zchn">
    <w:name w:val="Überschrift 2 Zchn"/>
    <w:link w:val="berschrift2"/>
    <w:semiHidden/>
    <w:rsid w:val="00FF04E3"/>
    <w:rPr>
      <w:rFonts w:ascii="Cambria" w:hAnsi="Cambria"/>
      <w:b/>
      <w:bCs/>
      <w:i/>
      <w:iCs/>
      <w:sz w:val="28"/>
      <w:szCs w:val="28"/>
    </w:rPr>
  </w:style>
  <w:style w:type="character" w:customStyle="1" w:styleId="berschrift5Zchn">
    <w:name w:val="Überschrift 5 Zchn"/>
    <w:link w:val="berschrift5"/>
    <w:semiHidden/>
    <w:rsid w:val="00FF04E3"/>
    <w:rPr>
      <w:rFonts w:ascii="Calibri" w:hAnsi="Calibri"/>
      <w:b/>
      <w:bCs/>
      <w:i/>
      <w:iCs/>
      <w:sz w:val="26"/>
      <w:szCs w:val="26"/>
    </w:rPr>
  </w:style>
  <w:style w:type="character" w:customStyle="1" w:styleId="berschrift6Zchn">
    <w:name w:val="Überschrift 6 Zchn"/>
    <w:link w:val="berschrift6"/>
    <w:semiHidden/>
    <w:rsid w:val="00FF04E3"/>
    <w:rPr>
      <w:rFonts w:ascii="Calibri" w:hAnsi="Calibri"/>
      <w:b/>
      <w:bCs/>
      <w:sz w:val="22"/>
      <w:szCs w:val="22"/>
    </w:rPr>
  </w:style>
  <w:style w:type="character" w:customStyle="1" w:styleId="berschrift7Zchn">
    <w:name w:val="Überschrift 7 Zchn"/>
    <w:link w:val="berschrift7"/>
    <w:semiHidden/>
    <w:rsid w:val="00FF04E3"/>
    <w:rPr>
      <w:rFonts w:ascii="Calibri" w:hAnsi="Calibri"/>
      <w:sz w:val="24"/>
      <w:szCs w:val="24"/>
    </w:rPr>
  </w:style>
  <w:style w:type="character" w:customStyle="1" w:styleId="berschrift8Zchn">
    <w:name w:val="Überschrift 8 Zchn"/>
    <w:link w:val="berschrift8"/>
    <w:semiHidden/>
    <w:rsid w:val="00FF04E3"/>
    <w:rPr>
      <w:rFonts w:ascii="Calibri" w:hAnsi="Calibri"/>
      <w:i/>
      <w:iCs/>
      <w:sz w:val="24"/>
      <w:szCs w:val="24"/>
    </w:rPr>
  </w:style>
  <w:style w:type="character" w:customStyle="1" w:styleId="berschrift9Zchn">
    <w:name w:val="Überschrift 9 Zchn"/>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pPr>
      <w:tabs>
        <w:tab w:val="left" w:pos="264"/>
      </w:tabs>
      <w:spacing w:line="480" w:lineRule="auto"/>
      <w:ind w:left="264" w:hanging="264"/>
    </w:pPr>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semiHidden/>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rPr>
  </w:style>
  <w:style w:type="paragraph" w:styleId="StandardWeb">
    <w:name w:val="Normal (Web)"/>
    <w:basedOn w:val="Standard"/>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semiHidden/>
    <w:qFormat/>
    <w:rsid w:val="00405336"/>
    <w:pPr>
      <w:spacing w:before="240" w:after="60"/>
      <w:jc w:val="center"/>
      <w:outlineLvl w:val="0"/>
    </w:pPr>
    <w:rPr>
      <w:rFonts w:ascii="Cambria" w:hAnsi="Cambria"/>
      <w:b/>
      <w:bCs/>
      <w:kern w:val="28"/>
      <w:sz w:val="32"/>
      <w:szCs w:val="32"/>
    </w:rPr>
  </w:style>
  <w:style w:type="character" w:customStyle="1" w:styleId="TitelZchn">
    <w:name w:val="Titel Zchn"/>
    <w:link w:val="Titel"/>
    <w:semiHidden/>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BesuchterLink">
    <w:name w:val="FollowedHyperlink"/>
    <w:semiHidden/>
    <w:unhideWhenUsed/>
    <w:rsid w:val="00793072"/>
    <w:rPr>
      <w:color w:val="800080"/>
      <w:u w:val="single"/>
    </w:rPr>
  </w:style>
  <w:style w:type="character" w:styleId="Kommentarzeichen">
    <w:name w:val="annotation reference"/>
    <w:semiHidden/>
    <w:unhideWhenUsed/>
    <w:rsid w:val="00793072"/>
    <w:rPr>
      <w:sz w:val="16"/>
      <w:szCs w:val="16"/>
    </w:rPr>
  </w:style>
  <w:style w:type="character" w:styleId="NichtaufgelsteErwhnung">
    <w:name w:val="Unresolved Mention"/>
    <w:basedOn w:val="Absatz-Standardschriftart"/>
    <w:uiPriority w:val="99"/>
    <w:semiHidden/>
    <w:unhideWhenUsed/>
    <w:rsid w:val="008218C4"/>
    <w:rPr>
      <w:color w:val="808080"/>
      <w:shd w:val="clear" w:color="auto" w:fill="E6E6E6"/>
    </w:rPr>
  </w:style>
  <w:style w:type="paragraph" w:customStyle="1" w:styleId="PubInfo">
    <w:name w:val="PubInfo"/>
    <w:basedOn w:val="Standard"/>
    <w:qFormat/>
    <w:rsid w:val="00533910"/>
    <w:pPr>
      <w:suppressAutoHyphens/>
      <w:jc w:val="center"/>
    </w:pPr>
    <w:rPr>
      <w:sz w:val="20"/>
      <w:lang w:eastAsia="ar-SA"/>
    </w:rPr>
  </w:style>
  <w:style w:type="paragraph" w:customStyle="1" w:styleId="DoiInfo">
    <w:name w:val="DoiInfo"/>
    <w:basedOn w:val="Standard"/>
    <w:qFormat/>
    <w:rsid w:val="00533910"/>
    <w:pPr>
      <w:suppressAutoHyphens/>
      <w:jc w:val="center"/>
    </w:pPr>
    <w:rPr>
      <w:sz w:val="20"/>
      <w:lang w:eastAsia="ar-SA"/>
    </w:rPr>
  </w:style>
  <w:style w:type="paragraph" w:customStyle="1" w:styleId="Head">
    <w:name w:val="Head"/>
    <w:basedOn w:val="Standard"/>
    <w:rsid w:val="005753D5"/>
    <w:pPr>
      <w:keepNext/>
      <w:spacing w:before="120" w:after="120"/>
      <w:jc w:val="center"/>
      <w:outlineLvl w:val="0"/>
    </w:pPr>
    <w:rPr>
      <w:b/>
      <w:bCs/>
      <w:kern w:val="28"/>
      <w:sz w:val="28"/>
      <w:szCs w:val="28"/>
    </w:rPr>
  </w:style>
  <w:style w:type="character" w:styleId="Platzhaltertext">
    <w:name w:val="Placeholder Text"/>
    <w:basedOn w:val="Absatz-Standardschriftart"/>
    <w:uiPriority w:val="99"/>
    <w:semiHidden/>
    <w:rsid w:val="00516B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03685">
      <w:bodyDiv w:val="1"/>
      <w:marLeft w:val="0"/>
      <w:marRight w:val="0"/>
      <w:marTop w:val="0"/>
      <w:marBottom w:val="0"/>
      <w:divBdr>
        <w:top w:val="none" w:sz="0" w:space="0" w:color="auto"/>
        <w:left w:val="none" w:sz="0" w:space="0" w:color="auto"/>
        <w:bottom w:val="none" w:sz="0" w:space="0" w:color="auto"/>
        <w:right w:val="none" w:sz="0" w:space="0" w:color="auto"/>
      </w:divBdr>
    </w:div>
    <w:div w:id="1303462448">
      <w:bodyDiv w:val="1"/>
      <w:marLeft w:val="0"/>
      <w:marRight w:val="0"/>
      <w:marTop w:val="0"/>
      <w:marBottom w:val="0"/>
      <w:divBdr>
        <w:top w:val="none" w:sz="0" w:space="0" w:color="auto"/>
        <w:left w:val="none" w:sz="0" w:space="0" w:color="auto"/>
        <w:bottom w:val="none" w:sz="0" w:space="0" w:color="auto"/>
        <w:right w:val="none" w:sz="0" w:space="0" w:color="auto"/>
      </w:divBdr>
    </w:div>
    <w:div w:id="1419249339">
      <w:bodyDiv w:val="1"/>
      <w:marLeft w:val="0"/>
      <w:marRight w:val="0"/>
      <w:marTop w:val="0"/>
      <w:marBottom w:val="0"/>
      <w:divBdr>
        <w:top w:val="none" w:sz="0" w:space="0" w:color="auto"/>
        <w:left w:val="none" w:sz="0" w:space="0" w:color="auto"/>
        <w:bottom w:val="none" w:sz="0" w:space="0" w:color="auto"/>
        <w:right w:val="none" w:sz="0" w:space="0" w:color="auto"/>
      </w:divBdr>
    </w:div>
    <w:div w:id="2004432117">
      <w:bodyDiv w:val="1"/>
      <w:marLeft w:val="0"/>
      <w:marRight w:val="0"/>
      <w:marTop w:val="0"/>
      <w:marBottom w:val="0"/>
      <w:divBdr>
        <w:top w:val="none" w:sz="0" w:space="0" w:color="auto"/>
        <w:left w:val="none" w:sz="0" w:space="0" w:color="auto"/>
        <w:bottom w:val="none" w:sz="0" w:space="0" w:color="auto"/>
        <w:right w:val="none" w:sz="0" w:space="0" w:color="auto"/>
      </w:divBdr>
    </w:div>
    <w:div w:id="207716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ajegen@geomar.d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3.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3061</Words>
  <Characters>17448</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Supporting Online Material for</vt:lpstr>
    </vt:vector>
  </TitlesOfParts>
  <Company>AAAS</Company>
  <LinksUpToDate>false</LinksUpToDate>
  <CharactersWithSpaces>20469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Anna Jegen</cp:lastModifiedBy>
  <cp:revision>9</cp:revision>
  <cp:lastPrinted>2018-01-11T19:53:00Z</cp:lastPrinted>
  <dcterms:created xsi:type="dcterms:W3CDTF">2024-04-24T15:50:00Z</dcterms:created>
  <dcterms:modified xsi:type="dcterms:W3CDTF">2024-04-25T11:20:00Z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ZOTERO_PREF_1">
    <vt:lpwstr>&lt;data data-version="3" zotero-version="6.0.30"&gt;&lt;session id="P0Qme2Ca"/&gt;&lt;style id="http://www.zotero.org/styles/nature" hasBibliography="1" bibliographyStyleHasBeenSet="1"/&gt;&lt;prefs&gt;&lt;pref name="fieldType" value="Field"/&gt;&lt;/prefs&gt;&lt;/data&gt;</vt:lpwstr>
  </property>
</Properties>
</file>