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230" w14:textId="102ABA5E" w:rsidR="002325FA" w:rsidRPr="003E0188" w:rsidRDefault="00973424" w:rsidP="002325FA">
      <w:pPr>
        <w:spacing w:line="360" w:lineRule="auto"/>
        <w:rPr>
          <w:rFonts w:asciiTheme="minorHAnsi" w:eastAsia="Calibri" w:hAnsiTheme="minorHAnsi"/>
          <w:bCs/>
          <w:sz w:val="36"/>
          <w:szCs w:val="36"/>
          <w:lang w:val="en-GB"/>
        </w:rPr>
      </w:pPr>
      <w:r w:rsidRPr="003E0188">
        <w:rPr>
          <w:rFonts w:asciiTheme="minorHAnsi" w:eastAsia="Calibri" w:hAnsiTheme="minorHAnsi"/>
          <w:bCs/>
          <w:sz w:val="36"/>
          <w:szCs w:val="36"/>
          <w:lang w:val="en-GB"/>
        </w:rPr>
        <w:t xml:space="preserve">Supplementary Material </w:t>
      </w:r>
      <w:r w:rsidR="002325FA" w:rsidRPr="003E0188">
        <w:rPr>
          <w:rFonts w:asciiTheme="minorHAnsi" w:eastAsia="Calibri" w:hAnsiTheme="minorHAnsi"/>
          <w:bCs/>
          <w:sz w:val="36"/>
          <w:szCs w:val="36"/>
          <w:lang w:val="en-GB"/>
        </w:rPr>
        <w:t>to</w:t>
      </w:r>
    </w:p>
    <w:p w14:paraId="0345B278" w14:textId="46EAF5A7" w:rsidR="00623A09" w:rsidRPr="007C6F51" w:rsidRDefault="00623A09" w:rsidP="00623A09">
      <w:pPr>
        <w:pStyle w:val="Title"/>
        <w:spacing w:after="360"/>
        <w:rPr>
          <w:rFonts w:asciiTheme="minorHAnsi" w:hAnsiTheme="minorHAnsi"/>
          <w:lang w:val="en-US"/>
        </w:rPr>
      </w:pPr>
      <w:r w:rsidRPr="007C6F51">
        <w:rPr>
          <w:rFonts w:asciiTheme="minorHAnsi" w:hAnsiTheme="minorHAnsi"/>
          <w:lang w:val="en-US"/>
        </w:rPr>
        <w:t>Can coastal and marine carbon dioxide removal help to close the emissions gap? Scientific, legal, economic and governance considerations</w:t>
      </w:r>
    </w:p>
    <w:p w14:paraId="4731EF38" w14:textId="77777777" w:rsidR="00623A09" w:rsidRPr="007C6F51" w:rsidRDefault="00623A09" w:rsidP="002325FA">
      <w:pPr>
        <w:spacing w:line="360" w:lineRule="auto"/>
        <w:rPr>
          <w:rFonts w:asciiTheme="minorHAnsi" w:hAnsiTheme="minorHAnsi"/>
          <w:b/>
          <w:position w:val="-1"/>
          <w:lang w:val="en-GB"/>
        </w:rPr>
      </w:pPr>
    </w:p>
    <w:p w14:paraId="3886A3F4" w14:textId="0603AC76" w:rsidR="002325FA" w:rsidRPr="007C6F51" w:rsidRDefault="002325FA" w:rsidP="002325FA">
      <w:pPr>
        <w:spacing w:line="360" w:lineRule="auto"/>
        <w:rPr>
          <w:rFonts w:asciiTheme="minorHAnsi" w:hAnsiTheme="minorHAnsi"/>
          <w:b/>
          <w:position w:val="-1"/>
          <w:lang w:val="en-GB"/>
        </w:rPr>
      </w:pPr>
    </w:p>
    <w:p w14:paraId="7ABF5D0B" w14:textId="26CA35C6" w:rsidR="002325FA" w:rsidRPr="007C6F51" w:rsidRDefault="002325FA" w:rsidP="00682FEE">
      <w:pPr>
        <w:spacing w:line="360" w:lineRule="auto"/>
        <w:ind w:left="2" w:hangingChars="1" w:hanging="2"/>
        <w:jc w:val="both"/>
        <w:textDirection w:val="btLr"/>
        <w:textAlignment w:val="top"/>
        <w:outlineLvl w:val="0"/>
        <w:rPr>
          <w:rFonts w:asciiTheme="minorHAnsi" w:hAnsiTheme="minorHAnsi" w:cs="Arial"/>
          <w:position w:val="-1"/>
          <w:sz w:val="22"/>
          <w:szCs w:val="22"/>
          <w:lang w:val="en-GB" w:eastAsia="en-US"/>
        </w:rPr>
      </w:pPr>
      <w:r w:rsidRPr="007C6F51">
        <w:rPr>
          <w:rFonts w:asciiTheme="minorHAnsi" w:hAnsiTheme="minorHAnsi" w:cs="Arial"/>
          <w:position w:val="-1"/>
          <w:sz w:val="22"/>
          <w:szCs w:val="22"/>
          <w:lang w:val="en-GB" w:eastAsia="en-US"/>
        </w:rPr>
        <w:t>Martin Johnson</w:t>
      </w:r>
      <w:r w:rsidRPr="007C6F51">
        <w:rPr>
          <w:rFonts w:asciiTheme="minorHAnsi" w:hAnsiTheme="minorHAnsi" w:cs="Arial"/>
          <w:position w:val="-1"/>
          <w:sz w:val="22"/>
          <w:szCs w:val="22"/>
          <w:vertAlign w:val="superscript"/>
          <w:lang w:val="en-GB" w:eastAsia="en-US"/>
        </w:rPr>
        <w:t>1,2</w:t>
      </w:r>
      <w:r w:rsidRPr="007C6F51">
        <w:rPr>
          <w:rFonts w:asciiTheme="minorHAnsi" w:hAnsiTheme="minorHAnsi" w:cs="Arial"/>
          <w:position w:val="-1"/>
          <w:sz w:val="22"/>
          <w:szCs w:val="22"/>
          <w:lang w:val="en-GB" w:eastAsia="en-US"/>
        </w:rPr>
        <w:t>, Erik van Doorn</w:t>
      </w:r>
      <w:r w:rsidRPr="007C6F51">
        <w:rPr>
          <w:rFonts w:asciiTheme="minorHAnsi" w:hAnsiTheme="minorHAnsi" w:cs="Arial"/>
          <w:position w:val="-1"/>
          <w:sz w:val="22"/>
          <w:szCs w:val="22"/>
          <w:vertAlign w:val="superscript"/>
          <w:lang w:val="en-GB" w:eastAsia="en-US"/>
        </w:rPr>
        <w:t>3</w:t>
      </w:r>
      <w:r w:rsidRPr="007C6F51">
        <w:rPr>
          <w:rFonts w:asciiTheme="minorHAnsi" w:hAnsiTheme="minorHAnsi" w:cs="Arial"/>
          <w:position w:val="-1"/>
          <w:sz w:val="22"/>
          <w:szCs w:val="22"/>
          <w:lang w:val="en-GB" w:eastAsia="en-US"/>
        </w:rPr>
        <w:t>, Nathalie Hilmi</w:t>
      </w:r>
      <w:r w:rsidRPr="007C6F51">
        <w:rPr>
          <w:rFonts w:asciiTheme="minorHAnsi" w:hAnsiTheme="minorHAnsi" w:cs="Arial"/>
          <w:position w:val="-1"/>
          <w:sz w:val="22"/>
          <w:szCs w:val="22"/>
          <w:vertAlign w:val="superscript"/>
          <w:lang w:val="en-GB" w:eastAsia="en-US"/>
        </w:rPr>
        <w:t>4</w:t>
      </w:r>
      <w:r w:rsidRPr="007C6F51">
        <w:rPr>
          <w:rFonts w:asciiTheme="minorHAnsi" w:hAnsiTheme="minorHAnsi" w:cs="Arial"/>
          <w:position w:val="-1"/>
          <w:sz w:val="22"/>
          <w:szCs w:val="22"/>
          <w:lang w:val="en-GB" w:eastAsia="en-US"/>
        </w:rPr>
        <w:t>, Christa Marandino</w:t>
      </w:r>
      <w:r w:rsidRPr="007C6F51">
        <w:rPr>
          <w:rFonts w:asciiTheme="minorHAnsi" w:hAnsiTheme="minorHAnsi" w:cs="Arial"/>
          <w:position w:val="-1"/>
          <w:sz w:val="22"/>
          <w:szCs w:val="22"/>
          <w:vertAlign w:val="superscript"/>
          <w:lang w:val="en-GB" w:eastAsia="en-US"/>
        </w:rPr>
        <w:t>5</w:t>
      </w:r>
      <w:r w:rsidRPr="007C6F51">
        <w:rPr>
          <w:rFonts w:asciiTheme="minorHAnsi" w:hAnsiTheme="minorHAnsi" w:cs="Arial"/>
          <w:position w:val="-1"/>
          <w:sz w:val="22"/>
          <w:szCs w:val="22"/>
          <w:lang w:val="en-GB" w:eastAsia="en-US"/>
        </w:rPr>
        <w:t>, Natasha McDonald</w:t>
      </w:r>
      <w:r w:rsidRPr="007C6F51">
        <w:rPr>
          <w:rFonts w:asciiTheme="minorHAnsi" w:hAnsiTheme="minorHAnsi" w:cs="Arial"/>
          <w:position w:val="-1"/>
          <w:sz w:val="22"/>
          <w:szCs w:val="22"/>
          <w:vertAlign w:val="superscript"/>
          <w:lang w:val="en-GB" w:eastAsia="en-US"/>
        </w:rPr>
        <w:t>6</w:t>
      </w:r>
      <w:r w:rsidRPr="007C6F51">
        <w:rPr>
          <w:rFonts w:asciiTheme="minorHAnsi" w:hAnsiTheme="minorHAnsi" w:cs="Arial"/>
          <w:position w:val="-1"/>
          <w:sz w:val="22"/>
          <w:szCs w:val="22"/>
          <w:lang w:val="en-GB" w:eastAsia="en-US"/>
        </w:rPr>
        <w:t xml:space="preserve"> Helmuth Thomas</w:t>
      </w:r>
      <w:r w:rsidRPr="007C6F51">
        <w:rPr>
          <w:rFonts w:asciiTheme="minorHAnsi" w:hAnsiTheme="minorHAnsi" w:cs="Arial"/>
          <w:position w:val="-1"/>
          <w:sz w:val="22"/>
          <w:szCs w:val="22"/>
          <w:vertAlign w:val="superscript"/>
          <w:lang w:val="en-GB" w:eastAsia="en-US"/>
        </w:rPr>
        <w:t>7</w:t>
      </w:r>
      <w:r w:rsidRPr="007C6F51">
        <w:rPr>
          <w:rFonts w:asciiTheme="minorHAnsi" w:hAnsiTheme="minorHAnsi" w:cs="Arial"/>
          <w:position w:val="-1"/>
          <w:sz w:val="22"/>
          <w:szCs w:val="22"/>
          <w:lang w:val="en-GB" w:eastAsia="en-US"/>
        </w:rPr>
        <w:t>, Denis Allemand</w:t>
      </w:r>
      <w:r w:rsidRPr="007C6F51">
        <w:rPr>
          <w:rFonts w:asciiTheme="minorHAnsi" w:hAnsiTheme="minorHAnsi" w:cs="Arial"/>
          <w:position w:val="-1"/>
          <w:sz w:val="22"/>
          <w:szCs w:val="22"/>
          <w:vertAlign w:val="superscript"/>
          <w:lang w:val="en-GB" w:eastAsia="en-US"/>
        </w:rPr>
        <w:t>4</w:t>
      </w:r>
      <w:r w:rsidRPr="007C6F51">
        <w:rPr>
          <w:rFonts w:asciiTheme="minorHAnsi" w:hAnsiTheme="minorHAnsi" w:cs="Arial"/>
          <w:position w:val="-1"/>
          <w:sz w:val="22"/>
          <w:szCs w:val="22"/>
          <w:lang w:val="en-GB" w:eastAsia="en-US"/>
        </w:rPr>
        <w:t xml:space="preserve">, </w:t>
      </w:r>
      <w:r w:rsidR="00623A09" w:rsidRPr="007C6F51">
        <w:rPr>
          <w:rFonts w:asciiTheme="minorHAnsi" w:hAnsiTheme="minorHAnsi" w:cs="Arial"/>
          <w:position w:val="-1"/>
          <w:sz w:val="22"/>
          <w:szCs w:val="22"/>
          <w:lang w:val="en-GB" w:eastAsia="en-US"/>
        </w:rPr>
        <w:t xml:space="preserve">L. </w:t>
      </w:r>
      <w:proofErr w:type="spellStart"/>
      <w:r w:rsidR="00623A09" w:rsidRPr="007C6F51">
        <w:rPr>
          <w:rFonts w:asciiTheme="minorHAnsi" w:hAnsiTheme="minorHAnsi" w:cs="Arial"/>
          <w:position w:val="-1"/>
          <w:sz w:val="22"/>
          <w:szCs w:val="22"/>
          <w:lang w:val="en-GB" w:eastAsia="en-US"/>
        </w:rPr>
        <w:t>Elvasto</w:t>
      </w:r>
      <w:proofErr w:type="spellEnd"/>
      <w:r w:rsidR="00623A09" w:rsidRPr="007C6F51">
        <w:rPr>
          <w:rFonts w:asciiTheme="minorHAnsi" w:hAnsiTheme="minorHAnsi" w:cs="Arial"/>
          <w:position w:val="-1"/>
          <w:sz w:val="22"/>
          <w:szCs w:val="22"/>
          <w:lang w:val="en-GB" w:eastAsia="en-US"/>
        </w:rPr>
        <w:t xml:space="preserve"> Algarin</w:t>
      </w:r>
      <w:r w:rsidR="00623A09" w:rsidRPr="007C6F51">
        <w:rPr>
          <w:rFonts w:asciiTheme="minorHAnsi" w:hAnsiTheme="minorHAnsi" w:cs="Arial"/>
          <w:position w:val="-1"/>
          <w:sz w:val="22"/>
          <w:szCs w:val="22"/>
          <w:vertAlign w:val="superscript"/>
          <w:lang w:val="en-GB" w:eastAsia="en-US"/>
        </w:rPr>
        <w:t>4</w:t>
      </w:r>
      <w:r w:rsidR="00623A09" w:rsidRPr="007C6F51">
        <w:rPr>
          <w:rFonts w:asciiTheme="minorHAnsi" w:hAnsiTheme="minorHAnsi" w:cs="Arial"/>
          <w:position w:val="-1"/>
          <w:sz w:val="22"/>
          <w:szCs w:val="22"/>
          <w:lang w:val="en-GB" w:eastAsia="en-US"/>
        </w:rPr>
        <w:t xml:space="preserve">, </w:t>
      </w:r>
      <w:r w:rsidRPr="007C6F51">
        <w:rPr>
          <w:rFonts w:asciiTheme="minorHAnsi" w:hAnsiTheme="minorHAnsi" w:cs="Arial"/>
          <w:position w:val="-1"/>
          <w:sz w:val="22"/>
          <w:szCs w:val="22"/>
          <w:lang w:val="en-GB" w:eastAsia="en-US"/>
        </w:rPr>
        <w:t>Lara Lebleu</w:t>
      </w:r>
      <w:r w:rsidRPr="007C6F51">
        <w:rPr>
          <w:rFonts w:asciiTheme="minorHAnsi" w:hAnsiTheme="minorHAnsi" w:cs="Arial"/>
          <w:position w:val="-1"/>
          <w:sz w:val="22"/>
          <w:szCs w:val="22"/>
          <w:vertAlign w:val="superscript"/>
          <w:lang w:val="en-GB" w:eastAsia="en-US"/>
        </w:rPr>
        <w:t>4</w:t>
      </w:r>
      <w:r w:rsidRPr="007C6F51">
        <w:rPr>
          <w:rFonts w:asciiTheme="minorHAnsi" w:hAnsiTheme="minorHAnsi" w:cs="Arial"/>
          <w:position w:val="-1"/>
          <w:sz w:val="22"/>
          <w:szCs w:val="22"/>
          <w:lang w:val="en-GB" w:eastAsia="en-US"/>
        </w:rPr>
        <w:t>, David T. Ho</w:t>
      </w:r>
      <w:r w:rsidRPr="007C6F51">
        <w:rPr>
          <w:rFonts w:asciiTheme="minorHAnsi" w:hAnsiTheme="minorHAnsi" w:cs="Arial"/>
          <w:position w:val="-1"/>
          <w:sz w:val="22"/>
          <w:szCs w:val="22"/>
          <w:vertAlign w:val="superscript"/>
          <w:lang w:val="en-GB" w:eastAsia="en-US"/>
        </w:rPr>
        <w:t>8</w:t>
      </w:r>
      <w:r w:rsidRPr="007C6F51">
        <w:rPr>
          <w:rFonts w:asciiTheme="minorHAnsi" w:hAnsiTheme="minorHAnsi" w:cs="Arial"/>
          <w:position w:val="-1"/>
          <w:sz w:val="22"/>
          <w:szCs w:val="22"/>
          <w:lang w:val="en-GB" w:eastAsia="en-US"/>
        </w:rPr>
        <w:t>, Mary Oloyede</w:t>
      </w:r>
      <w:r w:rsidRPr="007C6F51">
        <w:rPr>
          <w:rFonts w:asciiTheme="minorHAnsi" w:hAnsiTheme="minorHAnsi" w:cs="Arial"/>
          <w:position w:val="-1"/>
          <w:sz w:val="22"/>
          <w:szCs w:val="22"/>
          <w:vertAlign w:val="superscript"/>
          <w:lang w:val="en-GB" w:eastAsia="en-US"/>
        </w:rPr>
        <w:t>9</w:t>
      </w:r>
      <w:r w:rsidRPr="007C6F51">
        <w:rPr>
          <w:rFonts w:asciiTheme="minorHAnsi" w:hAnsiTheme="minorHAnsi" w:cs="Arial"/>
          <w:position w:val="-1"/>
          <w:sz w:val="22"/>
          <w:szCs w:val="22"/>
          <w:lang w:val="en-GB" w:eastAsia="en-US"/>
        </w:rPr>
        <w:t>, Alain Safa</w:t>
      </w:r>
      <w:r w:rsidRPr="007C6F51">
        <w:rPr>
          <w:rFonts w:asciiTheme="minorHAnsi" w:hAnsiTheme="minorHAnsi" w:cs="Arial"/>
          <w:position w:val="-1"/>
          <w:sz w:val="22"/>
          <w:szCs w:val="22"/>
          <w:vertAlign w:val="superscript"/>
          <w:lang w:val="en-GB" w:eastAsia="en-US"/>
        </w:rPr>
        <w:t>10</w:t>
      </w:r>
      <w:r w:rsidRPr="007C6F51">
        <w:rPr>
          <w:rFonts w:asciiTheme="minorHAnsi" w:hAnsiTheme="minorHAnsi" w:cs="Arial"/>
          <w:position w:val="-1"/>
          <w:sz w:val="22"/>
          <w:szCs w:val="22"/>
          <w:lang w:val="en-GB" w:eastAsia="en-US"/>
        </w:rPr>
        <w:t>, Peter Swarzenski</w:t>
      </w:r>
      <w:r w:rsidRPr="007C6F51">
        <w:rPr>
          <w:rFonts w:asciiTheme="minorHAnsi" w:hAnsiTheme="minorHAnsi" w:cs="Arial"/>
          <w:position w:val="-1"/>
          <w:sz w:val="22"/>
          <w:szCs w:val="22"/>
          <w:vertAlign w:val="superscript"/>
          <w:lang w:val="en-GB" w:eastAsia="en-US"/>
        </w:rPr>
        <w:t>11</w:t>
      </w:r>
    </w:p>
    <w:p w14:paraId="71667631" w14:textId="77777777" w:rsidR="007A2027" w:rsidRPr="007C6F51" w:rsidRDefault="007A2027">
      <w:pPr>
        <w:spacing w:after="200"/>
        <w:rPr>
          <w:rFonts w:asciiTheme="minorHAnsi" w:eastAsia="Cambria" w:hAnsiTheme="minorHAnsi"/>
          <w:highlight w:val="yellow"/>
          <w:lang w:val="en-GB"/>
        </w:rPr>
      </w:pPr>
    </w:p>
    <w:p w14:paraId="4A906752" w14:textId="77777777" w:rsidR="00C52C79" w:rsidRPr="007C6F51" w:rsidRDefault="00C52C79" w:rsidP="00C52C79">
      <w:pPr>
        <w:rPr>
          <w:rFonts w:asciiTheme="minorHAnsi" w:hAnsiTheme="minorHAnsi"/>
          <w:b/>
          <w:bCs/>
        </w:rPr>
      </w:pPr>
      <w:r w:rsidRPr="007C6F51">
        <w:rPr>
          <w:rFonts w:asciiTheme="minorHAnsi" w:hAnsiTheme="minorHAnsi"/>
          <w:b/>
          <w:bCs/>
        </w:rPr>
        <w:t>Affiliations:</w:t>
      </w:r>
    </w:p>
    <w:p w14:paraId="20D88EC8" w14:textId="77777777" w:rsidR="00C52C79" w:rsidRPr="001B3152" w:rsidRDefault="00C52C79" w:rsidP="00C52C79">
      <w:pPr>
        <w:pStyle w:val="ListParagraph"/>
        <w:numPr>
          <w:ilvl w:val="0"/>
          <w:numId w:val="1"/>
        </w:numPr>
        <w:spacing w:line="360" w:lineRule="auto"/>
      </w:pPr>
      <w:r w:rsidRPr="001B3152">
        <w:t xml:space="preserve">Bantry Marine Research Station, </w:t>
      </w:r>
      <w:proofErr w:type="spellStart"/>
      <w:r w:rsidRPr="001B3152">
        <w:t>Gearhies</w:t>
      </w:r>
      <w:proofErr w:type="spellEnd"/>
      <w:r w:rsidRPr="001B3152">
        <w:t>, Co. Cork, Ireland</w:t>
      </w:r>
    </w:p>
    <w:p w14:paraId="2EEA5EE8" w14:textId="77777777" w:rsidR="00C52C79" w:rsidRPr="001B3152" w:rsidRDefault="00C52C79" w:rsidP="00C52C79">
      <w:pPr>
        <w:pStyle w:val="ListParagraph"/>
        <w:numPr>
          <w:ilvl w:val="0"/>
          <w:numId w:val="1"/>
        </w:numPr>
        <w:spacing w:line="360" w:lineRule="auto"/>
      </w:pPr>
      <w:proofErr w:type="spellStart"/>
      <w:r w:rsidRPr="001B3152">
        <w:t>Ecodiversity</w:t>
      </w:r>
      <w:proofErr w:type="spellEnd"/>
      <w:r w:rsidRPr="001B3152">
        <w:t xml:space="preserve"> Ltd, Schull, Co. Cork, Ireland</w:t>
      </w:r>
    </w:p>
    <w:p w14:paraId="7047B25C" w14:textId="77777777" w:rsidR="00C52C79" w:rsidRPr="001B3152" w:rsidRDefault="00C52C79" w:rsidP="00C52C79">
      <w:pPr>
        <w:pStyle w:val="ListParagraph"/>
        <w:numPr>
          <w:ilvl w:val="0"/>
          <w:numId w:val="1"/>
        </w:numPr>
        <w:spacing w:line="360" w:lineRule="auto"/>
      </w:pPr>
      <w:r w:rsidRPr="001B3152">
        <w:t xml:space="preserve">Walther </w:t>
      </w:r>
      <w:proofErr w:type="spellStart"/>
      <w:r w:rsidRPr="001B3152">
        <w:t>Schücking</w:t>
      </w:r>
      <w:proofErr w:type="spellEnd"/>
      <w:r w:rsidRPr="001B3152">
        <w:t xml:space="preserve"> Institute for International Law, Kiel University, Kiel, Germany</w:t>
      </w:r>
    </w:p>
    <w:p w14:paraId="09926996" w14:textId="77777777" w:rsidR="00C52C79" w:rsidRPr="001B3152" w:rsidRDefault="00C52C79" w:rsidP="00C52C79">
      <w:pPr>
        <w:pStyle w:val="ListParagraph"/>
        <w:numPr>
          <w:ilvl w:val="0"/>
          <w:numId w:val="1"/>
        </w:numPr>
        <w:spacing w:line="360" w:lineRule="auto"/>
      </w:pPr>
      <w:r w:rsidRPr="001B3152">
        <w:t xml:space="preserve">Centre </w:t>
      </w:r>
      <w:proofErr w:type="spellStart"/>
      <w:r w:rsidRPr="001B3152">
        <w:t>Scientifique</w:t>
      </w:r>
      <w:proofErr w:type="spellEnd"/>
      <w:r w:rsidRPr="001B3152">
        <w:t xml:space="preserve"> de Monaco, Monaco</w:t>
      </w:r>
    </w:p>
    <w:p w14:paraId="50E96433" w14:textId="77777777" w:rsidR="00C52C79" w:rsidRPr="001B3152" w:rsidRDefault="00C52C79" w:rsidP="00C52C79">
      <w:pPr>
        <w:pStyle w:val="ListParagraph"/>
        <w:numPr>
          <w:ilvl w:val="0"/>
          <w:numId w:val="1"/>
        </w:numPr>
        <w:spacing w:line="360" w:lineRule="auto"/>
      </w:pPr>
      <w:r w:rsidRPr="001B3152">
        <w:t>GEOMAR Helmholtz Centre for Ocean Research, Kiel, Germany</w:t>
      </w:r>
    </w:p>
    <w:p w14:paraId="24B5E806" w14:textId="77777777" w:rsidR="00C52C79" w:rsidRPr="001B3152" w:rsidRDefault="00C52C79" w:rsidP="00C52C79">
      <w:pPr>
        <w:pStyle w:val="ListParagraph"/>
        <w:numPr>
          <w:ilvl w:val="0"/>
          <w:numId w:val="1"/>
        </w:numPr>
        <w:spacing w:line="360" w:lineRule="auto"/>
      </w:pPr>
      <w:proofErr w:type="spellStart"/>
      <w:r w:rsidRPr="001B3152">
        <w:t>Institut</w:t>
      </w:r>
      <w:proofErr w:type="spellEnd"/>
      <w:r w:rsidRPr="001B3152">
        <w:t xml:space="preserve"> für </w:t>
      </w:r>
      <w:proofErr w:type="spellStart"/>
      <w:r w:rsidRPr="001B3152">
        <w:t>Kohlenstoffkreisläufe</w:t>
      </w:r>
      <w:proofErr w:type="spellEnd"/>
      <w:r w:rsidRPr="001B3152">
        <w:t xml:space="preserve">, Helmholtz </w:t>
      </w:r>
      <w:proofErr w:type="spellStart"/>
      <w:r w:rsidRPr="001B3152">
        <w:t>Zentrum</w:t>
      </w:r>
      <w:proofErr w:type="spellEnd"/>
      <w:r w:rsidRPr="001B3152">
        <w:t xml:space="preserve"> Hereon, </w:t>
      </w:r>
      <w:proofErr w:type="spellStart"/>
      <w:r w:rsidRPr="001B3152">
        <w:t>Geesthacht</w:t>
      </w:r>
      <w:proofErr w:type="spellEnd"/>
      <w:r w:rsidRPr="001B3152">
        <w:t>, Germany</w:t>
      </w:r>
    </w:p>
    <w:p w14:paraId="7192EC71" w14:textId="77777777" w:rsidR="00C52C79" w:rsidRPr="001B3152" w:rsidRDefault="00C52C79" w:rsidP="00C52C79">
      <w:pPr>
        <w:pStyle w:val="ListParagraph"/>
        <w:numPr>
          <w:ilvl w:val="0"/>
          <w:numId w:val="1"/>
        </w:numPr>
        <w:spacing w:line="360" w:lineRule="auto"/>
      </w:pPr>
      <w:r w:rsidRPr="001B3152">
        <w:t xml:space="preserve">Department of Oceanography, University of </w:t>
      </w:r>
      <w:proofErr w:type="spellStart"/>
      <w:r w:rsidRPr="001B3152">
        <w:t>Hawaiʻi</w:t>
      </w:r>
      <w:proofErr w:type="spellEnd"/>
      <w:r w:rsidRPr="001B3152">
        <w:t xml:space="preserve"> at </w:t>
      </w:r>
      <w:proofErr w:type="spellStart"/>
      <w:r w:rsidRPr="001B3152">
        <w:t>M</w:t>
      </w:r>
      <w:r w:rsidRPr="001B3152">
        <w:rPr>
          <w:rFonts w:cs="Aptos"/>
        </w:rPr>
        <w:t>ā</w:t>
      </w:r>
      <w:r w:rsidRPr="001B3152">
        <w:t>noa</w:t>
      </w:r>
      <w:proofErr w:type="spellEnd"/>
      <w:r w:rsidRPr="001B3152">
        <w:t>, Honolulu, HI, USA</w:t>
      </w:r>
    </w:p>
    <w:p w14:paraId="2C85A915" w14:textId="77777777" w:rsidR="00C52C79" w:rsidRPr="001B3152" w:rsidRDefault="00C52C79" w:rsidP="00C52C79">
      <w:pPr>
        <w:pStyle w:val="ListParagraph"/>
        <w:numPr>
          <w:ilvl w:val="0"/>
          <w:numId w:val="1"/>
        </w:numPr>
        <w:spacing w:line="360" w:lineRule="auto"/>
      </w:pPr>
      <w:r w:rsidRPr="001B3152">
        <w:t>[C]Worthy, Boulder, Colorado, USA</w:t>
      </w:r>
    </w:p>
    <w:p w14:paraId="1EB45230" w14:textId="77777777" w:rsidR="00C52C79" w:rsidRPr="001B3152" w:rsidRDefault="00C52C79" w:rsidP="00C52C79">
      <w:pPr>
        <w:pStyle w:val="ListParagraph"/>
        <w:numPr>
          <w:ilvl w:val="0"/>
          <w:numId w:val="1"/>
        </w:numPr>
        <w:spacing w:line="360" w:lineRule="auto"/>
      </w:pPr>
      <w:r w:rsidRPr="001B3152">
        <w:t>Covenant University Ota Ogun State, Nigeria</w:t>
      </w:r>
    </w:p>
    <w:p w14:paraId="06C1C0D3" w14:textId="77777777" w:rsidR="00C52C79" w:rsidRPr="001B3152" w:rsidRDefault="00C52C79" w:rsidP="00C52C79">
      <w:pPr>
        <w:pStyle w:val="ListParagraph"/>
        <w:numPr>
          <w:ilvl w:val="0"/>
          <w:numId w:val="1"/>
        </w:numPr>
        <w:spacing w:line="360" w:lineRule="auto"/>
      </w:pPr>
      <w:r w:rsidRPr="001B3152">
        <w:t xml:space="preserve"> Université Côte d’Azur, IAE Nice, GRM, France</w:t>
      </w:r>
    </w:p>
    <w:p w14:paraId="520F19C5" w14:textId="77777777" w:rsidR="00C52C79" w:rsidRPr="001B3152" w:rsidRDefault="00C52C79" w:rsidP="00C52C79">
      <w:pPr>
        <w:pStyle w:val="ListParagraph"/>
        <w:numPr>
          <w:ilvl w:val="0"/>
          <w:numId w:val="1"/>
        </w:numPr>
        <w:spacing w:line="360" w:lineRule="auto"/>
      </w:pPr>
      <w:r w:rsidRPr="001B3152">
        <w:t>International Atomic Energy Agency, Monaco</w:t>
      </w:r>
    </w:p>
    <w:p w14:paraId="03437038" w14:textId="77777777" w:rsidR="00FE0EE8" w:rsidRPr="007C6F51" w:rsidRDefault="00FE0EE8">
      <w:pPr>
        <w:spacing w:after="200"/>
        <w:rPr>
          <w:rFonts w:asciiTheme="minorHAnsi" w:eastAsia="Cambria" w:hAnsiTheme="minorHAnsi"/>
          <w:highlight w:val="yellow"/>
          <w:lang w:val="en-GB"/>
        </w:rPr>
      </w:pPr>
    </w:p>
    <w:p w14:paraId="2CB03187" w14:textId="75E45302" w:rsidR="007A2027" w:rsidRPr="007C6F51" w:rsidRDefault="00C22EC6">
      <w:pPr>
        <w:pStyle w:val="Heading2"/>
        <w:keepNext w:val="0"/>
        <w:keepLines w:val="0"/>
        <w:spacing w:before="200" w:after="0"/>
        <w:rPr>
          <w:rFonts w:asciiTheme="minorHAnsi" w:eastAsia="Cambria" w:hAnsiTheme="minorHAnsi"/>
          <w:sz w:val="24"/>
          <w:szCs w:val="24"/>
        </w:rPr>
      </w:pPr>
      <w:bookmarkStart w:id="0" w:name="_fz2309h1t91j"/>
      <w:bookmarkStart w:id="1" w:name="_vbita2rj49h5"/>
      <w:bookmarkEnd w:id="0"/>
      <w:bookmarkEnd w:id="1"/>
      <w:r w:rsidRPr="007C6F51">
        <w:rPr>
          <w:rFonts w:asciiTheme="minorHAnsi" w:eastAsia="Calibri" w:hAnsiTheme="minorHAnsi"/>
          <w:b/>
          <w:color w:val="4F81BD"/>
        </w:rPr>
        <w:t>Text S1</w:t>
      </w:r>
      <w:r w:rsidR="00973424" w:rsidRPr="007C6F51">
        <w:rPr>
          <w:rFonts w:asciiTheme="minorHAnsi" w:eastAsia="Calibri" w:hAnsiTheme="minorHAnsi"/>
          <w:b/>
          <w:color w:val="4F81BD"/>
        </w:rPr>
        <w:t xml:space="preserve"> Cumulative emissions and the emissions gap</w:t>
      </w:r>
    </w:p>
    <w:p w14:paraId="7E68DFB5" w14:textId="68B704E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Cumulative emissions of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are directly related to stabilisation temperature in future climate scenarios (</w:t>
      </w:r>
      <w:proofErr w:type="spellStart"/>
      <w:r w:rsidRPr="007C6F51">
        <w:rPr>
          <w:rFonts w:asciiTheme="minorHAnsi" w:eastAsia="Cambria" w:hAnsiTheme="minorHAnsi"/>
          <w:lang w:val="en-GB"/>
        </w:rPr>
        <w:t>Meinshausen</w:t>
      </w:r>
      <w:proofErr w:type="spellEnd"/>
      <w:r w:rsidRPr="007C6F51">
        <w:rPr>
          <w:rFonts w:asciiTheme="minorHAnsi" w:eastAsia="Cambria" w:hAnsiTheme="minorHAnsi"/>
          <w:lang w:val="en-GB"/>
        </w:rPr>
        <w:t xml:space="preserve"> 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2009</w:t>
      </w:r>
      <w:r w:rsidR="00405AB5" w:rsidRPr="007C6F51">
        <w:rPr>
          <w:rFonts w:asciiTheme="minorHAnsi" w:eastAsia="Cambria" w:hAnsiTheme="minorHAnsi"/>
          <w:lang w:val="en-GB"/>
        </w:rPr>
        <w:t>;</w:t>
      </w:r>
      <w:r w:rsidRPr="007C6F51">
        <w:rPr>
          <w:rFonts w:asciiTheme="minorHAnsi" w:eastAsia="Cambria" w:hAnsiTheme="minorHAnsi"/>
          <w:lang w:val="en-GB"/>
        </w:rPr>
        <w:t xml:space="preserve"> Smith 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2018) so it is important when considering the significance of carbon management </w:t>
      </w:r>
      <w:proofErr w:type="gramStart"/>
      <w:r w:rsidRPr="007C6F51">
        <w:rPr>
          <w:rFonts w:asciiTheme="minorHAnsi" w:eastAsia="Cambria" w:hAnsiTheme="minorHAnsi"/>
          <w:lang w:val="en-GB"/>
        </w:rPr>
        <w:t>actions</w:t>
      </w:r>
      <w:proofErr w:type="gramEnd"/>
      <w:r w:rsidRPr="007C6F51">
        <w:rPr>
          <w:rFonts w:asciiTheme="minorHAnsi" w:eastAsia="Cambria" w:hAnsiTheme="minorHAnsi"/>
          <w:lang w:val="en-GB"/>
        </w:rPr>
        <w:t xml:space="preserve"> the contribution of such actions to the total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budget relative to the required mitigation/negative emission strategies to prevent exceeding a certain level of warming.</w:t>
      </w:r>
    </w:p>
    <w:p w14:paraId="185B2788" w14:textId="67A1A330"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lastRenderedPageBreak/>
        <w:t>In order to remain close to the internationally agreed target of limiting warming to below 2°C, humanity needs to limit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to well within the </w:t>
      </w:r>
      <w:r w:rsidR="009F31C8" w:rsidRPr="007C6F51">
        <w:rPr>
          <w:rFonts w:asciiTheme="minorHAnsi" w:eastAsia="Cambria" w:hAnsiTheme="minorHAnsi"/>
          <w:lang w:val="en-GB"/>
        </w:rPr>
        <w:t xml:space="preserve">second </w:t>
      </w:r>
      <w:r w:rsidRPr="007C6F51">
        <w:rPr>
          <w:rFonts w:asciiTheme="minorHAnsi" w:eastAsia="Cambria" w:hAnsiTheme="minorHAnsi"/>
          <w:lang w:val="en-GB"/>
        </w:rPr>
        <w:t>most stringent of the IPCC climate scenarios (RCP 2.6) and to limit warming to 1.5°C, must keep concentrations in line with the even more stringent RCP 1.9. Within these temperature/CO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concentration targets and associated possible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trajectories (i.e., when and how quickly do we start cutting emissions) there are many possible scenarios employing different balances of conventional mitigation (i.e., emissions reductions) and negative emissions (i.e., enhanced uptake through either environmental carbon management or technological fixes). </w:t>
      </w:r>
    </w:p>
    <w:p w14:paraId="7C083AC9" w14:textId="41692B84" w:rsidR="007A2027" w:rsidRPr="007C6F51" w:rsidRDefault="00973424">
      <w:pPr>
        <w:shd w:val="clear" w:color="auto" w:fill="FFFFFF" w:themeFill="background1"/>
        <w:spacing w:before="180" w:after="180"/>
        <w:rPr>
          <w:rFonts w:asciiTheme="minorHAnsi" w:eastAsia="Cambria" w:hAnsiTheme="minorHAnsi"/>
          <w:lang w:val="en-GB"/>
        </w:rPr>
      </w:pPr>
      <w:r w:rsidRPr="007C6F51">
        <w:rPr>
          <w:rFonts w:asciiTheme="minorHAnsi" w:eastAsia="Cambria" w:hAnsiTheme="minorHAnsi"/>
          <w:lang w:val="en-GB"/>
        </w:rPr>
        <w:t xml:space="preserve">Estimates of emissions to 2100 that are consistent with RCP2.6 range from 300 to 1200 Gt C and the total 21st Century emissions allowing stabilisation at or below 2°C are estimated to be as little as 200 Gt </w:t>
      </w:r>
      <w:r w:rsidR="00C60AA1" w:rsidRPr="007C6F51">
        <w:rPr>
          <w:rFonts w:asciiTheme="minorHAnsi" w:eastAsia="Cambria" w:hAnsiTheme="minorHAnsi"/>
          <w:lang w:val="en-GB"/>
        </w:rPr>
        <w:t>C (</w:t>
      </w:r>
      <w:r w:rsidRPr="007C6F51">
        <w:rPr>
          <w:rFonts w:asciiTheme="minorHAnsi" w:eastAsia="Cambria" w:hAnsiTheme="minorHAnsi"/>
          <w:lang w:val="en-GB"/>
        </w:rPr>
        <w:t>733 Gt CO2e) (</w:t>
      </w:r>
      <w:r w:rsidR="00C60AA1" w:rsidRPr="007C6F51">
        <w:rPr>
          <w:rFonts w:asciiTheme="minorHAnsi" w:eastAsia="Cambria" w:hAnsiTheme="minorHAnsi"/>
          <w:lang w:val="en-GB"/>
        </w:rPr>
        <w:t>e.g.,</w:t>
      </w:r>
      <w:r w:rsidRPr="007C6F51">
        <w:rPr>
          <w:rFonts w:asciiTheme="minorHAnsi" w:eastAsia="Cambria" w:hAnsiTheme="minorHAnsi"/>
          <w:lang w:val="en-GB"/>
        </w:rPr>
        <w:t xml:space="preserve"> Smith et al</w:t>
      </w:r>
      <w:r w:rsidR="004D4E72" w:rsidRPr="007C6F51">
        <w:rPr>
          <w:rFonts w:asciiTheme="minorHAnsi" w:eastAsia="Cambria" w:hAnsiTheme="minorHAnsi"/>
          <w:lang w:val="en-GB"/>
        </w:rPr>
        <w:t>.,</w:t>
      </w:r>
      <w:r w:rsidRPr="007C6F51">
        <w:rPr>
          <w:rFonts w:asciiTheme="minorHAnsi" w:eastAsia="Cambria" w:hAnsiTheme="minorHAnsi"/>
          <w:lang w:val="en-GB"/>
        </w:rPr>
        <w:t xml:space="preserve"> 201</w:t>
      </w:r>
      <w:r w:rsidR="00A72D77" w:rsidRPr="007C6F51">
        <w:rPr>
          <w:rFonts w:asciiTheme="minorHAnsi" w:eastAsia="Cambria" w:hAnsiTheme="minorHAnsi"/>
          <w:lang w:val="en-GB"/>
        </w:rPr>
        <w:t>8</w:t>
      </w:r>
      <w:r w:rsidR="00405AB5" w:rsidRPr="007C6F51">
        <w:rPr>
          <w:rFonts w:asciiTheme="minorHAnsi" w:eastAsia="Cambria" w:hAnsiTheme="minorHAnsi"/>
          <w:lang w:val="en-GB"/>
        </w:rPr>
        <w:t>;</w:t>
      </w:r>
      <w:r w:rsidRPr="007C6F51">
        <w:rPr>
          <w:rFonts w:asciiTheme="minorHAnsi" w:eastAsia="Cambria" w:hAnsiTheme="minorHAnsi"/>
          <w:lang w:val="en-GB"/>
        </w:rPr>
        <w:t xml:space="preserve"> Millar et al</w:t>
      </w:r>
      <w:r w:rsidR="004D4E72" w:rsidRPr="007C6F51">
        <w:rPr>
          <w:rFonts w:asciiTheme="minorHAnsi" w:eastAsia="Cambria" w:hAnsiTheme="minorHAnsi"/>
          <w:lang w:val="en-GB"/>
        </w:rPr>
        <w:t>.,</w:t>
      </w:r>
      <w:r w:rsidR="00405AB5" w:rsidRPr="007C6F51">
        <w:rPr>
          <w:rFonts w:asciiTheme="minorHAnsi" w:eastAsia="Cambria" w:hAnsiTheme="minorHAnsi"/>
          <w:lang w:val="en-GB"/>
        </w:rPr>
        <w:t xml:space="preserve"> </w:t>
      </w:r>
      <w:r w:rsidRPr="007C6F51">
        <w:rPr>
          <w:rFonts w:asciiTheme="minorHAnsi" w:eastAsia="Cambria" w:hAnsiTheme="minorHAnsi"/>
          <w:lang w:val="en-GB"/>
        </w:rPr>
        <w:t>2017). Gasser et al (2015) estimate that between 200 and 600 Pg of additional carbon storage (700–2100 Gt CO2e) will be needed to mitigate climate change to below 2°C of warming in their integrated assessment of emissions mitigation and earth-system response. The UN Emissions gap report 2019</w:t>
      </w:r>
      <w:r w:rsidR="00D56A8F" w:rsidRPr="007C6F51">
        <w:rPr>
          <w:rFonts w:asciiTheme="minorHAnsi" w:eastAsia="Cambria" w:hAnsiTheme="minorHAnsi"/>
          <w:lang w:val="en-GB"/>
        </w:rPr>
        <w:t xml:space="preserve"> (UNEP 2019)</w:t>
      </w:r>
      <w:r w:rsidRPr="007C6F51">
        <w:rPr>
          <w:rFonts w:asciiTheme="minorHAnsi" w:eastAsia="Cambria" w:hAnsiTheme="minorHAnsi"/>
          <w:lang w:val="en-GB"/>
        </w:rPr>
        <w:t xml:space="preserve"> further estimates that there is a gap between projected emissions and maximum emissions consistent with limiting warming to 1.5</w:t>
      </w:r>
      <w:r w:rsidR="00405AB5" w:rsidRPr="007C6F51">
        <w:rPr>
          <w:rFonts w:asciiTheme="minorHAnsi" w:eastAsia="Cambria" w:hAnsiTheme="minorHAnsi"/>
          <w:lang w:val="en-GB"/>
        </w:rPr>
        <w:t xml:space="preserve">°C </w:t>
      </w:r>
      <w:r w:rsidRPr="007C6F51">
        <w:rPr>
          <w:rFonts w:asciiTheme="minorHAnsi" w:eastAsia="Cambria" w:hAnsiTheme="minorHAnsi"/>
          <w:lang w:val="en-GB"/>
        </w:rPr>
        <w:t>of up to 32 Gt CO2e equivalents by 2030.</w:t>
      </w:r>
    </w:p>
    <w:p w14:paraId="62C41B91" w14:textId="6B18D10E" w:rsidR="007A2027" w:rsidRPr="007C6F51" w:rsidRDefault="00973424">
      <w:pPr>
        <w:shd w:val="clear" w:color="auto" w:fill="FFFFFF" w:themeFill="background1"/>
        <w:spacing w:before="180" w:after="180"/>
        <w:rPr>
          <w:rFonts w:asciiTheme="minorHAnsi" w:eastAsia="Cambria" w:hAnsiTheme="minorHAnsi"/>
          <w:lang w:val="en-GB"/>
        </w:rPr>
      </w:pPr>
      <w:r w:rsidRPr="007C6F51">
        <w:rPr>
          <w:rFonts w:asciiTheme="minorHAnsi" w:eastAsia="Cambria" w:hAnsiTheme="minorHAnsi"/>
          <w:lang w:val="en-GB"/>
        </w:rPr>
        <w:t>There are a range of estimates of the magnitude of the ocean net sink for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in the present but are o</w:t>
      </w:r>
      <w:r w:rsidR="00405AB5" w:rsidRPr="007C6F51">
        <w:rPr>
          <w:rFonts w:asciiTheme="minorHAnsi" w:eastAsia="Cambria" w:hAnsiTheme="minorHAnsi"/>
          <w:lang w:val="en-GB"/>
        </w:rPr>
        <w:t>n</w:t>
      </w:r>
      <w:r w:rsidRPr="007C6F51">
        <w:rPr>
          <w:rFonts w:asciiTheme="minorHAnsi" w:eastAsia="Cambria" w:hAnsiTheme="minorHAnsi"/>
          <w:lang w:val="en-GB"/>
        </w:rPr>
        <w:t xml:space="preserve"> the order </w:t>
      </w:r>
      <w:r w:rsidR="009F31C8" w:rsidRPr="007C6F51">
        <w:rPr>
          <w:rFonts w:asciiTheme="minorHAnsi" w:eastAsia="Cambria" w:hAnsiTheme="minorHAnsi"/>
          <w:lang w:val="en-GB"/>
        </w:rPr>
        <w:t>of</w:t>
      </w:r>
      <w:r w:rsidR="00405AB5" w:rsidRPr="007C6F51">
        <w:rPr>
          <w:rFonts w:asciiTheme="minorHAnsi" w:eastAsia="Cambria" w:hAnsiTheme="minorHAnsi"/>
          <w:lang w:val="en-GB"/>
        </w:rPr>
        <w:t>,</w:t>
      </w:r>
      <w:r w:rsidR="009F31C8" w:rsidRPr="007C6F51">
        <w:rPr>
          <w:rFonts w:asciiTheme="minorHAnsi" w:eastAsia="Cambria" w:hAnsiTheme="minorHAnsi"/>
          <w:lang w:val="en-GB"/>
        </w:rPr>
        <w:t xml:space="preserve"> </w:t>
      </w:r>
      <w:r w:rsidRPr="007C6F51">
        <w:rPr>
          <w:rFonts w:asciiTheme="minorHAnsi" w:eastAsia="Cambria" w:hAnsiTheme="minorHAnsi"/>
          <w:lang w:val="en-GB"/>
        </w:rPr>
        <w:t>e.g.</w:t>
      </w:r>
      <w:r w:rsidR="00405AB5" w:rsidRPr="007C6F51">
        <w:rPr>
          <w:rFonts w:asciiTheme="minorHAnsi" w:eastAsia="Cambria" w:hAnsiTheme="minorHAnsi"/>
          <w:lang w:val="en-GB"/>
        </w:rPr>
        <w:t>,</w:t>
      </w:r>
      <w:r w:rsidRPr="007C6F51">
        <w:rPr>
          <w:rFonts w:asciiTheme="minorHAnsi" w:eastAsia="Cambria" w:hAnsiTheme="minorHAnsi"/>
          <w:lang w:val="en-GB"/>
        </w:rPr>
        <w:t xml:space="preserve"> 2.</w:t>
      </w:r>
      <w:r w:rsidR="0098428A" w:rsidRPr="007C6F51">
        <w:rPr>
          <w:rFonts w:asciiTheme="minorHAnsi" w:eastAsia="Cambria" w:hAnsiTheme="minorHAnsi"/>
          <w:lang w:val="en-GB"/>
        </w:rPr>
        <w:t>9</w:t>
      </w:r>
      <w:r w:rsidRPr="007C6F51">
        <w:rPr>
          <w:rFonts w:asciiTheme="minorHAnsi" w:eastAsia="Cambria" w:hAnsiTheme="minorHAnsi"/>
          <w:lang w:val="en-GB"/>
        </w:rPr>
        <w:t xml:space="preserve"> ± 0.</w:t>
      </w:r>
      <w:r w:rsidR="0098428A" w:rsidRPr="007C6F51">
        <w:rPr>
          <w:rFonts w:asciiTheme="minorHAnsi" w:eastAsia="Cambria" w:hAnsiTheme="minorHAnsi"/>
          <w:lang w:val="en-GB"/>
        </w:rPr>
        <w:t>4</w:t>
      </w:r>
      <w:r w:rsidRPr="007C6F51">
        <w:rPr>
          <w:rFonts w:asciiTheme="minorHAnsi" w:eastAsia="Cambria" w:hAnsiTheme="minorHAnsi"/>
          <w:lang w:val="en-GB"/>
        </w:rPr>
        <w:t xml:space="preserve"> Pg of carbon per year (</w:t>
      </w:r>
      <w:proofErr w:type="spellStart"/>
      <w:r w:rsidR="00DA2FF4" w:rsidRPr="007C6F51">
        <w:rPr>
          <w:rFonts w:asciiTheme="minorHAnsi" w:eastAsia="Cambria" w:hAnsiTheme="minorHAnsi"/>
          <w:lang w:val="en-GB"/>
        </w:rPr>
        <w:t>Friedlingstein</w:t>
      </w:r>
      <w:proofErr w:type="spellEnd"/>
      <w:r w:rsidR="00DA2FF4" w:rsidRPr="007C6F51">
        <w:rPr>
          <w:rFonts w:asciiTheme="minorHAnsi" w:eastAsia="Cambria" w:hAnsiTheme="minorHAnsi"/>
          <w:lang w:val="en-GB"/>
        </w:rPr>
        <w:t xml:space="preserve"> et al., 2022</w:t>
      </w:r>
      <w:r w:rsidRPr="007C6F51">
        <w:rPr>
          <w:rFonts w:asciiTheme="minorHAnsi" w:eastAsia="Cambria" w:hAnsiTheme="minorHAnsi"/>
          <w:lang w:val="en-GB"/>
        </w:rPr>
        <w:t xml:space="preserve">). The greater the total cumulative emissions the smaller the fraction of these emissions </w:t>
      </w:r>
      <w:r w:rsidR="0031277A" w:rsidRPr="007C6F51">
        <w:rPr>
          <w:rFonts w:asciiTheme="minorHAnsi" w:eastAsia="Cambria" w:hAnsiTheme="minorHAnsi"/>
          <w:lang w:val="en-GB"/>
        </w:rPr>
        <w:t xml:space="preserve">that will be </w:t>
      </w:r>
      <w:r w:rsidRPr="007C6F51">
        <w:rPr>
          <w:rFonts w:asciiTheme="minorHAnsi" w:eastAsia="Cambria" w:hAnsiTheme="minorHAnsi"/>
          <w:lang w:val="en-GB"/>
        </w:rPr>
        <w:t>taken up by the ocean due to the loss of buffering capacity, particularly in the more rapid emission scenarios (</w:t>
      </w:r>
      <w:r w:rsidR="009F31C8" w:rsidRPr="007C6F51">
        <w:rPr>
          <w:rFonts w:asciiTheme="minorHAnsi" w:eastAsia="Cambria" w:hAnsiTheme="minorHAnsi"/>
          <w:lang w:val="en-GB"/>
        </w:rPr>
        <w:t>e.g.,</w:t>
      </w:r>
      <w:r w:rsidRPr="007C6F51">
        <w:rPr>
          <w:rFonts w:asciiTheme="minorHAnsi" w:eastAsia="Cambria" w:hAnsiTheme="minorHAnsi"/>
          <w:lang w:val="en-GB"/>
        </w:rPr>
        <w:t xml:space="preserve"> </w:t>
      </w:r>
      <w:r w:rsidR="00E83C3B" w:rsidRPr="007C6F51">
        <w:rPr>
          <w:rFonts w:asciiTheme="minorHAnsi" w:hAnsiTheme="minorHAnsi"/>
        </w:rPr>
        <w:t xml:space="preserve">Le </w:t>
      </w:r>
      <w:proofErr w:type="spellStart"/>
      <w:r w:rsidR="00E83C3B" w:rsidRPr="007C6F51">
        <w:rPr>
          <w:rFonts w:asciiTheme="minorHAnsi" w:hAnsiTheme="minorHAnsi"/>
        </w:rPr>
        <w:t>Quéré</w:t>
      </w:r>
      <w:proofErr w:type="spellEnd"/>
      <w:r w:rsidR="00E83C3B" w:rsidRPr="007C6F51" w:rsidDel="00E83C3B">
        <w:rPr>
          <w:rFonts w:asciiTheme="minorHAnsi" w:eastAsia="Cambria" w:hAnsiTheme="minorHAnsi"/>
          <w:lang w:val="en-GB"/>
        </w:rPr>
        <w:t xml:space="preserve"> </w:t>
      </w:r>
      <w:r w:rsidRPr="007C6F51">
        <w:rPr>
          <w:rFonts w:asciiTheme="minorHAnsi" w:eastAsia="Cambria" w:hAnsiTheme="minorHAnsi"/>
          <w:lang w:val="en-GB"/>
        </w:rPr>
        <w:t>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2009</w:t>
      </w:r>
      <w:r w:rsidR="00405AB5" w:rsidRPr="007C6F51">
        <w:rPr>
          <w:rFonts w:asciiTheme="minorHAnsi" w:eastAsia="Cambria" w:hAnsiTheme="minorHAnsi"/>
          <w:lang w:val="en-GB"/>
        </w:rPr>
        <w:t>;</w:t>
      </w:r>
      <w:r w:rsidRPr="007C6F51">
        <w:rPr>
          <w:rFonts w:asciiTheme="minorHAnsi" w:eastAsia="Cambria" w:hAnsiTheme="minorHAnsi"/>
          <w:lang w:val="en-GB"/>
        </w:rPr>
        <w:t xml:space="preserve"> Jones 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2013) and thus the</w:t>
      </w:r>
      <w:r w:rsidR="0031277A" w:rsidRPr="007C6F51">
        <w:rPr>
          <w:rFonts w:asciiTheme="minorHAnsi" w:eastAsia="Cambria" w:hAnsiTheme="minorHAnsi"/>
          <w:lang w:val="en-GB"/>
        </w:rPr>
        <w:t>re will be a</w:t>
      </w:r>
      <w:r w:rsidRPr="007C6F51">
        <w:rPr>
          <w:rFonts w:asciiTheme="minorHAnsi" w:eastAsia="Cambria" w:hAnsiTheme="minorHAnsi"/>
          <w:lang w:val="en-GB"/>
        </w:rPr>
        <w:t xml:space="preserve"> reduction of uptake rate relative to emission rate through time. In the most optimistic scenarios where atmospheric emissions are rapidly reduced, the </w:t>
      </w:r>
      <w:r w:rsidR="009F31C8" w:rsidRPr="007C6F51">
        <w:rPr>
          <w:rFonts w:asciiTheme="minorHAnsi" w:eastAsia="Cambria" w:hAnsiTheme="minorHAnsi"/>
          <w:lang w:val="en-GB"/>
        </w:rPr>
        <w:t>year-on-year</w:t>
      </w:r>
      <w:r w:rsidRPr="007C6F51">
        <w:rPr>
          <w:rFonts w:asciiTheme="minorHAnsi" w:eastAsia="Cambria" w:hAnsiTheme="minorHAnsi"/>
          <w:lang w:val="en-GB"/>
        </w:rPr>
        <w:t xml:space="preserve"> </w:t>
      </w:r>
      <w:r w:rsidR="001A1FFC" w:rsidRPr="007C6F51">
        <w:rPr>
          <w:rFonts w:asciiTheme="minorHAnsi" w:eastAsia="Cambria" w:hAnsiTheme="minorHAnsi"/>
          <w:lang w:val="en-GB"/>
        </w:rPr>
        <w:t xml:space="preserve">total </w:t>
      </w:r>
      <w:r w:rsidRPr="007C6F51">
        <w:rPr>
          <w:rFonts w:asciiTheme="minorHAnsi" w:eastAsia="Cambria" w:hAnsiTheme="minorHAnsi"/>
          <w:lang w:val="en-GB"/>
        </w:rPr>
        <w:t>sink strength of the ocean will actually decrease due to the reduction in the concentration difference driving the flux of carbon into the ocean (e.g., Jones 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2013</w:t>
      </w:r>
      <w:r w:rsidR="00405AB5" w:rsidRPr="007C6F51">
        <w:rPr>
          <w:rFonts w:asciiTheme="minorHAnsi" w:eastAsia="Cambria" w:hAnsiTheme="minorHAnsi"/>
          <w:lang w:val="en-GB"/>
        </w:rPr>
        <w:t>;</w:t>
      </w:r>
      <w:r w:rsidRPr="007C6F51">
        <w:rPr>
          <w:rFonts w:asciiTheme="minorHAnsi" w:eastAsia="Cambria" w:hAnsiTheme="minorHAnsi"/>
          <w:lang w:val="en-GB"/>
        </w:rPr>
        <w:t xml:space="preserve"> 2016), with CMIP5 models predicting an ocean uptake of between 100 and 150 Pg of carbon from 2005 to 2100 under RCP2.5 scenarios, with an ocean fractional uptake of 0.6 of total anthropogenic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emissions.</w:t>
      </w:r>
    </w:p>
    <w:p w14:paraId="18626EE8" w14:textId="21D98E32" w:rsidR="007A2027" w:rsidRPr="007C6F51" w:rsidRDefault="00973424">
      <w:pPr>
        <w:shd w:val="clear" w:color="auto" w:fill="FFFFFF" w:themeFill="background1"/>
        <w:spacing w:before="180" w:after="180"/>
        <w:rPr>
          <w:rFonts w:asciiTheme="minorHAnsi" w:eastAsia="Cambria" w:hAnsiTheme="minorHAnsi"/>
          <w:lang w:val="en-GB"/>
        </w:rPr>
      </w:pPr>
      <w:r w:rsidRPr="007C6F51">
        <w:rPr>
          <w:rFonts w:asciiTheme="minorHAnsi" w:eastAsia="Cambria" w:hAnsiTheme="minorHAnsi"/>
          <w:lang w:val="en-GB"/>
        </w:rPr>
        <w:t>This overall reduction in the ocean sink with time as mitigation activity is implemented has important implications for negative emissions which decrease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 any benefit they confer is mediated by a decrease in the effectiveness of the natural ocean carbon sink (Jones et al</w:t>
      </w:r>
      <w:r w:rsidR="00405AB5" w:rsidRPr="007C6F51">
        <w:rPr>
          <w:rFonts w:asciiTheme="minorHAnsi" w:eastAsia="Cambria" w:hAnsiTheme="minorHAnsi"/>
          <w:lang w:val="en-GB"/>
        </w:rPr>
        <w:t>.,</w:t>
      </w:r>
      <w:r w:rsidRPr="007C6F51">
        <w:rPr>
          <w:rFonts w:asciiTheme="minorHAnsi" w:eastAsia="Cambria" w:hAnsiTheme="minorHAnsi"/>
          <w:lang w:val="en-GB"/>
        </w:rPr>
        <w:t xml:space="preserve"> 2016). </w:t>
      </w:r>
      <w:r w:rsidR="00C60AA1" w:rsidRPr="007C6F51">
        <w:rPr>
          <w:rFonts w:asciiTheme="minorHAnsi" w:eastAsia="Cambria" w:hAnsiTheme="minorHAnsi"/>
          <w:lang w:val="en-GB"/>
        </w:rPr>
        <w:t>Therefore,</w:t>
      </w:r>
      <w:r w:rsidRPr="007C6F51">
        <w:rPr>
          <w:rFonts w:asciiTheme="minorHAnsi" w:eastAsia="Cambria" w:hAnsiTheme="minorHAnsi"/>
          <w:lang w:val="en-GB"/>
        </w:rPr>
        <w:t xml:space="preserve"> it is difficult to assess the net benefit of any carbon uptake precisely in the context of a given emissions scenario without </w:t>
      </w:r>
      <w:r w:rsidR="009F31C8" w:rsidRPr="007C6F51">
        <w:rPr>
          <w:rFonts w:asciiTheme="minorHAnsi" w:eastAsia="Cambria" w:hAnsiTheme="minorHAnsi"/>
          <w:lang w:val="en-GB"/>
        </w:rPr>
        <w:t xml:space="preserve">a </w:t>
      </w:r>
      <w:r w:rsidRPr="007C6F51">
        <w:rPr>
          <w:rFonts w:asciiTheme="minorHAnsi" w:eastAsia="Cambria" w:hAnsiTheme="minorHAnsi"/>
          <w:lang w:val="en-GB"/>
        </w:rPr>
        <w:t>detailed modelling effort including the timing of a given action relative to other activities and the response of the whole system to it.</w:t>
      </w:r>
    </w:p>
    <w:p w14:paraId="13457CF8" w14:textId="16B30E36" w:rsidR="007A2027" w:rsidRPr="007C6F51" w:rsidRDefault="00973424">
      <w:pPr>
        <w:shd w:val="clear" w:color="auto" w:fill="FFFFFF" w:themeFill="background1"/>
        <w:spacing w:before="180" w:after="180"/>
        <w:rPr>
          <w:rFonts w:asciiTheme="minorHAnsi" w:eastAsia="Cambria" w:hAnsiTheme="minorHAnsi"/>
          <w:lang w:val="en-GB"/>
        </w:rPr>
      </w:pPr>
      <w:r w:rsidRPr="007C6F51">
        <w:rPr>
          <w:rFonts w:asciiTheme="minorHAnsi" w:eastAsia="Cambria" w:hAnsiTheme="minorHAnsi"/>
          <w:lang w:val="en-GB"/>
        </w:rPr>
        <w:t>Given the complexity of assessing emissions magnitudes and the further complexity of predicting the response of the natural system to future mitigation activity</w:t>
      </w:r>
      <w:r w:rsidR="009F31C8" w:rsidRPr="007C6F51">
        <w:rPr>
          <w:rFonts w:asciiTheme="minorHAnsi" w:eastAsia="Cambria" w:hAnsiTheme="minorHAnsi"/>
          <w:lang w:val="en-GB"/>
        </w:rPr>
        <w:t>,</w:t>
      </w:r>
      <w:r w:rsidRPr="007C6F51">
        <w:rPr>
          <w:rFonts w:asciiTheme="minorHAnsi" w:eastAsia="Cambria" w:hAnsiTheme="minorHAnsi"/>
          <w:lang w:val="en-GB"/>
        </w:rPr>
        <w:t xml:space="preserve"> we take a simplified approach here of comparing the carbon storage capacity of different coastal and marine systems to each other, in the context of the need to sequester hundreds of extra </w:t>
      </w:r>
      <w:proofErr w:type="spellStart"/>
      <w:r w:rsidRPr="007C6F51">
        <w:rPr>
          <w:rFonts w:asciiTheme="minorHAnsi" w:eastAsia="Cambria" w:hAnsiTheme="minorHAnsi"/>
          <w:lang w:val="en-GB"/>
        </w:rPr>
        <w:t>petagrams</w:t>
      </w:r>
      <w:proofErr w:type="spellEnd"/>
      <w:r w:rsidRPr="007C6F51">
        <w:rPr>
          <w:rFonts w:asciiTheme="minorHAnsi" w:eastAsia="Cambria" w:hAnsiTheme="minorHAnsi"/>
          <w:lang w:val="en-GB"/>
        </w:rPr>
        <w:t xml:space="preserve"> of carbon by the end of the century. We consider absolute carbon storage rather </w:t>
      </w:r>
      <w:r w:rsidR="009F31C8" w:rsidRPr="007C6F51">
        <w:rPr>
          <w:rFonts w:asciiTheme="minorHAnsi" w:eastAsia="Cambria" w:hAnsiTheme="minorHAnsi"/>
          <w:lang w:val="en-GB"/>
        </w:rPr>
        <w:t xml:space="preserve">than </w:t>
      </w:r>
      <w:r w:rsidRPr="007C6F51">
        <w:rPr>
          <w:rFonts w:asciiTheme="minorHAnsi" w:eastAsia="Cambria" w:hAnsiTheme="minorHAnsi"/>
          <w:lang w:val="en-GB"/>
        </w:rPr>
        <w:t>the impact of carbon storage on atmospheric carbon as the latter is time-varying and depends on the buffer capacity of the ocean.</w:t>
      </w:r>
    </w:p>
    <w:p w14:paraId="6BD802E5" w14:textId="535175F3" w:rsidR="007A2027" w:rsidRPr="007C6F51" w:rsidRDefault="009B64C5">
      <w:pPr>
        <w:pStyle w:val="Heading2"/>
        <w:keepNext w:val="0"/>
        <w:keepLines w:val="0"/>
        <w:spacing w:before="200" w:after="0"/>
        <w:rPr>
          <w:rFonts w:asciiTheme="minorHAnsi" w:eastAsia="Calibri" w:hAnsiTheme="minorHAnsi"/>
          <w:b/>
          <w:color w:val="4F81BD"/>
        </w:rPr>
      </w:pPr>
      <w:bookmarkStart w:id="2" w:name="_sgr9h1qy3lsb"/>
      <w:bookmarkEnd w:id="2"/>
      <w:r w:rsidRPr="007C6F51">
        <w:rPr>
          <w:rFonts w:asciiTheme="minorHAnsi" w:eastAsia="Calibri" w:hAnsiTheme="minorHAnsi"/>
          <w:b/>
          <w:color w:val="4F81BD"/>
        </w:rPr>
        <w:t>Text S2</w:t>
      </w:r>
      <w:r w:rsidR="00973424" w:rsidRPr="007C6F51">
        <w:rPr>
          <w:rFonts w:asciiTheme="minorHAnsi" w:eastAsia="Calibri" w:hAnsiTheme="minorHAnsi"/>
          <w:b/>
          <w:color w:val="4F81BD"/>
        </w:rPr>
        <w:t xml:space="preserve"> Coastal (‘Blue’) Carbon storage scenarios</w:t>
      </w:r>
    </w:p>
    <w:p w14:paraId="58F3EBFF" w14:textId="7726DFCA" w:rsidR="007A2027" w:rsidRPr="007C6F51" w:rsidRDefault="00973424">
      <w:pPr>
        <w:spacing w:before="180" w:after="180"/>
        <w:rPr>
          <w:rFonts w:asciiTheme="minorHAnsi" w:eastAsia="Cambria" w:hAnsiTheme="minorHAnsi"/>
          <w:lang w:val="en-GB"/>
        </w:rPr>
      </w:pPr>
      <w:bookmarkStart w:id="3" w:name="_Hlk152246798"/>
      <w:r w:rsidRPr="007C6F51">
        <w:rPr>
          <w:rFonts w:asciiTheme="minorHAnsi" w:eastAsia="Cambria" w:hAnsiTheme="minorHAnsi"/>
          <w:lang w:val="en-GB"/>
        </w:rPr>
        <w:lastRenderedPageBreak/>
        <w:t>There has been considerable study of the carbon storage capacity and loss rates of salt marshes, mangroves, and seagrass meadows globally and while knowledge is still lacking on precise areas and loss rates, and in understanding the variability of observed carbon stocks and storage</w:t>
      </w:r>
      <w:r w:rsidR="008F516E" w:rsidRPr="007C6F51">
        <w:rPr>
          <w:rFonts w:asciiTheme="minorHAnsi" w:eastAsia="Cambria" w:hAnsiTheme="minorHAnsi"/>
          <w:lang w:val="en-GB"/>
        </w:rPr>
        <w:t xml:space="preserve"> (e.g.</w:t>
      </w:r>
      <w:r w:rsidR="00405AB5" w:rsidRPr="007C6F51">
        <w:rPr>
          <w:rFonts w:asciiTheme="minorHAnsi" w:eastAsia="Cambria" w:hAnsiTheme="minorHAnsi"/>
          <w:lang w:val="en-GB"/>
        </w:rPr>
        <w:t>,</w:t>
      </w:r>
      <w:r w:rsidR="008F516E" w:rsidRPr="007C6F51">
        <w:rPr>
          <w:rFonts w:asciiTheme="minorHAnsi" w:eastAsia="Cambria" w:hAnsiTheme="minorHAnsi"/>
          <w:lang w:val="en-GB"/>
        </w:rPr>
        <w:t xml:space="preserve"> </w:t>
      </w:r>
      <w:r w:rsidR="00931AE5" w:rsidRPr="007C6F51">
        <w:rPr>
          <w:rFonts w:asciiTheme="minorHAnsi" w:eastAsia="Cambria" w:hAnsiTheme="minorHAnsi"/>
          <w:lang w:val="en-GB"/>
        </w:rPr>
        <w:t>Williamson et al., 2022</w:t>
      </w:r>
      <w:r w:rsidR="008F516E" w:rsidRPr="007C6F51">
        <w:rPr>
          <w:rFonts w:asciiTheme="minorHAnsi" w:eastAsia="Cambria" w:hAnsiTheme="minorHAnsi"/>
          <w:lang w:val="en-GB"/>
        </w:rPr>
        <w:t>)</w:t>
      </w:r>
      <w:r w:rsidRPr="007C6F51">
        <w:rPr>
          <w:rFonts w:asciiTheme="minorHAnsi" w:eastAsia="Cambria" w:hAnsiTheme="minorHAnsi"/>
          <w:lang w:val="en-GB"/>
        </w:rPr>
        <w:t xml:space="preserve">, this paper cannot add to this knowledge and so we take a synthesis of the current literature values as presented in </w:t>
      </w:r>
      <w:r w:rsidR="00405AB5" w:rsidRPr="007C6F51">
        <w:rPr>
          <w:rFonts w:asciiTheme="minorHAnsi" w:eastAsia="Cambria" w:hAnsiTheme="minorHAnsi"/>
          <w:lang w:val="en-GB"/>
        </w:rPr>
        <w:t>T</w:t>
      </w:r>
      <w:r w:rsidRPr="007C6F51">
        <w:rPr>
          <w:rFonts w:asciiTheme="minorHAnsi" w:eastAsia="Cambria" w:hAnsiTheme="minorHAnsi"/>
          <w:lang w:val="en-GB"/>
        </w:rPr>
        <w:t>able S1.</w:t>
      </w:r>
    </w:p>
    <w:p w14:paraId="20B1898E" w14:textId="5386E1A8"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For all habitats (saltmarsh, mangrove, seagrass</w:t>
      </w:r>
      <w:r w:rsidR="009F31C8" w:rsidRPr="007C6F51">
        <w:rPr>
          <w:rFonts w:asciiTheme="minorHAnsi" w:eastAsia="Cambria" w:hAnsiTheme="minorHAnsi"/>
          <w:lang w:val="en-GB"/>
        </w:rPr>
        <w:t>,</w:t>
      </w:r>
      <w:r w:rsidRPr="007C6F51">
        <w:rPr>
          <w:rFonts w:asciiTheme="minorHAnsi" w:eastAsia="Cambria" w:hAnsiTheme="minorHAnsi"/>
          <w:lang w:val="en-GB"/>
        </w:rPr>
        <w:t xml:space="preserve"> and macroalgae) we use the synthesised data in Table S1 to calculate scenarios as follows:</w:t>
      </w:r>
    </w:p>
    <w:p w14:paraId="55F6BFFC" w14:textId="77777777" w:rsidR="007A2027" w:rsidRPr="007C6F51" w:rsidRDefault="00973424">
      <w:pPr>
        <w:spacing w:after="200"/>
        <w:ind w:left="960" w:hanging="480"/>
        <w:rPr>
          <w:rFonts w:asciiTheme="minorHAnsi" w:eastAsia="Cambria" w:hAnsiTheme="minorHAnsi"/>
          <w:lang w:val="en-GB"/>
        </w:rPr>
      </w:pPr>
      <w:proofErr w:type="spellStart"/>
      <w:r w:rsidRPr="007C6F51">
        <w:rPr>
          <w:rFonts w:asciiTheme="minorHAnsi" w:eastAsia="Cambria" w:hAnsiTheme="minorHAnsi"/>
          <w:lang w:val="en-GB"/>
        </w:rPr>
        <w:t>i</w:t>
      </w:r>
      <w:proofErr w:type="spellEnd"/>
      <w:r w:rsidRPr="007C6F51">
        <w:rPr>
          <w:rFonts w:asciiTheme="minorHAnsi" w:eastAsia="Cambria" w:hAnsiTheme="minorHAnsi"/>
          <w:lang w:val="en-GB"/>
        </w:rPr>
        <w:t>)</w:t>
      </w:r>
      <w:r w:rsidRPr="007C6F51">
        <w:rPr>
          <w:rFonts w:asciiTheme="minorHAnsi" w:hAnsiTheme="minorHAnsi"/>
          <w:sz w:val="14"/>
          <w:szCs w:val="14"/>
          <w:lang w:val="en-GB"/>
        </w:rPr>
        <w:t xml:space="preserve">    </w:t>
      </w:r>
      <w:r w:rsidRPr="007C6F51">
        <w:rPr>
          <w:rFonts w:asciiTheme="minorHAnsi" w:hAnsiTheme="minorHAnsi"/>
          <w:sz w:val="14"/>
          <w:szCs w:val="14"/>
          <w:lang w:val="en-GB"/>
        </w:rPr>
        <w:tab/>
      </w:r>
      <w:r w:rsidRPr="007C6F51">
        <w:rPr>
          <w:rFonts w:asciiTheme="minorHAnsi" w:eastAsia="Cambria" w:hAnsiTheme="minorHAnsi"/>
          <w:lang w:val="en-GB"/>
        </w:rPr>
        <w:t>Business as usual: The current rate of loss of habitat (and the concurrent loss of carbon stock) is maintained to 2100, with the remaining habitat sequestering carbon at literature rates.</w:t>
      </w:r>
    </w:p>
    <w:p w14:paraId="7630179C" w14:textId="78824D69" w:rsidR="007A2027" w:rsidRPr="007C6F51" w:rsidRDefault="00973424">
      <w:pPr>
        <w:spacing w:after="200"/>
        <w:ind w:left="960" w:hanging="480"/>
        <w:rPr>
          <w:rFonts w:asciiTheme="minorHAnsi" w:eastAsia="Cambria" w:hAnsiTheme="minorHAnsi"/>
          <w:lang w:val="en-GB"/>
        </w:rPr>
      </w:pPr>
      <w:r w:rsidRPr="007C6F51">
        <w:rPr>
          <w:rFonts w:asciiTheme="minorHAnsi" w:eastAsia="Cambria" w:hAnsiTheme="minorHAnsi"/>
          <w:lang w:val="en-GB"/>
        </w:rPr>
        <w:t>ii)</w:t>
      </w:r>
      <w:r w:rsidRPr="007C6F51">
        <w:rPr>
          <w:rFonts w:asciiTheme="minorHAnsi" w:hAnsiTheme="minorHAnsi"/>
          <w:sz w:val="14"/>
          <w:szCs w:val="14"/>
          <w:lang w:val="en-GB"/>
        </w:rPr>
        <w:t xml:space="preserve">   </w:t>
      </w:r>
      <w:r w:rsidRPr="007C6F51">
        <w:rPr>
          <w:rFonts w:asciiTheme="minorHAnsi" w:hAnsiTheme="minorHAnsi"/>
          <w:sz w:val="14"/>
          <w:szCs w:val="14"/>
          <w:lang w:val="en-GB"/>
        </w:rPr>
        <w:tab/>
      </w:r>
      <w:r w:rsidRPr="007C6F51">
        <w:rPr>
          <w:rFonts w:asciiTheme="minorHAnsi" w:eastAsia="Cambria" w:hAnsiTheme="minorHAnsi"/>
          <w:lang w:val="en-GB"/>
        </w:rPr>
        <w:t xml:space="preserve">Halt loss: All habitat is protected immediately so the loss is halted, and this constant area is maintained until 2100 (in reality this scenario would be achieved by counterbalancing unavoidable loss with </w:t>
      </w:r>
      <w:r w:rsidR="00256405" w:rsidRPr="007C6F51">
        <w:rPr>
          <w:rFonts w:asciiTheme="minorHAnsi" w:eastAsia="Cambria" w:hAnsiTheme="minorHAnsi"/>
          <w:lang w:val="en-GB"/>
        </w:rPr>
        <w:t xml:space="preserve">new or </w:t>
      </w:r>
      <w:r w:rsidRPr="007C6F51">
        <w:rPr>
          <w:rFonts w:asciiTheme="minorHAnsi" w:eastAsia="Cambria" w:hAnsiTheme="minorHAnsi"/>
          <w:lang w:val="en-GB"/>
        </w:rPr>
        <w:t xml:space="preserve">restored habitat to maintain </w:t>
      </w:r>
      <w:r w:rsidR="009F31C8" w:rsidRPr="007C6F51">
        <w:rPr>
          <w:rFonts w:asciiTheme="minorHAnsi" w:eastAsia="Cambria" w:hAnsiTheme="minorHAnsi"/>
          <w:lang w:val="en-GB"/>
        </w:rPr>
        <w:t xml:space="preserve">a </w:t>
      </w:r>
      <w:r w:rsidRPr="007C6F51">
        <w:rPr>
          <w:rFonts w:asciiTheme="minorHAnsi" w:eastAsia="Cambria" w:hAnsiTheme="minorHAnsi"/>
          <w:lang w:val="en-GB"/>
        </w:rPr>
        <w:t>constant area).</w:t>
      </w:r>
    </w:p>
    <w:p w14:paraId="2E06BF8C" w14:textId="29643388" w:rsidR="007A2027" w:rsidRPr="007C6F51" w:rsidRDefault="00973424">
      <w:pPr>
        <w:spacing w:after="200"/>
        <w:ind w:left="960" w:hanging="480"/>
        <w:rPr>
          <w:rFonts w:asciiTheme="minorHAnsi" w:eastAsia="Cambria" w:hAnsiTheme="minorHAnsi"/>
          <w:lang w:val="en-GB"/>
        </w:rPr>
      </w:pPr>
      <w:r w:rsidRPr="007C6F51">
        <w:rPr>
          <w:rFonts w:asciiTheme="minorHAnsi" w:eastAsia="Cambria" w:hAnsiTheme="minorHAnsi"/>
          <w:lang w:val="en-GB"/>
        </w:rPr>
        <w:t>iii)</w:t>
      </w:r>
      <w:r w:rsidRPr="007C6F51">
        <w:rPr>
          <w:rFonts w:asciiTheme="minorHAnsi" w:hAnsiTheme="minorHAnsi"/>
          <w:sz w:val="14"/>
          <w:szCs w:val="14"/>
          <w:lang w:val="en-GB"/>
        </w:rPr>
        <w:t xml:space="preserve"> </w:t>
      </w:r>
      <w:r w:rsidRPr="007C6F51">
        <w:rPr>
          <w:rFonts w:asciiTheme="minorHAnsi" w:hAnsiTheme="minorHAnsi"/>
          <w:sz w:val="14"/>
          <w:szCs w:val="14"/>
          <w:lang w:val="en-GB"/>
        </w:rPr>
        <w:tab/>
      </w:r>
      <w:r w:rsidR="00405AB5" w:rsidRPr="007C6F51">
        <w:rPr>
          <w:rFonts w:asciiTheme="minorHAnsi" w:eastAsia="Cambria" w:hAnsiTheme="minorHAnsi"/>
          <w:lang w:val="en-GB"/>
        </w:rPr>
        <w:t>R</w:t>
      </w:r>
      <w:r w:rsidRPr="007C6F51">
        <w:rPr>
          <w:rFonts w:asciiTheme="minorHAnsi" w:eastAsia="Cambria" w:hAnsiTheme="minorHAnsi"/>
          <w:lang w:val="en-GB"/>
        </w:rPr>
        <w:t>estoration: There is a year-on-year increase in habitat areas through aggressive habitat restoration to 2050 at which point pre-WWII areas have been restored. Each year the extant habitats fix carbon at the literature rates.</w:t>
      </w:r>
    </w:p>
    <w:p w14:paraId="53EF2BB5" w14:textId="01818100" w:rsidR="007A2027" w:rsidRPr="007C6F51" w:rsidRDefault="00973424">
      <w:pPr>
        <w:spacing w:after="200"/>
        <w:rPr>
          <w:rFonts w:asciiTheme="minorHAnsi" w:eastAsia="Cambria" w:hAnsiTheme="minorHAnsi"/>
          <w:lang w:val="en-GB"/>
        </w:rPr>
      </w:pPr>
      <w:r w:rsidRPr="007C6F51">
        <w:rPr>
          <w:rFonts w:asciiTheme="minorHAnsi" w:eastAsia="Cambria" w:hAnsiTheme="minorHAnsi"/>
          <w:lang w:val="en-GB"/>
        </w:rPr>
        <w:t xml:space="preserve">We note that neither </w:t>
      </w:r>
      <w:proofErr w:type="spellStart"/>
      <w:r w:rsidRPr="007C6F51">
        <w:rPr>
          <w:rFonts w:asciiTheme="minorHAnsi" w:eastAsia="Cambria" w:hAnsiTheme="minorHAnsi"/>
          <w:lang w:val="en-GB"/>
        </w:rPr>
        <w:t>i</w:t>
      </w:r>
      <w:proofErr w:type="spellEnd"/>
      <w:r w:rsidRPr="007C6F51">
        <w:rPr>
          <w:rFonts w:asciiTheme="minorHAnsi" w:eastAsia="Cambria" w:hAnsiTheme="minorHAnsi"/>
          <w:lang w:val="en-GB"/>
        </w:rPr>
        <w:t xml:space="preserve">) </w:t>
      </w:r>
      <w:r w:rsidR="009F31C8" w:rsidRPr="007C6F51">
        <w:rPr>
          <w:rFonts w:asciiTheme="minorHAnsi" w:eastAsia="Cambria" w:hAnsiTheme="minorHAnsi"/>
          <w:lang w:val="en-GB"/>
        </w:rPr>
        <w:t>nor</w:t>
      </w:r>
      <w:r w:rsidRPr="007C6F51">
        <w:rPr>
          <w:rFonts w:asciiTheme="minorHAnsi" w:eastAsia="Cambria" w:hAnsiTheme="minorHAnsi"/>
          <w:lang w:val="en-GB"/>
        </w:rPr>
        <w:t xml:space="preserve"> ii) are realistically achievable but these are presented as optimistic ‘best cases’ </w:t>
      </w:r>
      <w:bookmarkEnd w:id="3"/>
      <w:r w:rsidRPr="007C6F51">
        <w:rPr>
          <w:rFonts w:asciiTheme="minorHAnsi" w:eastAsia="Cambria" w:hAnsiTheme="minorHAnsi"/>
          <w:lang w:val="en-GB"/>
        </w:rPr>
        <w:t xml:space="preserve">(and </w:t>
      </w:r>
      <w:r w:rsidR="00F96FEE" w:rsidRPr="007C6F51">
        <w:rPr>
          <w:rFonts w:asciiTheme="minorHAnsi" w:eastAsia="Cambria" w:hAnsiTheme="minorHAnsi"/>
          <w:lang w:val="en-GB"/>
        </w:rPr>
        <w:t xml:space="preserve">serve to </w:t>
      </w:r>
      <w:r w:rsidRPr="007C6F51">
        <w:rPr>
          <w:rFonts w:asciiTheme="minorHAnsi" w:eastAsia="Cambria" w:hAnsiTheme="minorHAnsi"/>
          <w:lang w:val="en-GB"/>
        </w:rPr>
        <w:t xml:space="preserve">demonstrate the relatively small contribution coastal blue carbon can make even under these </w:t>
      </w:r>
      <w:r w:rsidR="009F31C8" w:rsidRPr="007C6F51">
        <w:rPr>
          <w:rFonts w:asciiTheme="minorHAnsi" w:eastAsia="Cambria" w:hAnsiTheme="minorHAnsi"/>
          <w:lang w:val="en-GB"/>
        </w:rPr>
        <w:t>best-case</w:t>
      </w:r>
      <w:r w:rsidRPr="007C6F51">
        <w:rPr>
          <w:rFonts w:asciiTheme="minorHAnsi" w:eastAsia="Cambria" w:hAnsiTheme="minorHAnsi"/>
          <w:lang w:val="en-GB"/>
        </w:rPr>
        <w:t xml:space="preserve"> scenarios). </w:t>
      </w:r>
    </w:p>
    <w:p w14:paraId="196CB465" w14:textId="77777777" w:rsidR="007A2027" w:rsidRPr="007C6F51" w:rsidRDefault="00973424">
      <w:pPr>
        <w:spacing w:before="180" w:after="180"/>
        <w:rPr>
          <w:rFonts w:asciiTheme="minorHAnsi" w:eastAsia="Cambria" w:hAnsiTheme="minorHAnsi"/>
          <w:b/>
          <w:bCs/>
          <w:lang w:val="en-GB"/>
        </w:rPr>
      </w:pPr>
      <w:r w:rsidRPr="007C6F51">
        <w:rPr>
          <w:rFonts w:asciiTheme="minorHAnsi" w:eastAsia="Cambria" w:hAnsiTheme="minorHAnsi"/>
          <w:b/>
          <w:bCs/>
          <w:lang w:val="en-GB"/>
        </w:rPr>
        <w:t>2.1 Macroalgal carbon storage</w:t>
      </w:r>
    </w:p>
    <w:p w14:paraId="7A5140E8" w14:textId="668B9961"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There are fewer studies on macroalgae as carbon sinks so we synthesise these in more detail here. Whilst not </w:t>
      </w:r>
      <w:r w:rsidR="009B64C5" w:rsidRPr="007C6F51">
        <w:rPr>
          <w:rFonts w:asciiTheme="minorHAnsi" w:eastAsia="Cambria" w:hAnsiTheme="minorHAnsi"/>
          <w:lang w:val="en-GB"/>
        </w:rPr>
        <w:t xml:space="preserve">leading to direct sedimentation of </w:t>
      </w:r>
      <w:r w:rsidRPr="007C6F51">
        <w:rPr>
          <w:rFonts w:asciiTheme="minorHAnsi" w:eastAsia="Cambria" w:hAnsiTheme="minorHAnsi"/>
          <w:lang w:val="en-GB"/>
        </w:rPr>
        <w:t xml:space="preserve">carbon </w:t>
      </w:r>
      <w:r w:rsidR="009F31C8" w:rsidRPr="007C6F51">
        <w:rPr>
          <w:rFonts w:asciiTheme="minorHAnsi" w:eastAsia="Cambria" w:hAnsiTheme="minorHAnsi"/>
          <w:lang w:val="en-GB"/>
        </w:rPr>
        <w:t>in situ</w:t>
      </w:r>
      <w:r w:rsidRPr="007C6F51">
        <w:rPr>
          <w:rFonts w:asciiTheme="minorHAnsi" w:eastAsia="Cambria" w:hAnsiTheme="minorHAnsi"/>
          <w:lang w:val="en-GB"/>
        </w:rPr>
        <w:t xml:space="preserve">, it is thought that a small percentage of macroalgal primary production may be stored for long time periods as </w:t>
      </w:r>
      <w:r w:rsidR="00F96FEE" w:rsidRPr="007C6F51">
        <w:rPr>
          <w:rFonts w:asciiTheme="minorHAnsi" w:eastAsia="Cambria" w:hAnsiTheme="minorHAnsi"/>
          <w:lang w:val="en-GB"/>
        </w:rPr>
        <w:t xml:space="preserve">particulate </w:t>
      </w:r>
      <w:r w:rsidRPr="007C6F51">
        <w:rPr>
          <w:rFonts w:asciiTheme="minorHAnsi" w:eastAsia="Cambria" w:hAnsiTheme="minorHAnsi"/>
          <w:lang w:val="en-GB"/>
        </w:rPr>
        <w:t xml:space="preserve">organic carbon in shelf sediments or as </w:t>
      </w:r>
      <w:r w:rsidR="00F96FEE" w:rsidRPr="007C6F51">
        <w:rPr>
          <w:rFonts w:asciiTheme="minorHAnsi" w:eastAsia="Cambria" w:hAnsiTheme="minorHAnsi"/>
          <w:lang w:val="en-GB"/>
        </w:rPr>
        <w:t xml:space="preserve">refractory </w:t>
      </w:r>
      <w:r w:rsidRPr="007C6F51">
        <w:rPr>
          <w:rFonts w:asciiTheme="minorHAnsi" w:eastAsia="Cambria" w:hAnsiTheme="minorHAnsi"/>
          <w:lang w:val="en-GB"/>
        </w:rPr>
        <w:t>dissolved organic carbon in the marine carbon pool (</w:t>
      </w:r>
      <w:r w:rsidR="009F31C8" w:rsidRPr="007C6F51">
        <w:rPr>
          <w:rFonts w:asciiTheme="minorHAnsi" w:eastAsia="Cambria" w:hAnsiTheme="minorHAnsi"/>
          <w:lang w:val="en-GB"/>
        </w:rPr>
        <w:t>e.g.,</w:t>
      </w:r>
      <w:r w:rsidRPr="007C6F51">
        <w:rPr>
          <w:rFonts w:asciiTheme="minorHAnsi" w:eastAsia="Cambria" w:hAnsiTheme="minorHAnsi"/>
          <w:lang w:val="en-GB"/>
        </w:rPr>
        <w:t xml:space="preserve"> Krause-Jensen and Duarte</w:t>
      </w:r>
      <w:r w:rsidR="00247774" w:rsidRPr="007C6F51">
        <w:rPr>
          <w:rFonts w:asciiTheme="minorHAnsi" w:eastAsia="Cambria" w:hAnsiTheme="minorHAnsi"/>
          <w:lang w:val="en-GB"/>
        </w:rPr>
        <w:t>, 2016</w:t>
      </w:r>
      <w:r w:rsidRPr="007C6F51">
        <w:rPr>
          <w:rFonts w:asciiTheme="minorHAnsi" w:eastAsia="Cambria" w:hAnsiTheme="minorHAnsi"/>
          <w:lang w:val="en-GB"/>
        </w:rPr>
        <w:t>). This percentage is highly uncertain, however (from 0</w:t>
      </w:r>
      <w:r w:rsidR="00405AB5" w:rsidRPr="007C6F51">
        <w:rPr>
          <w:rFonts w:asciiTheme="minorHAnsi" w:eastAsia="Cambria" w:hAnsiTheme="minorHAnsi"/>
          <w:lang w:val="en-GB"/>
        </w:rPr>
        <w:t>–</w:t>
      </w:r>
      <w:r w:rsidRPr="007C6F51">
        <w:rPr>
          <w:rFonts w:asciiTheme="minorHAnsi" w:eastAsia="Cambria" w:hAnsiTheme="minorHAnsi"/>
          <w:lang w:val="en-GB"/>
        </w:rPr>
        <w:t>6% percent of kelp primary production or 0</w:t>
      </w:r>
      <w:r w:rsidR="00405AB5" w:rsidRPr="007C6F51">
        <w:rPr>
          <w:rFonts w:asciiTheme="minorHAnsi" w:eastAsia="Cambria" w:hAnsiTheme="minorHAnsi"/>
          <w:lang w:val="en-GB"/>
        </w:rPr>
        <w:t>–</w:t>
      </w:r>
      <w:r w:rsidRPr="007C6F51">
        <w:rPr>
          <w:rFonts w:asciiTheme="minorHAnsi" w:eastAsia="Cambria" w:hAnsiTheme="minorHAnsi"/>
          <w:lang w:val="en-GB"/>
        </w:rPr>
        <w:t>3% of other macroalgae</w:t>
      </w:r>
      <w:r w:rsidR="00405AB5" w:rsidRPr="007C6F51">
        <w:rPr>
          <w:rFonts w:asciiTheme="minorHAnsi" w:eastAsia="Cambria" w:hAnsiTheme="minorHAnsi"/>
          <w:lang w:val="en-GB"/>
        </w:rPr>
        <w:t xml:space="preserve">; </w:t>
      </w:r>
      <w:proofErr w:type="spellStart"/>
      <w:r w:rsidRPr="007C6F51">
        <w:rPr>
          <w:rFonts w:asciiTheme="minorHAnsi" w:eastAsia="Cambria" w:hAnsiTheme="minorHAnsi"/>
          <w:lang w:val="en-GB"/>
        </w:rPr>
        <w:t>Legge</w:t>
      </w:r>
      <w:proofErr w:type="spellEnd"/>
      <w:r w:rsidRPr="007C6F51">
        <w:rPr>
          <w:rFonts w:asciiTheme="minorHAnsi" w:eastAsia="Cambria" w:hAnsiTheme="minorHAnsi"/>
          <w:lang w:val="en-GB"/>
        </w:rPr>
        <w:t xml:space="preserve"> et al., 2020</w:t>
      </w:r>
      <w:r w:rsidR="00857EF4" w:rsidRPr="007C6F51">
        <w:rPr>
          <w:rFonts w:asciiTheme="minorHAnsi" w:eastAsia="Cambria" w:hAnsiTheme="minorHAnsi"/>
          <w:lang w:val="en-GB"/>
        </w:rPr>
        <w:t>;</w:t>
      </w:r>
      <w:r w:rsidRPr="007C6F51">
        <w:rPr>
          <w:rFonts w:asciiTheme="minorHAnsi" w:eastAsia="Cambria" w:hAnsiTheme="minorHAnsi"/>
          <w:lang w:val="en-GB"/>
        </w:rPr>
        <w:t xml:space="preserve"> </w:t>
      </w:r>
      <w:r w:rsidR="00857EF4" w:rsidRPr="007C6F51">
        <w:rPr>
          <w:rFonts w:asciiTheme="minorHAnsi" w:eastAsia="Cambria" w:hAnsiTheme="minorHAnsi"/>
          <w:lang w:val="en-GB"/>
        </w:rPr>
        <w:t>Krause-Jensen and Duarte, 2016</w:t>
      </w:r>
      <w:r w:rsidRPr="007C6F51">
        <w:rPr>
          <w:rFonts w:asciiTheme="minorHAnsi" w:eastAsia="Cambria" w:hAnsiTheme="minorHAnsi"/>
          <w:lang w:val="en-GB"/>
        </w:rPr>
        <w:t>). It is therefore potentially of no benefit to C sequestration, or of globally significant potential. In this study</w:t>
      </w:r>
      <w:r w:rsidR="009F31C8" w:rsidRPr="007C6F51">
        <w:rPr>
          <w:rFonts w:asciiTheme="minorHAnsi" w:eastAsia="Cambria" w:hAnsiTheme="minorHAnsi"/>
          <w:lang w:val="en-GB"/>
        </w:rPr>
        <w:t>,</w:t>
      </w:r>
      <w:r w:rsidRPr="007C6F51">
        <w:rPr>
          <w:rFonts w:asciiTheme="minorHAnsi" w:eastAsia="Cambria" w:hAnsiTheme="minorHAnsi"/>
          <w:lang w:val="en-GB"/>
        </w:rPr>
        <w:t xml:space="preserve"> we consider the range of carbon storage values presented by Krause-Jensen and Duarte (2016) of 61</w:t>
      </w:r>
      <w:r w:rsidR="00405AB5" w:rsidRPr="007C6F51">
        <w:rPr>
          <w:rFonts w:asciiTheme="minorHAnsi" w:eastAsia="Cambria" w:hAnsiTheme="minorHAnsi"/>
          <w:lang w:val="en-GB"/>
        </w:rPr>
        <w:t>–</w:t>
      </w:r>
      <w:r w:rsidRPr="007C6F51">
        <w:rPr>
          <w:rFonts w:asciiTheme="minorHAnsi" w:eastAsia="Cambria" w:hAnsiTheme="minorHAnsi"/>
          <w:lang w:val="en-GB"/>
        </w:rPr>
        <w:t xml:space="preserve">268 </w:t>
      </w:r>
      <w:proofErr w:type="spellStart"/>
      <w:r w:rsidRPr="007C6F51">
        <w:rPr>
          <w:rFonts w:asciiTheme="minorHAnsi" w:eastAsia="Cambria" w:hAnsiTheme="minorHAnsi"/>
          <w:lang w:val="en-GB"/>
        </w:rPr>
        <w:t>TgC</w:t>
      </w:r>
      <w:proofErr w:type="spellEnd"/>
      <w:r w:rsidRPr="007C6F51">
        <w:rPr>
          <w:rFonts w:asciiTheme="minorHAnsi" w:eastAsia="Cambria" w:hAnsiTheme="minorHAnsi"/>
          <w:lang w:val="en-GB"/>
        </w:rPr>
        <w:t xml:space="preserve">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and from these and their estimate of global area (3.54, million km</w:t>
      </w:r>
      <w:r w:rsidRPr="007C6F51">
        <w:rPr>
          <w:rFonts w:asciiTheme="minorHAnsi" w:eastAsia="Cambria" w:hAnsiTheme="minorHAnsi"/>
          <w:vertAlign w:val="superscript"/>
          <w:lang w:val="en-GB"/>
        </w:rPr>
        <w:t>2</w:t>
      </w:r>
      <w:r w:rsidRPr="007C6F51">
        <w:rPr>
          <w:rFonts w:asciiTheme="minorHAnsi" w:eastAsia="Cambria" w:hAnsiTheme="minorHAnsi"/>
          <w:lang w:val="en-GB"/>
        </w:rPr>
        <w:t>) infer a per-unit area net storage of 17</w:t>
      </w:r>
      <w:r w:rsidR="00405AB5" w:rsidRPr="007C6F51">
        <w:rPr>
          <w:rFonts w:asciiTheme="minorHAnsi" w:eastAsia="Cambria" w:hAnsiTheme="minorHAnsi"/>
          <w:lang w:val="en-GB"/>
        </w:rPr>
        <w:t>–</w:t>
      </w:r>
      <w:r w:rsidRPr="007C6F51">
        <w:rPr>
          <w:rFonts w:asciiTheme="minorHAnsi" w:eastAsia="Cambria" w:hAnsiTheme="minorHAnsi"/>
          <w:lang w:val="en-GB"/>
        </w:rPr>
        <w:t>76 g C 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yr</w:t>
      </w:r>
      <w:r w:rsidRPr="007C6F51">
        <w:rPr>
          <w:rFonts w:asciiTheme="minorHAnsi" w:eastAsia="Cambria" w:hAnsiTheme="minorHAnsi"/>
          <w:vertAlign w:val="superscript"/>
          <w:lang w:val="en-GB"/>
        </w:rPr>
        <w:t>-1</w:t>
      </w:r>
      <w:r w:rsidRPr="007C6F51">
        <w:rPr>
          <w:rFonts w:asciiTheme="minorHAnsi" w:eastAsia="Cambria" w:hAnsiTheme="minorHAnsi"/>
          <w:lang w:val="en-GB"/>
        </w:rPr>
        <w:t>.</w:t>
      </w:r>
      <w:r w:rsidR="00683BBD" w:rsidRPr="007C6F51">
        <w:rPr>
          <w:rFonts w:asciiTheme="minorHAnsi" w:eastAsia="Cambria" w:hAnsiTheme="minorHAnsi"/>
          <w:lang w:val="en-GB"/>
        </w:rPr>
        <w:t xml:space="preserve"> </w:t>
      </w:r>
      <w:r w:rsidR="00094897" w:rsidRPr="007C6F51">
        <w:rPr>
          <w:rFonts w:asciiTheme="minorHAnsi" w:eastAsia="Cambria" w:hAnsiTheme="minorHAnsi"/>
          <w:lang w:val="en-GB"/>
        </w:rPr>
        <w:t>We do not consider here the likely effect of increasing temperature on reduced sink strength of carbon from macroalgal detritus</w:t>
      </w:r>
      <w:r w:rsidR="00F958E6" w:rsidRPr="007C6F51">
        <w:rPr>
          <w:rFonts w:asciiTheme="minorHAnsi" w:eastAsia="Cambria" w:hAnsiTheme="minorHAnsi"/>
          <w:lang w:val="en-GB"/>
        </w:rPr>
        <w:t xml:space="preserve"> (</w:t>
      </w:r>
      <w:proofErr w:type="spellStart"/>
      <w:r w:rsidR="00F958E6" w:rsidRPr="007C6F51">
        <w:rPr>
          <w:rFonts w:asciiTheme="minorHAnsi" w:eastAsia="Cambria" w:hAnsiTheme="minorHAnsi"/>
          <w:lang w:val="en-GB"/>
        </w:rPr>
        <w:t>Filbee</w:t>
      </w:r>
      <w:proofErr w:type="spellEnd"/>
      <w:r w:rsidR="00F958E6" w:rsidRPr="007C6F51">
        <w:rPr>
          <w:rFonts w:asciiTheme="minorHAnsi" w:eastAsia="Cambria" w:hAnsiTheme="minorHAnsi"/>
          <w:lang w:val="en-GB"/>
        </w:rPr>
        <w:t>-Dexter et al., 2022)</w:t>
      </w:r>
      <w:r w:rsidR="00094897" w:rsidRPr="007C6F51">
        <w:rPr>
          <w:rFonts w:asciiTheme="minorHAnsi" w:eastAsia="Cambria" w:hAnsiTheme="minorHAnsi"/>
          <w:lang w:val="en-GB"/>
        </w:rPr>
        <w:t>, bu</w:t>
      </w:r>
      <w:r w:rsidR="00F958E6" w:rsidRPr="007C6F51">
        <w:rPr>
          <w:rFonts w:asciiTheme="minorHAnsi" w:eastAsia="Cambria" w:hAnsiTheme="minorHAnsi"/>
          <w:lang w:val="en-GB"/>
        </w:rPr>
        <w:t xml:space="preserve">t this is a potentially important issue for further consideration by future studies. </w:t>
      </w:r>
    </w:p>
    <w:p w14:paraId="1A3409A8" w14:textId="7C78940C" w:rsidR="007A2027" w:rsidRPr="007C6F51" w:rsidRDefault="00973424">
      <w:pPr>
        <w:spacing w:before="180" w:after="180"/>
        <w:rPr>
          <w:rFonts w:asciiTheme="minorHAnsi" w:eastAsia="Cambria" w:hAnsiTheme="minorHAnsi"/>
          <w:b/>
          <w:bCs/>
          <w:lang w:val="en-GB"/>
        </w:rPr>
      </w:pPr>
      <w:r w:rsidRPr="007C6F51">
        <w:rPr>
          <w:rFonts w:asciiTheme="minorHAnsi" w:eastAsia="Cambria" w:hAnsiTheme="minorHAnsi"/>
          <w:b/>
          <w:bCs/>
          <w:lang w:val="en-GB"/>
        </w:rPr>
        <w:t xml:space="preserve">2.2 </w:t>
      </w:r>
      <w:r w:rsidR="009F31C8" w:rsidRPr="007C6F51">
        <w:rPr>
          <w:rFonts w:asciiTheme="minorHAnsi" w:eastAsia="Cambria" w:hAnsiTheme="minorHAnsi"/>
          <w:b/>
          <w:bCs/>
          <w:lang w:val="en-GB"/>
        </w:rPr>
        <w:t>Vulnerability</w:t>
      </w:r>
      <w:r w:rsidRPr="007C6F51">
        <w:rPr>
          <w:rFonts w:asciiTheme="minorHAnsi" w:eastAsia="Cambria" w:hAnsiTheme="minorHAnsi"/>
          <w:b/>
          <w:bCs/>
          <w:lang w:val="en-GB"/>
        </w:rPr>
        <w:t xml:space="preserve"> of macroalgal storage</w:t>
      </w:r>
    </w:p>
    <w:p w14:paraId="596331CB" w14:textId="1487FC80"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Macroalgal standing stock and detrital export have been shown to be lower at warmer temperatures so a decrease in carbon sink might be expected as waters warm (</w:t>
      </w:r>
      <w:proofErr w:type="spellStart"/>
      <w:r w:rsidRPr="007C6F51">
        <w:rPr>
          <w:rFonts w:asciiTheme="minorHAnsi" w:eastAsia="Cambria" w:hAnsiTheme="minorHAnsi"/>
          <w:lang w:val="en-GB"/>
        </w:rPr>
        <w:t>Pessarrodona</w:t>
      </w:r>
      <w:proofErr w:type="spellEnd"/>
      <w:r w:rsidRPr="007C6F51">
        <w:rPr>
          <w:rFonts w:asciiTheme="minorHAnsi" w:eastAsia="Cambria" w:hAnsiTheme="minorHAnsi"/>
          <w:lang w:val="en-GB"/>
        </w:rPr>
        <w:t xml:space="preserve"> et al</w:t>
      </w:r>
      <w:r w:rsidR="00333341" w:rsidRPr="007C6F51">
        <w:rPr>
          <w:rFonts w:asciiTheme="minorHAnsi" w:eastAsia="Cambria" w:hAnsiTheme="minorHAnsi"/>
          <w:lang w:val="en-GB"/>
        </w:rPr>
        <w:t>.,</w:t>
      </w:r>
      <w:r w:rsidRPr="007C6F51">
        <w:rPr>
          <w:rFonts w:asciiTheme="minorHAnsi" w:eastAsia="Cambria" w:hAnsiTheme="minorHAnsi"/>
          <w:lang w:val="en-GB"/>
        </w:rPr>
        <w:t xml:space="preserve"> 201</w:t>
      </w:r>
      <w:r w:rsidR="00333341" w:rsidRPr="007C6F51">
        <w:rPr>
          <w:rFonts w:asciiTheme="minorHAnsi" w:eastAsia="Cambria" w:hAnsiTheme="minorHAnsi"/>
          <w:lang w:val="en-GB"/>
        </w:rPr>
        <w:t>8</w:t>
      </w:r>
      <w:r w:rsidRPr="007C6F51">
        <w:rPr>
          <w:rFonts w:asciiTheme="minorHAnsi" w:eastAsia="Cambria" w:hAnsiTheme="minorHAnsi"/>
          <w:lang w:val="en-GB"/>
        </w:rPr>
        <w:t xml:space="preserve">). </w:t>
      </w:r>
      <w:proofErr w:type="spellStart"/>
      <w:r w:rsidRPr="007C6F51">
        <w:rPr>
          <w:rFonts w:asciiTheme="minorHAnsi" w:eastAsia="Cambria" w:hAnsiTheme="minorHAnsi"/>
          <w:lang w:val="en-GB"/>
        </w:rPr>
        <w:t>Pessarrodona</w:t>
      </w:r>
      <w:proofErr w:type="spellEnd"/>
      <w:r w:rsidRPr="007C6F51">
        <w:rPr>
          <w:rFonts w:asciiTheme="minorHAnsi" w:eastAsia="Cambria" w:hAnsiTheme="minorHAnsi"/>
          <w:lang w:val="en-GB"/>
        </w:rPr>
        <w:t xml:space="preserve"> et al</w:t>
      </w:r>
      <w:r w:rsidR="00333341" w:rsidRPr="007C6F51">
        <w:rPr>
          <w:rFonts w:asciiTheme="minorHAnsi" w:eastAsia="Cambria" w:hAnsiTheme="minorHAnsi"/>
          <w:lang w:val="en-GB"/>
        </w:rPr>
        <w:t>. (2018)</w:t>
      </w:r>
      <w:r w:rsidRPr="007C6F51">
        <w:rPr>
          <w:rFonts w:asciiTheme="minorHAnsi" w:eastAsia="Cambria" w:hAnsiTheme="minorHAnsi"/>
          <w:lang w:val="en-GB"/>
        </w:rPr>
        <w:t xml:space="preserve"> find warm (southern UK) </w:t>
      </w:r>
      <w:r w:rsidRPr="007C6F51">
        <w:rPr>
          <w:rFonts w:asciiTheme="minorHAnsi" w:eastAsia="Cambria" w:hAnsiTheme="minorHAnsi"/>
          <w:i/>
          <w:lang w:val="en-GB"/>
        </w:rPr>
        <w:t>L</w:t>
      </w:r>
      <w:r w:rsidR="003C2E6C" w:rsidRPr="007C6F51">
        <w:rPr>
          <w:rFonts w:asciiTheme="minorHAnsi" w:eastAsia="Cambria" w:hAnsiTheme="minorHAnsi"/>
          <w:i/>
          <w:lang w:val="en-GB"/>
        </w:rPr>
        <w:t>aminaria</w:t>
      </w:r>
      <w:r w:rsidRPr="007C6F51">
        <w:rPr>
          <w:rFonts w:asciiTheme="minorHAnsi" w:eastAsia="Cambria" w:hAnsiTheme="minorHAnsi"/>
          <w:i/>
          <w:lang w:val="en-GB"/>
        </w:rPr>
        <w:t xml:space="preserve">. </w:t>
      </w:r>
      <w:proofErr w:type="spellStart"/>
      <w:r w:rsidR="00405AB5" w:rsidRPr="007C6F51">
        <w:rPr>
          <w:rFonts w:asciiTheme="minorHAnsi" w:eastAsia="Cambria" w:hAnsiTheme="minorHAnsi"/>
          <w:i/>
          <w:lang w:val="en-GB"/>
        </w:rPr>
        <w:t>h</w:t>
      </w:r>
      <w:r w:rsidRPr="007C6F51">
        <w:rPr>
          <w:rFonts w:asciiTheme="minorHAnsi" w:eastAsia="Cambria" w:hAnsiTheme="minorHAnsi"/>
          <w:i/>
          <w:lang w:val="en-GB"/>
        </w:rPr>
        <w:t>yperborea</w:t>
      </w:r>
      <w:proofErr w:type="spellEnd"/>
      <w:r w:rsidRPr="007C6F51">
        <w:rPr>
          <w:rFonts w:asciiTheme="minorHAnsi" w:eastAsia="Cambria" w:hAnsiTheme="minorHAnsi"/>
          <w:lang w:val="en-GB"/>
        </w:rPr>
        <w:t xml:space="preserve"> had a standing C stock of ~140 g C 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(1.4 Mg C ha</w:t>
      </w:r>
      <w:r w:rsidRPr="007C6F51">
        <w:rPr>
          <w:rFonts w:asciiTheme="minorHAnsi" w:eastAsia="Cambria" w:hAnsiTheme="minorHAnsi"/>
          <w:vertAlign w:val="superscript"/>
          <w:lang w:val="en-GB"/>
        </w:rPr>
        <w:t>-1</w:t>
      </w:r>
      <w:r w:rsidRPr="007C6F51">
        <w:rPr>
          <w:rFonts w:asciiTheme="minorHAnsi" w:eastAsia="Cambria" w:hAnsiTheme="minorHAnsi"/>
          <w:lang w:val="en-GB"/>
        </w:rPr>
        <w:t>) v</w:t>
      </w:r>
      <w:r w:rsidR="00405AB5" w:rsidRPr="007C6F51">
        <w:rPr>
          <w:rFonts w:asciiTheme="minorHAnsi" w:eastAsia="Cambria" w:hAnsiTheme="minorHAnsi"/>
          <w:lang w:val="en-GB"/>
        </w:rPr>
        <w:t>ersu</w:t>
      </w:r>
      <w:r w:rsidRPr="007C6F51">
        <w:rPr>
          <w:rFonts w:asciiTheme="minorHAnsi" w:eastAsia="Cambria" w:hAnsiTheme="minorHAnsi"/>
          <w:lang w:val="en-GB"/>
        </w:rPr>
        <w:t>s 1200 g C 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(120 Mg C ha</w:t>
      </w:r>
      <w:r w:rsidRPr="007C6F51">
        <w:rPr>
          <w:rFonts w:asciiTheme="minorHAnsi" w:eastAsia="Cambria" w:hAnsiTheme="minorHAnsi"/>
          <w:vertAlign w:val="superscript"/>
          <w:lang w:val="en-GB"/>
        </w:rPr>
        <w:t>-1</w:t>
      </w:r>
      <w:r w:rsidRPr="007C6F51">
        <w:rPr>
          <w:rFonts w:asciiTheme="minorHAnsi" w:eastAsia="Cambria" w:hAnsiTheme="minorHAnsi"/>
          <w:lang w:val="en-GB"/>
        </w:rPr>
        <w:t>) in cold waters to the north of the UK (note these colder water stock values are the same order as for the sediments of a salt marsh or seagrass meadow, the dif</w:t>
      </w:r>
      <w:r w:rsidRPr="007C6F51">
        <w:rPr>
          <w:rFonts w:asciiTheme="minorHAnsi" w:eastAsia="Cambria" w:hAnsiTheme="minorHAnsi"/>
          <w:lang w:val="en-GB"/>
        </w:rPr>
        <w:lastRenderedPageBreak/>
        <w:t>ference being that the carbon is stored in the living biomass in a kelp forest, rather than in sediments of a salt marsh). We use these figures for</w:t>
      </w:r>
      <w:r w:rsidR="003972AB" w:rsidRPr="007C6F51">
        <w:rPr>
          <w:rFonts w:asciiTheme="minorHAnsi" w:eastAsia="Cambria" w:hAnsiTheme="minorHAnsi"/>
          <w:lang w:val="en-GB"/>
        </w:rPr>
        <w:t xml:space="preserve"> the range of</w:t>
      </w:r>
      <w:r w:rsidRPr="007C6F51">
        <w:rPr>
          <w:rFonts w:asciiTheme="minorHAnsi" w:eastAsia="Cambria" w:hAnsiTheme="minorHAnsi"/>
          <w:lang w:val="en-GB"/>
        </w:rPr>
        <w:t xml:space="preserve"> global per unit stock of carbon for macroalgae</w:t>
      </w:r>
      <w:r w:rsidR="00333341" w:rsidRPr="007C6F51">
        <w:rPr>
          <w:rFonts w:asciiTheme="minorHAnsi" w:eastAsia="Cambria" w:hAnsiTheme="minorHAnsi"/>
          <w:lang w:val="en-GB"/>
        </w:rPr>
        <w:t xml:space="preserve">. </w:t>
      </w:r>
    </w:p>
    <w:p w14:paraId="4D7A28B0" w14:textId="76F10B3C"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The current state of knowledge does not allow us to model future predictions of temperature response with any degree of confidence. However</w:t>
      </w:r>
      <w:r w:rsidR="009F31C8" w:rsidRPr="007C6F51">
        <w:rPr>
          <w:rFonts w:asciiTheme="minorHAnsi" w:eastAsia="Cambria" w:hAnsiTheme="minorHAnsi"/>
          <w:lang w:val="en-GB"/>
        </w:rPr>
        <w:t>,</w:t>
      </w:r>
      <w:r w:rsidRPr="007C6F51">
        <w:rPr>
          <w:rFonts w:asciiTheme="minorHAnsi" w:eastAsia="Cambria" w:hAnsiTheme="minorHAnsi"/>
          <w:lang w:val="en-GB"/>
        </w:rPr>
        <w:t xml:space="preserve"> Assis et al. </w:t>
      </w:r>
      <w:r w:rsidR="006F52A6" w:rsidRPr="007C6F51">
        <w:rPr>
          <w:rFonts w:asciiTheme="minorHAnsi" w:eastAsia="Cambria" w:hAnsiTheme="minorHAnsi"/>
          <w:lang w:val="en-GB"/>
        </w:rPr>
        <w:t>(</w:t>
      </w:r>
      <w:r w:rsidRPr="007C6F51">
        <w:rPr>
          <w:rFonts w:asciiTheme="minorHAnsi" w:eastAsia="Cambria" w:hAnsiTheme="minorHAnsi"/>
          <w:lang w:val="en-GB"/>
        </w:rPr>
        <w:t>2017</w:t>
      </w:r>
      <w:r w:rsidR="006F52A6" w:rsidRPr="007C6F51">
        <w:rPr>
          <w:rFonts w:asciiTheme="minorHAnsi" w:eastAsia="Cambria" w:hAnsiTheme="minorHAnsi"/>
          <w:lang w:val="en-GB"/>
        </w:rPr>
        <w:t>)</w:t>
      </w:r>
      <w:r w:rsidRPr="007C6F51">
        <w:rPr>
          <w:rFonts w:asciiTheme="minorHAnsi" w:eastAsia="Cambria" w:hAnsiTheme="minorHAnsi"/>
          <w:lang w:val="en-GB"/>
        </w:rPr>
        <w:t xml:space="preserve"> </w:t>
      </w:r>
      <w:r w:rsidR="009F31C8" w:rsidRPr="007C6F51">
        <w:rPr>
          <w:rFonts w:asciiTheme="minorHAnsi" w:eastAsia="Cambria" w:hAnsiTheme="minorHAnsi"/>
          <w:lang w:val="en-GB"/>
        </w:rPr>
        <w:t>observed</w:t>
      </w:r>
      <w:r w:rsidRPr="007C6F51">
        <w:rPr>
          <w:rFonts w:asciiTheme="minorHAnsi" w:eastAsia="Cambria" w:hAnsiTheme="minorHAnsi"/>
          <w:lang w:val="en-GB"/>
        </w:rPr>
        <w:t xml:space="preserve"> </w:t>
      </w:r>
      <w:r w:rsidR="009F31C8" w:rsidRPr="007C6F51">
        <w:rPr>
          <w:rFonts w:asciiTheme="minorHAnsi" w:eastAsia="Cambria" w:hAnsiTheme="minorHAnsi"/>
          <w:lang w:val="en-GB"/>
        </w:rPr>
        <w:t xml:space="preserve">a </w:t>
      </w:r>
      <w:r w:rsidRPr="007C6F51">
        <w:rPr>
          <w:rFonts w:asciiTheme="minorHAnsi" w:eastAsia="Cambria" w:hAnsiTheme="minorHAnsi"/>
          <w:lang w:val="en-GB"/>
        </w:rPr>
        <w:t xml:space="preserve">significant loss of macroalgae and </w:t>
      </w:r>
      <w:r w:rsidR="009F31C8" w:rsidRPr="007C6F51">
        <w:rPr>
          <w:rFonts w:asciiTheme="minorHAnsi" w:eastAsia="Cambria" w:hAnsiTheme="minorHAnsi"/>
          <w:lang w:val="en-GB"/>
        </w:rPr>
        <w:t xml:space="preserve">a </w:t>
      </w:r>
      <w:r w:rsidRPr="007C6F51">
        <w:rPr>
          <w:rFonts w:asciiTheme="minorHAnsi" w:eastAsia="Cambria" w:hAnsiTheme="minorHAnsi"/>
          <w:lang w:val="en-GB"/>
        </w:rPr>
        <w:t xml:space="preserve">poleward shift of the southern edge of habitat extent around the coasts of SW Europe with a decrease between 1980 and 2014 of 30% by area </w:t>
      </w:r>
      <w:r w:rsidR="006F52A6" w:rsidRPr="007C6F51">
        <w:rPr>
          <w:rFonts w:asciiTheme="minorHAnsi" w:eastAsia="Cambria" w:hAnsiTheme="minorHAnsi"/>
          <w:lang w:val="en-GB"/>
        </w:rPr>
        <w:t xml:space="preserve">with </w:t>
      </w:r>
      <w:r w:rsidRPr="007C6F51">
        <w:rPr>
          <w:rFonts w:asciiTheme="minorHAnsi" w:eastAsia="Cambria" w:hAnsiTheme="minorHAnsi"/>
          <w:lang w:val="en-GB"/>
        </w:rPr>
        <w:t>a further 38% decrease predicted to 2100. Similar predictions of regional loss are made elsewhere (e.g.</w:t>
      </w:r>
      <w:r w:rsidR="00405AB5" w:rsidRPr="007C6F51">
        <w:rPr>
          <w:rFonts w:asciiTheme="minorHAnsi" w:eastAsia="Cambria" w:hAnsiTheme="minorHAnsi"/>
          <w:lang w:val="en-GB"/>
        </w:rPr>
        <w:t>,</w:t>
      </w:r>
      <w:r w:rsidRPr="007C6F51">
        <w:rPr>
          <w:rFonts w:asciiTheme="minorHAnsi" w:eastAsia="Cambria" w:hAnsiTheme="minorHAnsi"/>
          <w:lang w:val="en-GB"/>
        </w:rPr>
        <w:t xml:space="preserve"> NW Atlantic</w:t>
      </w:r>
      <w:r w:rsidR="00405AB5" w:rsidRPr="007C6F51">
        <w:rPr>
          <w:rFonts w:asciiTheme="minorHAnsi" w:eastAsia="Cambria" w:hAnsiTheme="minorHAnsi"/>
          <w:lang w:val="en-GB"/>
        </w:rPr>
        <w:t>;</w:t>
      </w:r>
      <w:r w:rsidRPr="007C6F51">
        <w:rPr>
          <w:rFonts w:asciiTheme="minorHAnsi" w:eastAsia="Cambria" w:hAnsiTheme="minorHAnsi"/>
          <w:lang w:val="en-GB"/>
        </w:rPr>
        <w:t xml:space="preserve"> Khan et</w:t>
      </w:r>
      <w:r w:rsidR="00BC0E69" w:rsidRPr="007C6F51">
        <w:rPr>
          <w:rFonts w:asciiTheme="minorHAnsi" w:eastAsia="Cambria" w:hAnsiTheme="minorHAnsi"/>
          <w:lang w:val="en-GB"/>
        </w:rPr>
        <w:t xml:space="preserve"> al</w:t>
      </w:r>
      <w:r w:rsidRPr="007C6F51">
        <w:rPr>
          <w:rFonts w:asciiTheme="minorHAnsi" w:eastAsia="Cambria" w:hAnsiTheme="minorHAnsi"/>
          <w:lang w:val="en-GB"/>
        </w:rPr>
        <w:t xml:space="preserve">., 2018). We therefore </w:t>
      </w:r>
      <w:r w:rsidR="00FC4960" w:rsidRPr="007C6F51">
        <w:rPr>
          <w:rFonts w:asciiTheme="minorHAnsi" w:eastAsia="Cambria" w:hAnsiTheme="minorHAnsi"/>
          <w:lang w:val="en-GB"/>
        </w:rPr>
        <w:t>e</w:t>
      </w:r>
      <w:r w:rsidR="00653018" w:rsidRPr="007C6F51">
        <w:rPr>
          <w:rFonts w:asciiTheme="minorHAnsi" w:eastAsia="Cambria" w:hAnsiTheme="minorHAnsi"/>
          <w:lang w:val="en-GB"/>
        </w:rPr>
        <w:t>stimate a</w:t>
      </w:r>
      <w:r w:rsidRPr="007C6F51">
        <w:rPr>
          <w:rFonts w:asciiTheme="minorHAnsi" w:eastAsia="Cambria" w:hAnsiTheme="minorHAnsi"/>
          <w:lang w:val="en-GB"/>
        </w:rPr>
        <w:t xml:space="preserve"> 38% decrease in kelp carbon stock and </w:t>
      </w:r>
      <w:r w:rsidR="00BC0E69" w:rsidRPr="007C6F51">
        <w:rPr>
          <w:rFonts w:asciiTheme="minorHAnsi" w:eastAsia="Cambria" w:hAnsiTheme="minorHAnsi"/>
          <w:lang w:val="en-GB"/>
        </w:rPr>
        <w:t xml:space="preserve">thus </w:t>
      </w:r>
      <w:r w:rsidRPr="007C6F51">
        <w:rPr>
          <w:rFonts w:asciiTheme="minorHAnsi" w:eastAsia="Cambria" w:hAnsiTheme="minorHAnsi"/>
          <w:lang w:val="en-GB"/>
        </w:rPr>
        <w:t xml:space="preserve">carbon fixation </w:t>
      </w:r>
      <w:r w:rsidR="00BC0E69" w:rsidRPr="007C6F51">
        <w:rPr>
          <w:rFonts w:asciiTheme="minorHAnsi" w:eastAsia="Cambria" w:hAnsiTheme="minorHAnsi"/>
          <w:lang w:val="en-GB"/>
        </w:rPr>
        <w:t xml:space="preserve">by </w:t>
      </w:r>
      <w:r w:rsidRPr="007C6F51">
        <w:rPr>
          <w:rFonts w:asciiTheme="minorHAnsi" w:eastAsia="Cambria" w:hAnsiTheme="minorHAnsi"/>
          <w:lang w:val="en-GB"/>
        </w:rPr>
        <w:t xml:space="preserve">2100) as species move North and the coldest water species (with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highest C fixation) are lost.</w:t>
      </w:r>
      <w:r w:rsidR="00653018" w:rsidRPr="007C6F51">
        <w:rPr>
          <w:rFonts w:asciiTheme="minorHAnsi" w:eastAsia="Cambria" w:hAnsiTheme="minorHAnsi"/>
          <w:lang w:val="en-GB"/>
        </w:rPr>
        <w:t xml:space="preserve"> This corresponds to a year-on year loss of 0.6% of stocks.</w:t>
      </w:r>
      <w:r w:rsidRPr="007C6F51">
        <w:rPr>
          <w:rFonts w:asciiTheme="minorHAnsi" w:eastAsia="Cambria" w:hAnsiTheme="minorHAnsi"/>
          <w:lang w:val="en-GB"/>
        </w:rPr>
        <w:t xml:space="preserve"> More detailed work is needed to better estimate this potentially significant change to the ocean carbon cycle in the future. Macroalgal loss due to development, harvesting</w:t>
      </w:r>
      <w:r w:rsidR="009F31C8" w:rsidRPr="007C6F51">
        <w:rPr>
          <w:rFonts w:asciiTheme="minorHAnsi" w:eastAsia="Cambria" w:hAnsiTheme="minorHAnsi"/>
          <w:lang w:val="en-GB"/>
        </w:rPr>
        <w:t>,</w:t>
      </w:r>
      <w:r w:rsidRPr="007C6F51">
        <w:rPr>
          <w:rFonts w:asciiTheme="minorHAnsi" w:eastAsia="Cambria" w:hAnsiTheme="minorHAnsi"/>
          <w:lang w:val="en-GB"/>
        </w:rPr>
        <w:t xml:space="preserve"> and other human activity is difficult to estimate and in a large-scale synthesis of kelp forest change over the preceding 50 years, </w:t>
      </w:r>
      <w:proofErr w:type="spellStart"/>
      <w:r w:rsidRPr="007C6F51">
        <w:rPr>
          <w:rFonts w:asciiTheme="minorHAnsi" w:eastAsia="Cambria" w:hAnsiTheme="minorHAnsi"/>
          <w:lang w:val="en-GB"/>
        </w:rPr>
        <w:t>Krumhansl</w:t>
      </w:r>
      <w:proofErr w:type="spellEnd"/>
      <w:r w:rsidRPr="007C6F51">
        <w:rPr>
          <w:rFonts w:asciiTheme="minorHAnsi" w:eastAsia="Cambria" w:hAnsiTheme="minorHAnsi"/>
          <w:lang w:val="en-GB"/>
        </w:rPr>
        <w:t xml:space="preserve"> et al</w:t>
      </w:r>
      <w:r w:rsidR="006D3F39" w:rsidRPr="007C6F51">
        <w:rPr>
          <w:rFonts w:asciiTheme="minorHAnsi" w:eastAsia="Cambria" w:hAnsiTheme="minorHAnsi"/>
          <w:lang w:val="en-GB"/>
        </w:rPr>
        <w:t>.</w:t>
      </w:r>
      <w:r w:rsidRPr="007C6F51">
        <w:rPr>
          <w:rFonts w:asciiTheme="minorHAnsi" w:eastAsia="Cambria" w:hAnsiTheme="minorHAnsi"/>
          <w:lang w:val="en-GB"/>
        </w:rPr>
        <w:t xml:space="preserve"> (2016) found highly variable rates of change, including many examples of kelp forest increases. However</w:t>
      </w:r>
      <w:r w:rsidR="009F31C8" w:rsidRPr="007C6F51">
        <w:rPr>
          <w:rFonts w:asciiTheme="minorHAnsi" w:eastAsia="Cambria" w:hAnsiTheme="minorHAnsi"/>
          <w:lang w:val="en-GB"/>
        </w:rPr>
        <w:t>,</w:t>
      </w:r>
      <w:r w:rsidRPr="007C6F51">
        <w:rPr>
          <w:rFonts w:asciiTheme="minorHAnsi" w:eastAsia="Cambria" w:hAnsiTheme="minorHAnsi"/>
          <w:lang w:val="en-GB"/>
        </w:rPr>
        <w:t xml:space="preserve"> they find an overall rate of decrease of 1.8% per year globally, which we take as an upper estimate of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loss rate</w:t>
      </w:r>
      <w:r w:rsidR="00653018" w:rsidRPr="007C6F51">
        <w:rPr>
          <w:rFonts w:asciiTheme="minorHAnsi" w:eastAsia="Cambria" w:hAnsiTheme="minorHAnsi"/>
          <w:lang w:val="en-GB"/>
        </w:rPr>
        <w:t xml:space="preserve"> to 2100</w:t>
      </w:r>
      <w:r w:rsidRPr="007C6F51">
        <w:rPr>
          <w:rFonts w:asciiTheme="minorHAnsi" w:eastAsia="Cambria" w:hAnsiTheme="minorHAnsi"/>
          <w:lang w:val="en-GB"/>
        </w:rPr>
        <w:t>.</w:t>
      </w:r>
    </w:p>
    <w:p w14:paraId="6277D003" w14:textId="3FEE814F"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There is no scenario where we can stop this temperature change, although limiting </w:t>
      </w:r>
      <w:r w:rsidR="00FC4960" w:rsidRPr="007C6F51">
        <w:rPr>
          <w:rFonts w:asciiTheme="minorHAnsi" w:eastAsia="Cambria" w:hAnsiTheme="minorHAnsi"/>
          <w:lang w:val="en-GB"/>
        </w:rPr>
        <w:t>GHG</w:t>
      </w:r>
      <w:r w:rsidRPr="007C6F51">
        <w:rPr>
          <w:rFonts w:asciiTheme="minorHAnsi" w:eastAsia="Cambria" w:hAnsiTheme="minorHAnsi"/>
          <w:lang w:val="en-GB"/>
        </w:rPr>
        <w:t xml:space="preserve"> emissions may prevent a worse case. With habitat creation and artificial substrate for kelp forests in water with the correct temperature regime</w:t>
      </w:r>
      <w:r w:rsidR="009F31C8" w:rsidRPr="007C6F51">
        <w:rPr>
          <w:rFonts w:asciiTheme="minorHAnsi" w:eastAsia="Cambria" w:hAnsiTheme="minorHAnsi"/>
          <w:lang w:val="en-GB"/>
        </w:rPr>
        <w:t>,</w:t>
      </w:r>
      <w:r w:rsidRPr="007C6F51">
        <w:rPr>
          <w:rFonts w:asciiTheme="minorHAnsi" w:eastAsia="Cambria" w:hAnsiTheme="minorHAnsi"/>
          <w:lang w:val="en-GB"/>
        </w:rPr>
        <w:t xml:space="preserve"> it might be possible to create artificial habitats (noting that seaweed aquaculture is extant and growing across the globe</w:t>
      </w:r>
      <w:r w:rsidR="00D059BA" w:rsidRPr="00D059BA">
        <w:rPr>
          <w:rFonts w:asciiTheme="minorHAnsi" w:eastAsia="Cambria" w:hAnsiTheme="minorHAnsi"/>
          <w:lang w:val="en-GB"/>
        </w:rPr>
        <w:t>),</w:t>
      </w:r>
      <w:r w:rsidRPr="007C6F51">
        <w:rPr>
          <w:rFonts w:asciiTheme="minorHAnsi" w:eastAsia="Cambria" w:hAnsiTheme="minorHAnsi"/>
          <w:lang w:val="en-GB"/>
        </w:rPr>
        <w:t xml:space="preserve"> so we envisage a ‘stop loss’ scenario where stock losses are mitigated by artificial aquaculture schemes. This additional kelp production far surpasses the contribution of seaweed aquaculture considered feasible by Duarte et al</w:t>
      </w:r>
      <w:r w:rsidR="00405AB5" w:rsidRPr="007C6F51">
        <w:rPr>
          <w:rFonts w:asciiTheme="minorHAnsi" w:eastAsia="Cambria" w:hAnsiTheme="minorHAnsi"/>
          <w:lang w:val="en-GB"/>
        </w:rPr>
        <w:t>. (</w:t>
      </w:r>
      <w:r w:rsidRPr="007C6F51">
        <w:rPr>
          <w:rFonts w:asciiTheme="minorHAnsi" w:eastAsia="Cambria" w:hAnsiTheme="minorHAnsi"/>
          <w:lang w:val="en-GB"/>
        </w:rPr>
        <w:t>2017</w:t>
      </w:r>
      <w:r w:rsidR="00405AB5" w:rsidRPr="007C6F51">
        <w:rPr>
          <w:rFonts w:asciiTheme="minorHAnsi" w:eastAsia="Cambria" w:hAnsiTheme="minorHAnsi"/>
          <w:lang w:val="en-GB"/>
        </w:rPr>
        <w:t>)</w:t>
      </w:r>
      <w:r w:rsidRPr="007C6F51">
        <w:rPr>
          <w:rFonts w:asciiTheme="minorHAnsi" w:eastAsia="Cambria" w:hAnsiTheme="minorHAnsi"/>
          <w:lang w:val="en-GB"/>
        </w:rPr>
        <w:t xml:space="preserve"> based on current technology and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 xml:space="preserve">trajectory of growth of seaweed aquaculture (6% of </w:t>
      </w:r>
      <w:r w:rsidR="009F31C8" w:rsidRPr="007C6F51">
        <w:rPr>
          <w:rFonts w:asciiTheme="minorHAnsi" w:eastAsia="Cambria" w:hAnsiTheme="minorHAnsi"/>
          <w:lang w:val="en-GB"/>
        </w:rPr>
        <w:t>present-day</w:t>
      </w:r>
      <w:r w:rsidRPr="007C6F51">
        <w:rPr>
          <w:rFonts w:asciiTheme="minorHAnsi" w:eastAsia="Cambria" w:hAnsiTheme="minorHAnsi"/>
          <w:lang w:val="en-GB"/>
        </w:rPr>
        <w:t xml:space="preserve"> wild seaweed carbon storage by 2050 is their prediction) and would require significant investment and technological development, even more so for the ‘restore’ scenario, where the 30% lost since 1980 is restored by 2050.</w:t>
      </w:r>
    </w:p>
    <w:p w14:paraId="094B081C" w14:textId="77777777" w:rsidR="00127D1E" w:rsidRDefault="00127D1E">
      <w:pPr>
        <w:spacing w:before="180" w:after="180"/>
        <w:rPr>
          <w:rFonts w:asciiTheme="minorHAnsi" w:eastAsia="Cambria" w:hAnsiTheme="minorHAnsi"/>
          <w:b/>
          <w:lang w:val="en-GB"/>
        </w:rPr>
        <w:sectPr w:rsidR="00127D1E" w:rsidSect="005863D3">
          <w:pgSz w:w="11906" w:h="16838"/>
          <w:pgMar w:top="1440" w:right="1440" w:bottom="1440" w:left="1440" w:header="0" w:footer="0" w:gutter="0"/>
          <w:pgNumType w:start="1"/>
          <w:cols w:space="720"/>
          <w:formProt w:val="0"/>
          <w:docGrid w:linePitch="100"/>
        </w:sectPr>
      </w:pPr>
    </w:p>
    <w:p w14:paraId="2973E865" w14:textId="0BB785CD"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b/>
          <w:lang w:val="en-GB"/>
        </w:rPr>
        <w:lastRenderedPageBreak/>
        <w:t>Table S1</w:t>
      </w:r>
      <w:r w:rsidR="00405AB5" w:rsidRPr="007C6F51">
        <w:rPr>
          <w:rFonts w:asciiTheme="minorHAnsi" w:eastAsia="Cambria" w:hAnsiTheme="minorHAnsi"/>
          <w:lang w:val="en-GB"/>
        </w:rPr>
        <w:t>. E</w:t>
      </w:r>
      <w:r w:rsidRPr="007C6F51">
        <w:rPr>
          <w:rFonts w:asciiTheme="minorHAnsi" w:eastAsia="Cambria" w:hAnsiTheme="minorHAnsi"/>
          <w:lang w:val="en-GB"/>
        </w:rPr>
        <w:t>xtent, C stocks and storage fluxes for coastal ecosystems globally. Data as synthesised by Duarte et al.</w:t>
      </w:r>
      <w:r w:rsidR="00405AB5" w:rsidRPr="007C6F51">
        <w:rPr>
          <w:rFonts w:asciiTheme="minorHAnsi" w:eastAsia="Cambria" w:hAnsiTheme="minorHAnsi"/>
          <w:lang w:val="en-GB"/>
        </w:rPr>
        <w:t xml:space="preserve"> (</w:t>
      </w:r>
      <w:r w:rsidRPr="007C6F51">
        <w:rPr>
          <w:rFonts w:asciiTheme="minorHAnsi" w:eastAsia="Cambria" w:hAnsiTheme="minorHAnsi"/>
          <w:lang w:val="en-GB"/>
        </w:rPr>
        <w:t>2013</w:t>
      </w:r>
      <w:r w:rsidR="00405AB5" w:rsidRPr="007C6F51">
        <w:rPr>
          <w:rFonts w:asciiTheme="minorHAnsi" w:eastAsia="Cambria" w:hAnsiTheme="minorHAnsi"/>
          <w:lang w:val="en-GB"/>
        </w:rPr>
        <w:t>)</w:t>
      </w:r>
      <w:r w:rsidRPr="007C6F51">
        <w:rPr>
          <w:rFonts w:asciiTheme="minorHAnsi" w:eastAsia="Cambria" w:hAnsiTheme="minorHAnsi"/>
          <w:lang w:val="en-GB"/>
        </w:rPr>
        <w:t xml:space="preserve"> except where citation given or recalculation demonstrated. </w:t>
      </w:r>
      <w:r w:rsidR="00ED6E23">
        <w:rPr>
          <w:rFonts w:asciiTheme="minorHAnsi" w:eastAsia="Cambria" w:hAnsiTheme="minorHAnsi"/>
          <w:lang w:val="en-GB"/>
        </w:rPr>
        <w:t>All data p</w:t>
      </w:r>
      <w:r w:rsidR="00ED6E23" w:rsidRPr="007C6F51">
        <w:rPr>
          <w:rFonts w:asciiTheme="minorHAnsi" w:eastAsia="Cambria" w:hAnsiTheme="minorHAnsi"/>
          <w:lang w:val="en-GB"/>
        </w:rPr>
        <w:t xml:space="preserve">resented </w:t>
      </w:r>
      <w:r w:rsidRPr="007C6F51">
        <w:rPr>
          <w:rFonts w:asciiTheme="minorHAnsi" w:eastAsia="Cambria" w:hAnsiTheme="minorHAnsi"/>
          <w:lang w:val="en-GB"/>
        </w:rPr>
        <w:t>here i</w:t>
      </w:r>
      <w:r w:rsidR="00ED6E23">
        <w:rPr>
          <w:rFonts w:asciiTheme="minorHAnsi" w:eastAsia="Cambria" w:hAnsiTheme="minorHAnsi"/>
          <w:lang w:val="en-GB"/>
        </w:rPr>
        <w:t>s converted to</w:t>
      </w:r>
      <w:r w:rsidRPr="007C6F51">
        <w:rPr>
          <w:rFonts w:asciiTheme="minorHAnsi" w:eastAsia="Cambria" w:hAnsiTheme="minorHAnsi"/>
          <w:lang w:val="en-GB"/>
        </w:rPr>
        <w:t xml:space="preserve"> units </w:t>
      </w:r>
      <w:r w:rsidR="00ED6E23">
        <w:rPr>
          <w:rFonts w:asciiTheme="minorHAnsi" w:eastAsia="Cambria" w:hAnsiTheme="minorHAnsi"/>
          <w:lang w:val="en-GB"/>
        </w:rPr>
        <w:t>used</w:t>
      </w:r>
      <w:r w:rsidRPr="007C6F51">
        <w:rPr>
          <w:rFonts w:asciiTheme="minorHAnsi" w:eastAsia="Cambria" w:hAnsiTheme="minorHAnsi"/>
          <w:lang w:val="en-GB"/>
        </w:rPr>
        <w:t xml:space="preserve"> by Duarte et a</w:t>
      </w:r>
      <w:r w:rsidR="00405AB5" w:rsidRPr="007C6F51">
        <w:rPr>
          <w:rFonts w:asciiTheme="minorHAnsi" w:eastAsia="Cambria" w:hAnsiTheme="minorHAnsi"/>
          <w:lang w:val="en-GB"/>
        </w:rPr>
        <w:t>l. (</w:t>
      </w:r>
      <w:r w:rsidRPr="007C6F51">
        <w:rPr>
          <w:rFonts w:asciiTheme="minorHAnsi" w:eastAsia="Cambria" w:hAnsiTheme="minorHAnsi"/>
          <w:lang w:val="en-GB"/>
        </w:rPr>
        <w:t>2013</w:t>
      </w:r>
      <w:r w:rsidR="00405AB5" w:rsidRPr="007C6F51">
        <w:rPr>
          <w:rFonts w:asciiTheme="minorHAnsi" w:eastAsia="Cambria" w:hAnsiTheme="minorHAnsi"/>
          <w:lang w:val="en-GB"/>
        </w:rPr>
        <w:t>)</w:t>
      </w:r>
      <w:r w:rsidRPr="007C6F51">
        <w:rPr>
          <w:rFonts w:asciiTheme="minorHAnsi" w:eastAsia="Cambria" w:hAnsiTheme="minorHAnsi"/>
          <w:lang w:val="en-GB"/>
        </w:rPr>
        <w:t>.</w:t>
      </w:r>
    </w:p>
    <w:tbl>
      <w:tblPr>
        <w:tblW w:w="13740" w:type="dxa"/>
        <w:tblInd w:w="110" w:type="dxa"/>
        <w:tblLayout w:type="fixed"/>
        <w:tblCellMar>
          <w:top w:w="100" w:type="dxa"/>
          <w:left w:w="100" w:type="dxa"/>
          <w:bottom w:w="100" w:type="dxa"/>
          <w:right w:w="100" w:type="dxa"/>
        </w:tblCellMar>
        <w:tblLook w:val="0600" w:firstRow="0" w:lastRow="0" w:firstColumn="0" w:lastColumn="0" w:noHBand="1" w:noVBand="1"/>
      </w:tblPr>
      <w:tblGrid>
        <w:gridCol w:w="1246"/>
        <w:gridCol w:w="1296"/>
        <w:gridCol w:w="1417"/>
        <w:gridCol w:w="1701"/>
        <w:gridCol w:w="2410"/>
        <w:gridCol w:w="2552"/>
        <w:gridCol w:w="1275"/>
        <w:gridCol w:w="1843"/>
      </w:tblGrid>
      <w:tr w:rsidR="00127D1E" w:rsidRPr="00127D1E" w14:paraId="1B82BBA3" w14:textId="77777777" w:rsidTr="007C6F51">
        <w:trPr>
          <w:trHeight w:val="982"/>
        </w:trPr>
        <w:tc>
          <w:tcPr>
            <w:tcW w:w="1246" w:type="dxa"/>
            <w:tcBorders>
              <w:top w:val="single" w:sz="8" w:space="0" w:color="000000"/>
              <w:left w:val="single" w:sz="8" w:space="0" w:color="000000"/>
              <w:bottom w:val="single" w:sz="8" w:space="0" w:color="000000"/>
              <w:right w:val="single" w:sz="8" w:space="0" w:color="000000"/>
            </w:tcBorders>
          </w:tcPr>
          <w:p w14:paraId="5EA73458" w14:textId="77777777" w:rsidR="007A2027" w:rsidRPr="007C6F51"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Ecosystem</w:t>
            </w:r>
          </w:p>
        </w:tc>
        <w:tc>
          <w:tcPr>
            <w:tcW w:w="1296" w:type="dxa"/>
            <w:tcBorders>
              <w:top w:val="single" w:sz="8" w:space="0" w:color="000000"/>
              <w:bottom w:val="single" w:sz="8" w:space="0" w:color="000000"/>
              <w:right w:val="single" w:sz="8" w:space="0" w:color="000000"/>
            </w:tcBorders>
          </w:tcPr>
          <w:p w14:paraId="62D06B45" w14:textId="2015D0D1" w:rsidR="007A2027" w:rsidRPr="007C6F51"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xml:space="preserve">Global </w:t>
            </w:r>
            <w:r w:rsidR="00405AB5" w:rsidRPr="007C6F51">
              <w:rPr>
                <w:rFonts w:asciiTheme="minorHAnsi" w:eastAsia="Calibri" w:hAnsiTheme="minorHAnsi"/>
                <w:b/>
                <w:sz w:val="20"/>
                <w:szCs w:val="20"/>
                <w:lang w:val="en-GB"/>
              </w:rPr>
              <w:t>a</w:t>
            </w:r>
            <w:r w:rsidRPr="007C6F51">
              <w:rPr>
                <w:rFonts w:asciiTheme="minorHAnsi" w:eastAsia="Calibri" w:hAnsiTheme="minorHAnsi"/>
                <w:b/>
                <w:sz w:val="20"/>
                <w:szCs w:val="20"/>
                <w:lang w:val="en-GB"/>
              </w:rPr>
              <w:t>rea</w:t>
            </w:r>
            <w:r w:rsidR="00405AB5" w:rsidRPr="007C6F51">
              <w:rPr>
                <w:rFonts w:asciiTheme="minorHAnsi" w:eastAsia="Calibri" w:hAnsiTheme="minorHAnsi"/>
                <w:b/>
                <w:sz w:val="20"/>
                <w:szCs w:val="20"/>
                <w:lang w:val="en-GB"/>
              </w:rPr>
              <w:t xml:space="preserve"> (</w:t>
            </w:r>
            <w:r w:rsidRPr="007C6F51">
              <w:rPr>
                <w:rFonts w:asciiTheme="minorHAnsi" w:eastAsia="Calibri" w:hAnsiTheme="minorHAnsi"/>
                <w:b/>
                <w:sz w:val="20"/>
                <w:szCs w:val="20"/>
                <w:lang w:val="en-GB"/>
              </w:rPr>
              <w:t>km</w:t>
            </w:r>
            <w:r w:rsidRPr="007C6F51">
              <w:rPr>
                <w:rFonts w:asciiTheme="minorHAnsi" w:eastAsia="Calibri" w:hAnsiTheme="minorHAnsi"/>
                <w:b/>
                <w:sz w:val="20"/>
                <w:szCs w:val="20"/>
                <w:vertAlign w:val="superscript"/>
                <w:lang w:val="en-GB"/>
              </w:rPr>
              <w:t>2</w:t>
            </w:r>
            <w:r w:rsidR="00405AB5" w:rsidRPr="007C6F51">
              <w:rPr>
                <w:rFonts w:asciiTheme="minorHAnsi" w:eastAsia="Calibri" w:hAnsiTheme="minorHAnsi"/>
                <w:b/>
                <w:sz w:val="20"/>
                <w:szCs w:val="20"/>
                <w:lang w:val="en-GB"/>
              </w:rPr>
              <w:t>)</w:t>
            </w:r>
          </w:p>
        </w:tc>
        <w:tc>
          <w:tcPr>
            <w:tcW w:w="1417" w:type="dxa"/>
            <w:tcBorders>
              <w:top w:val="single" w:sz="8" w:space="0" w:color="000000"/>
              <w:bottom w:val="single" w:sz="8" w:space="0" w:color="000000"/>
              <w:right w:val="single" w:sz="8" w:space="0" w:color="000000"/>
            </w:tcBorders>
          </w:tcPr>
          <w:p w14:paraId="379F71B1" w14:textId="77777777" w:rsidR="001F2EA3"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xml:space="preserve">Per unit area C storage rate </w:t>
            </w:r>
          </w:p>
          <w:p w14:paraId="70B02675" w14:textId="21C25765" w:rsidR="007A2027" w:rsidRPr="007C6F51" w:rsidRDefault="00405AB5">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w:t>
            </w:r>
            <w:r w:rsidR="00973424" w:rsidRPr="007C6F51">
              <w:rPr>
                <w:rFonts w:asciiTheme="minorHAnsi" w:eastAsia="Calibri" w:hAnsiTheme="minorHAnsi"/>
                <w:b/>
                <w:sz w:val="20"/>
                <w:szCs w:val="20"/>
                <w:lang w:val="en-GB"/>
              </w:rPr>
              <w:t>g C m</w:t>
            </w:r>
            <w:r w:rsidR="00973424" w:rsidRPr="007C6F51">
              <w:rPr>
                <w:rFonts w:asciiTheme="minorHAnsi" w:eastAsia="Calibri" w:hAnsiTheme="minorHAnsi"/>
                <w:b/>
                <w:sz w:val="20"/>
                <w:szCs w:val="20"/>
                <w:vertAlign w:val="superscript"/>
                <w:lang w:val="en-GB"/>
              </w:rPr>
              <w:t>-2</w:t>
            </w:r>
            <w:r w:rsidR="00973424" w:rsidRPr="007C6F51">
              <w:rPr>
                <w:rFonts w:asciiTheme="minorHAnsi" w:eastAsia="Calibri" w:hAnsiTheme="minorHAnsi"/>
                <w:b/>
                <w:sz w:val="20"/>
                <w:szCs w:val="20"/>
                <w:lang w:val="en-GB"/>
              </w:rPr>
              <w:t xml:space="preserve"> yr</w:t>
            </w:r>
            <w:r w:rsidR="00973424" w:rsidRPr="007C6F51">
              <w:rPr>
                <w:rFonts w:asciiTheme="minorHAnsi" w:eastAsia="Calibri" w:hAnsiTheme="minorHAnsi"/>
                <w:b/>
                <w:sz w:val="20"/>
                <w:szCs w:val="20"/>
                <w:vertAlign w:val="superscript"/>
                <w:lang w:val="en-GB"/>
              </w:rPr>
              <w:t>-1</w:t>
            </w:r>
            <w:r w:rsidRPr="007C6F51">
              <w:rPr>
                <w:rFonts w:asciiTheme="minorHAnsi" w:eastAsia="Calibri" w:hAnsiTheme="minorHAnsi"/>
                <w:b/>
                <w:sz w:val="20"/>
                <w:szCs w:val="20"/>
                <w:lang w:val="en-GB"/>
              </w:rPr>
              <w:t>)</w:t>
            </w:r>
          </w:p>
        </w:tc>
        <w:tc>
          <w:tcPr>
            <w:tcW w:w="1701" w:type="dxa"/>
            <w:tcBorders>
              <w:top w:val="single" w:sz="8" w:space="0" w:color="000000"/>
              <w:bottom w:val="single" w:sz="8" w:space="0" w:color="000000"/>
              <w:right w:val="single" w:sz="8" w:space="0" w:color="000000"/>
            </w:tcBorders>
          </w:tcPr>
          <w:p w14:paraId="5098B67A" w14:textId="77777777" w:rsidR="001F2EA3"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xml:space="preserve">Per unit area stock </w:t>
            </w:r>
          </w:p>
          <w:p w14:paraId="30C04207" w14:textId="72D781BA" w:rsidR="007A2027" w:rsidRPr="007C6F51" w:rsidRDefault="00405AB5">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w:t>
            </w:r>
            <w:r w:rsidR="00973424" w:rsidRPr="007C6F51">
              <w:rPr>
                <w:rFonts w:asciiTheme="minorHAnsi" w:eastAsia="Calibri" w:hAnsiTheme="minorHAnsi"/>
                <w:b/>
                <w:sz w:val="20"/>
                <w:szCs w:val="20"/>
                <w:lang w:val="en-GB"/>
              </w:rPr>
              <w:t>Mg C ha</w:t>
            </w:r>
            <w:r w:rsidR="00973424" w:rsidRPr="007C6F51">
              <w:rPr>
                <w:rFonts w:asciiTheme="minorHAnsi" w:eastAsia="Calibri" w:hAnsiTheme="minorHAnsi"/>
                <w:b/>
                <w:sz w:val="20"/>
                <w:szCs w:val="20"/>
                <w:vertAlign w:val="superscript"/>
                <w:lang w:val="en-GB"/>
              </w:rPr>
              <w:t>-1</w:t>
            </w:r>
            <w:r w:rsidRPr="007C6F51">
              <w:rPr>
                <w:rFonts w:asciiTheme="minorHAnsi" w:eastAsia="Calibri" w:hAnsiTheme="minorHAnsi"/>
                <w:b/>
                <w:sz w:val="20"/>
                <w:szCs w:val="20"/>
                <w:lang w:val="en-GB"/>
              </w:rPr>
              <w:t>)</w:t>
            </w:r>
          </w:p>
        </w:tc>
        <w:tc>
          <w:tcPr>
            <w:tcW w:w="2410" w:type="dxa"/>
            <w:tcBorders>
              <w:top w:val="single" w:sz="8" w:space="0" w:color="000000"/>
              <w:bottom w:val="single" w:sz="8" w:space="0" w:color="000000"/>
              <w:right w:val="single" w:sz="8" w:space="0" w:color="000000"/>
            </w:tcBorders>
          </w:tcPr>
          <w:p w14:paraId="5AB1D331" w14:textId="336A10CD" w:rsidR="007A2027" w:rsidRPr="007C6F51"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xml:space="preserve">Global C storage rate </w:t>
            </w:r>
            <w:r w:rsidR="00405AB5" w:rsidRPr="007C6F51">
              <w:rPr>
                <w:rFonts w:asciiTheme="minorHAnsi" w:eastAsia="Calibri" w:hAnsiTheme="minorHAnsi"/>
                <w:b/>
                <w:sz w:val="20"/>
                <w:szCs w:val="20"/>
                <w:lang w:val="en-GB"/>
              </w:rPr>
              <w:t>(</w:t>
            </w:r>
            <w:proofErr w:type="spellStart"/>
            <w:r w:rsidRPr="007C6F51">
              <w:rPr>
                <w:rFonts w:asciiTheme="minorHAnsi" w:eastAsia="Calibri" w:hAnsiTheme="minorHAnsi"/>
                <w:b/>
                <w:sz w:val="20"/>
                <w:szCs w:val="20"/>
                <w:lang w:val="en-GB"/>
              </w:rPr>
              <w:t>Tg</w:t>
            </w:r>
            <w:proofErr w:type="spellEnd"/>
            <w:r w:rsidRPr="007C6F51">
              <w:rPr>
                <w:rFonts w:asciiTheme="minorHAnsi" w:eastAsia="Calibri" w:hAnsiTheme="minorHAnsi"/>
                <w:b/>
                <w:sz w:val="20"/>
                <w:szCs w:val="20"/>
                <w:lang w:val="en-GB"/>
              </w:rPr>
              <w:t xml:space="preserve"> C yr</w:t>
            </w:r>
            <w:r w:rsidRPr="007C6F51">
              <w:rPr>
                <w:rFonts w:asciiTheme="minorHAnsi" w:eastAsia="Calibri" w:hAnsiTheme="minorHAnsi"/>
                <w:b/>
                <w:sz w:val="20"/>
                <w:szCs w:val="20"/>
                <w:vertAlign w:val="superscript"/>
                <w:lang w:val="en-GB"/>
              </w:rPr>
              <w:t>-1</w:t>
            </w:r>
            <w:r w:rsidR="00405AB5" w:rsidRPr="007C6F51">
              <w:rPr>
                <w:rFonts w:asciiTheme="minorHAnsi" w:eastAsia="Calibri" w:hAnsiTheme="minorHAnsi"/>
                <w:b/>
                <w:sz w:val="20"/>
                <w:szCs w:val="20"/>
                <w:lang w:val="en-GB"/>
              </w:rPr>
              <w:t>)</w:t>
            </w:r>
          </w:p>
        </w:tc>
        <w:tc>
          <w:tcPr>
            <w:tcW w:w="2552" w:type="dxa"/>
            <w:tcBorders>
              <w:top w:val="single" w:sz="8" w:space="0" w:color="000000"/>
              <w:bottom w:val="single" w:sz="8" w:space="0" w:color="000000"/>
              <w:right w:val="single" w:sz="8" w:space="0" w:color="000000"/>
            </w:tcBorders>
          </w:tcPr>
          <w:p w14:paraId="0117FB2A" w14:textId="77777777" w:rsidR="001F2EA3"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xml:space="preserve">Global C Stock </w:t>
            </w:r>
          </w:p>
          <w:p w14:paraId="72FFF808" w14:textId="7945AD58" w:rsidR="007A2027" w:rsidRPr="007C6F51" w:rsidRDefault="00405AB5">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w:t>
            </w:r>
            <w:r w:rsidR="00973424" w:rsidRPr="007C6F51">
              <w:rPr>
                <w:rFonts w:asciiTheme="minorHAnsi" w:eastAsia="Calibri" w:hAnsiTheme="minorHAnsi"/>
                <w:b/>
                <w:sz w:val="20"/>
                <w:szCs w:val="20"/>
                <w:lang w:val="en-GB"/>
              </w:rPr>
              <w:t>Pg C</w:t>
            </w:r>
            <w:r w:rsidRPr="007C6F51">
              <w:rPr>
                <w:rFonts w:asciiTheme="minorHAnsi" w:eastAsia="Calibri" w:hAnsiTheme="minorHAnsi"/>
                <w:b/>
                <w:sz w:val="20"/>
                <w:szCs w:val="20"/>
                <w:lang w:val="en-GB"/>
              </w:rPr>
              <w:t>)</w:t>
            </w:r>
          </w:p>
        </w:tc>
        <w:tc>
          <w:tcPr>
            <w:tcW w:w="1275" w:type="dxa"/>
            <w:tcBorders>
              <w:top w:val="single" w:sz="8" w:space="0" w:color="000000"/>
              <w:bottom w:val="single" w:sz="8" w:space="0" w:color="000000"/>
              <w:right w:val="single" w:sz="8" w:space="0" w:color="000000"/>
            </w:tcBorders>
          </w:tcPr>
          <w:p w14:paraId="61CCA6C1" w14:textId="77777777" w:rsidR="001F2EA3" w:rsidRDefault="00973424">
            <w:pPr>
              <w:widowControl w:val="0"/>
              <w:rPr>
                <w:rFonts w:asciiTheme="minorHAnsi" w:eastAsia="Calibri" w:hAnsiTheme="minorHAnsi"/>
                <w:b/>
                <w:sz w:val="20"/>
                <w:szCs w:val="20"/>
                <w:lang w:val="en-GB"/>
              </w:rPr>
            </w:pPr>
            <w:proofErr w:type="spellStart"/>
            <w:r w:rsidRPr="007C6F51">
              <w:rPr>
                <w:rFonts w:asciiTheme="minorHAnsi" w:eastAsia="Calibri" w:hAnsiTheme="minorHAnsi"/>
                <w:b/>
                <w:sz w:val="20"/>
                <w:szCs w:val="20"/>
                <w:lang w:val="en-GB"/>
              </w:rPr>
              <w:t>Gobal</w:t>
            </w:r>
            <w:proofErr w:type="spellEnd"/>
            <w:r w:rsidRPr="007C6F51">
              <w:rPr>
                <w:rFonts w:asciiTheme="minorHAnsi" w:eastAsia="Calibri" w:hAnsiTheme="minorHAnsi"/>
                <w:b/>
                <w:sz w:val="20"/>
                <w:szCs w:val="20"/>
                <w:lang w:val="en-GB"/>
              </w:rPr>
              <w:t xml:space="preserve"> loss rate </w:t>
            </w:r>
          </w:p>
          <w:p w14:paraId="60DB4710" w14:textId="47A00AD7" w:rsidR="007A2027" w:rsidRPr="007C6F51" w:rsidRDefault="00973424">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 yr</w:t>
            </w:r>
            <w:r w:rsidRPr="007C6F51">
              <w:rPr>
                <w:rFonts w:asciiTheme="minorHAnsi" w:eastAsia="Calibri" w:hAnsiTheme="minorHAnsi"/>
                <w:b/>
                <w:sz w:val="20"/>
                <w:szCs w:val="20"/>
                <w:vertAlign w:val="superscript"/>
                <w:lang w:val="en-GB"/>
              </w:rPr>
              <w:t>-1</w:t>
            </w:r>
            <w:r w:rsidRPr="007C6F51">
              <w:rPr>
                <w:rFonts w:asciiTheme="minorHAnsi" w:eastAsia="Calibri" w:hAnsiTheme="minorHAnsi"/>
                <w:b/>
                <w:sz w:val="20"/>
                <w:szCs w:val="20"/>
                <w:lang w:val="en-GB"/>
              </w:rPr>
              <w:t>)</w:t>
            </w:r>
          </w:p>
        </w:tc>
        <w:tc>
          <w:tcPr>
            <w:tcW w:w="1843" w:type="dxa"/>
            <w:tcBorders>
              <w:top w:val="single" w:sz="8" w:space="0" w:color="000000"/>
              <w:bottom w:val="single" w:sz="8" w:space="0" w:color="000000"/>
              <w:right w:val="single" w:sz="8" w:space="0" w:color="000000"/>
            </w:tcBorders>
          </w:tcPr>
          <w:p w14:paraId="574209E7" w14:textId="578518F3" w:rsidR="007A2027" w:rsidRPr="007C6F51" w:rsidRDefault="00405AB5">
            <w:pPr>
              <w:widowControl w:val="0"/>
              <w:rPr>
                <w:rFonts w:asciiTheme="minorHAnsi" w:eastAsia="Calibri" w:hAnsiTheme="minorHAnsi"/>
                <w:b/>
                <w:sz w:val="20"/>
                <w:szCs w:val="20"/>
                <w:lang w:val="en-GB"/>
              </w:rPr>
            </w:pPr>
            <w:r w:rsidRPr="007C6F51">
              <w:rPr>
                <w:rFonts w:asciiTheme="minorHAnsi" w:eastAsia="Calibri" w:hAnsiTheme="minorHAnsi"/>
                <w:b/>
                <w:sz w:val="20"/>
                <w:szCs w:val="20"/>
                <w:lang w:val="en-GB"/>
              </w:rPr>
              <w:t>L</w:t>
            </w:r>
            <w:r w:rsidR="00973424" w:rsidRPr="007C6F51">
              <w:rPr>
                <w:rFonts w:asciiTheme="minorHAnsi" w:eastAsia="Calibri" w:hAnsiTheme="minorHAnsi"/>
                <w:b/>
                <w:sz w:val="20"/>
                <w:szCs w:val="20"/>
                <w:lang w:val="en-GB"/>
              </w:rPr>
              <w:t>oss since WWII</w:t>
            </w:r>
            <w:r w:rsidRPr="007C6F51">
              <w:rPr>
                <w:rFonts w:asciiTheme="minorHAnsi" w:eastAsia="Calibri" w:hAnsiTheme="minorHAnsi"/>
                <w:b/>
                <w:sz w:val="20"/>
                <w:szCs w:val="20"/>
                <w:lang w:val="en-GB"/>
              </w:rPr>
              <w:t xml:space="preserve"> (%)</w:t>
            </w:r>
          </w:p>
        </w:tc>
      </w:tr>
      <w:tr w:rsidR="00127D1E" w:rsidRPr="00127D1E" w14:paraId="2B64B5B8" w14:textId="77777777" w:rsidTr="007C6F51">
        <w:trPr>
          <w:trHeight w:val="1217"/>
        </w:trPr>
        <w:tc>
          <w:tcPr>
            <w:tcW w:w="1246" w:type="dxa"/>
            <w:tcBorders>
              <w:left w:val="single" w:sz="8" w:space="0" w:color="000000"/>
              <w:bottom w:val="single" w:sz="8" w:space="0" w:color="000000"/>
              <w:right w:val="single" w:sz="8" w:space="0" w:color="000000"/>
            </w:tcBorders>
          </w:tcPr>
          <w:p w14:paraId="3E6A3E17" w14:textId="77777777" w:rsidR="00127D1E"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Salt </w:t>
            </w:r>
          </w:p>
          <w:p w14:paraId="01651218" w14:textId="286B7B69" w:rsidR="007A2027" w:rsidRPr="007C6F51" w:rsidRDefault="000A5E6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m</w:t>
            </w:r>
            <w:r w:rsidR="00973424" w:rsidRPr="007C6F51">
              <w:rPr>
                <w:rFonts w:asciiTheme="minorHAnsi" w:eastAsia="Calibri" w:hAnsiTheme="minorHAnsi"/>
                <w:sz w:val="20"/>
                <w:szCs w:val="20"/>
                <w:lang w:val="en-GB"/>
              </w:rPr>
              <w:t>arshes</w:t>
            </w:r>
          </w:p>
        </w:tc>
        <w:tc>
          <w:tcPr>
            <w:tcW w:w="1296" w:type="dxa"/>
            <w:tcBorders>
              <w:bottom w:val="single" w:sz="8" w:space="0" w:color="000000"/>
              <w:right w:val="single" w:sz="8" w:space="0" w:color="000000"/>
            </w:tcBorders>
          </w:tcPr>
          <w:p w14:paraId="1D73C6D6" w14:textId="55F938A8"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50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 – 200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 xml:space="preserve">000 (after </w:t>
            </w:r>
            <w:proofErr w:type="spellStart"/>
            <w:r w:rsidRPr="007C6F51">
              <w:rPr>
                <w:rFonts w:asciiTheme="minorHAnsi" w:eastAsia="Calibri" w:hAnsiTheme="minorHAnsi"/>
                <w:sz w:val="20"/>
                <w:szCs w:val="20"/>
                <w:lang w:val="en-GB"/>
              </w:rPr>
              <w:t>McOwen</w:t>
            </w:r>
            <w:proofErr w:type="spellEnd"/>
            <w:r w:rsidRPr="007C6F51">
              <w:rPr>
                <w:rFonts w:asciiTheme="minorHAnsi" w:eastAsia="Calibri" w:hAnsiTheme="minorHAnsi"/>
                <w:sz w:val="20"/>
                <w:szCs w:val="20"/>
                <w:lang w:val="en-GB"/>
              </w:rPr>
              <w:t xml:space="preserve"> et al</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 xml:space="preserve"> 2017)</w:t>
            </w:r>
          </w:p>
        </w:tc>
        <w:tc>
          <w:tcPr>
            <w:tcW w:w="1417" w:type="dxa"/>
            <w:tcBorders>
              <w:bottom w:val="single" w:sz="8" w:space="0" w:color="000000"/>
              <w:right w:val="single" w:sz="8" w:space="0" w:color="000000"/>
            </w:tcBorders>
          </w:tcPr>
          <w:p w14:paraId="7D9FC858"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218 +/-24</w:t>
            </w:r>
          </w:p>
        </w:tc>
        <w:tc>
          <w:tcPr>
            <w:tcW w:w="1701" w:type="dxa"/>
            <w:tcBorders>
              <w:bottom w:val="single" w:sz="8" w:space="0" w:color="000000"/>
              <w:right w:val="single" w:sz="8" w:space="0" w:color="000000"/>
            </w:tcBorders>
          </w:tcPr>
          <w:p w14:paraId="75D5E40B"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162</w:t>
            </w:r>
          </w:p>
        </w:tc>
        <w:tc>
          <w:tcPr>
            <w:tcW w:w="2410" w:type="dxa"/>
            <w:tcBorders>
              <w:bottom w:val="single" w:sz="8" w:space="0" w:color="000000"/>
              <w:right w:val="single" w:sz="8" w:space="0" w:color="000000"/>
            </w:tcBorders>
          </w:tcPr>
          <w:p w14:paraId="299A7D32" w14:textId="4A0D4D7D"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9.7–48 (calculated from </w:t>
            </w:r>
            <w:proofErr w:type="spellStart"/>
            <w:r w:rsidRPr="007C6F51">
              <w:rPr>
                <w:rFonts w:asciiTheme="minorHAnsi" w:eastAsia="Calibri" w:hAnsiTheme="minorHAnsi"/>
                <w:sz w:val="20"/>
                <w:szCs w:val="20"/>
                <w:lang w:val="en-GB"/>
              </w:rPr>
              <w:t>McOwen</w:t>
            </w:r>
            <w:proofErr w:type="spellEnd"/>
            <w:r w:rsidRPr="007C6F51">
              <w:rPr>
                <w:rFonts w:asciiTheme="minorHAnsi" w:eastAsia="Calibri" w:hAnsiTheme="minorHAnsi"/>
                <w:sz w:val="20"/>
                <w:szCs w:val="20"/>
                <w:lang w:val="en-GB"/>
              </w:rPr>
              <w:t xml:space="preserve"> extent and Duarte storage)</w:t>
            </w:r>
          </w:p>
        </w:tc>
        <w:tc>
          <w:tcPr>
            <w:tcW w:w="2552" w:type="dxa"/>
            <w:tcBorders>
              <w:bottom w:val="single" w:sz="8" w:space="0" w:color="000000"/>
              <w:right w:val="single" w:sz="8" w:space="0" w:color="000000"/>
            </w:tcBorders>
          </w:tcPr>
          <w:p w14:paraId="72669169" w14:textId="593B9F13"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0.81–3.24 (calculated from </w:t>
            </w:r>
            <w:proofErr w:type="spellStart"/>
            <w:r w:rsidRPr="007C6F51">
              <w:rPr>
                <w:rFonts w:asciiTheme="minorHAnsi" w:eastAsia="Calibri" w:hAnsiTheme="minorHAnsi"/>
                <w:sz w:val="20"/>
                <w:szCs w:val="20"/>
                <w:lang w:val="en-GB"/>
              </w:rPr>
              <w:t>McOwen</w:t>
            </w:r>
            <w:proofErr w:type="spellEnd"/>
            <w:r w:rsidRPr="007C6F51">
              <w:rPr>
                <w:rFonts w:asciiTheme="minorHAnsi" w:eastAsia="Calibri" w:hAnsiTheme="minorHAnsi"/>
                <w:sz w:val="20"/>
                <w:szCs w:val="20"/>
                <w:lang w:val="en-GB"/>
              </w:rPr>
              <w:t xml:space="preserve"> extent and Duarte storage)</w:t>
            </w:r>
          </w:p>
        </w:tc>
        <w:tc>
          <w:tcPr>
            <w:tcW w:w="1275" w:type="dxa"/>
            <w:tcBorders>
              <w:bottom w:val="single" w:sz="8" w:space="0" w:color="000000"/>
              <w:right w:val="single" w:sz="8" w:space="0" w:color="000000"/>
            </w:tcBorders>
          </w:tcPr>
          <w:p w14:paraId="63E56898" w14:textId="2032081A"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2</w:t>
            </w:r>
          </w:p>
        </w:tc>
        <w:tc>
          <w:tcPr>
            <w:tcW w:w="1843" w:type="dxa"/>
            <w:tcBorders>
              <w:bottom w:val="single" w:sz="8" w:space="0" w:color="000000"/>
              <w:right w:val="single" w:sz="8" w:space="0" w:color="000000"/>
            </w:tcBorders>
          </w:tcPr>
          <w:p w14:paraId="72EA8E5F" w14:textId="72FAE5A6"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25</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50 (</w:t>
            </w:r>
            <w:proofErr w:type="spellStart"/>
            <w:r w:rsidRPr="007C6F51">
              <w:rPr>
                <w:rFonts w:asciiTheme="minorHAnsi" w:eastAsia="Calibri" w:hAnsiTheme="minorHAnsi"/>
                <w:sz w:val="20"/>
                <w:szCs w:val="20"/>
                <w:lang w:val="en-GB"/>
              </w:rPr>
              <w:t>McOwen</w:t>
            </w:r>
            <w:proofErr w:type="spellEnd"/>
            <w:r w:rsidRPr="007C6F51">
              <w:rPr>
                <w:rFonts w:asciiTheme="minorHAnsi" w:eastAsia="Calibri" w:hAnsiTheme="minorHAnsi"/>
                <w:sz w:val="20"/>
                <w:szCs w:val="20"/>
                <w:lang w:val="en-GB"/>
              </w:rPr>
              <w:t xml:space="preserve"> et al., 2017)</w:t>
            </w:r>
          </w:p>
        </w:tc>
      </w:tr>
      <w:tr w:rsidR="00127D1E" w:rsidRPr="00127D1E" w14:paraId="4F790C58" w14:textId="77777777" w:rsidTr="00127D1E">
        <w:trPr>
          <w:trHeight w:val="1223"/>
        </w:trPr>
        <w:tc>
          <w:tcPr>
            <w:tcW w:w="1246" w:type="dxa"/>
            <w:tcBorders>
              <w:left w:val="single" w:sz="8" w:space="0" w:color="000000"/>
              <w:bottom w:val="single" w:sz="8" w:space="0" w:color="000000"/>
              <w:right w:val="single" w:sz="8" w:space="0" w:color="000000"/>
            </w:tcBorders>
          </w:tcPr>
          <w:p w14:paraId="519C1A33"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Mangroves</w:t>
            </w:r>
          </w:p>
        </w:tc>
        <w:tc>
          <w:tcPr>
            <w:tcW w:w="1296" w:type="dxa"/>
            <w:tcBorders>
              <w:bottom w:val="single" w:sz="8" w:space="0" w:color="000000"/>
              <w:right w:val="single" w:sz="8" w:space="0" w:color="000000"/>
            </w:tcBorders>
          </w:tcPr>
          <w:p w14:paraId="6CA605DE" w14:textId="2E7615B9"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138</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000–152</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w:t>
            </w:r>
          </w:p>
        </w:tc>
        <w:tc>
          <w:tcPr>
            <w:tcW w:w="1417" w:type="dxa"/>
            <w:tcBorders>
              <w:bottom w:val="single" w:sz="8" w:space="0" w:color="000000"/>
              <w:right w:val="single" w:sz="8" w:space="0" w:color="000000"/>
            </w:tcBorders>
          </w:tcPr>
          <w:p w14:paraId="383C12B4"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163</w:t>
            </w:r>
          </w:p>
        </w:tc>
        <w:tc>
          <w:tcPr>
            <w:tcW w:w="1701" w:type="dxa"/>
            <w:tcBorders>
              <w:bottom w:val="single" w:sz="8" w:space="0" w:color="000000"/>
              <w:right w:val="single" w:sz="8" w:space="0" w:color="000000"/>
            </w:tcBorders>
          </w:tcPr>
          <w:p w14:paraId="73A6635F"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255</w:t>
            </w:r>
          </w:p>
        </w:tc>
        <w:tc>
          <w:tcPr>
            <w:tcW w:w="2410" w:type="dxa"/>
            <w:tcBorders>
              <w:bottom w:val="single" w:sz="8" w:space="0" w:color="000000"/>
              <w:right w:val="single" w:sz="8" w:space="0" w:color="000000"/>
            </w:tcBorders>
          </w:tcPr>
          <w:p w14:paraId="513F2780" w14:textId="3F1A05FF"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23–25</w:t>
            </w:r>
          </w:p>
        </w:tc>
        <w:tc>
          <w:tcPr>
            <w:tcW w:w="2552" w:type="dxa"/>
            <w:tcBorders>
              <w:bottom w:val="single" w:sz="8" w:space="0" w:color="000000"/>
              <w:right w:val="single" w:sz="8" w:space="0" w:color="000000"/>
            </w:tcBorders>
          </w:tcPr>
          <w:p w14:paraId="670E2545" w14:textId="081025FB"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9.4–10.4 </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note Duarte et al</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 xml:space="preserve"> get this using maximum observed not average unit area stock – we re-calculate as</w:t>
            </w:r>
            <w:r w:rsidR="000A5E64" w:rsidRPr="007C6F51">
              <w:rPr>
                <w:rFonts w:asciiTheme="minorHAnsi" w:eastAsia="Calibri" w:hAnsiTheme="minorHAnsi"/>
                <w:sz w:val="20"/>
                <w:szCs w:val="20"/>
                <w:lang w:val="en-GB"/>
              </w:rPr>
              <w:t xml:space="preserve"> </w:t>
            </w:r>
            <w:r w:rsidRPr="007C6F51">
              <w:rPr>
                <w:rFonts w:asciiTheme="minorHAnsi" w:eastAsia="Calibri" w:hAnsiTheme="minorHAnsi"/>
                <w:sz w:val="20"/>
                <w:szCs w:val="20"/>
                <w:lang w:val="en-GB"/>
              </w:rPr>
              <w:t>3.5 and 3.9</w:t>
            </w:r>
            <w:r w:rsidR="000A5E64" w:rsidRPr="007C6F51">
              <w:rPr>
                <w:rFonts w:asciiTheme="minorHAnsi" w:eastAsia="Calibri" w:hAnsiTheme="minorHAnsi"/>
                <w:sz w:val="20"/>
                <w:szCs w:val="20"/>
                <w:lang w:val="en-GB"/>
              </w:rPr>
              <w:t>)</w:t>
            </w:r>
          </w:p>
        </w:tc>
        <w:tc>
          <w:tcPr>
            <w:tcW w:w="1275" w:type="dxa"/>
            <w:tcBorders>
              <w:bottom w:val="single" w:sz="8" w:space="0" w:color="000000"/>
              <w:right w:val="single" w:sz="8" w:space="0" w:color="000000"/>
            </w:tcBorders>
          </w:tcPr>
          <w:p w14:paraId="24B8C6B2" w14:textId="41D2B742"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0.7–3</w:t>
            </w:r>
          </w:p>
        </w:tc>
        <w:tc>
          <w:tcPr>
            <w:tcW w:w="1843" w:type="dxa"/>
            <w:tcBorders>
              <w:bottom w:val="single" w:sz="8" w:space="0" w:color="000000"/>
              <w:right w:val="single" w:sz="8" w:space="0" w:color="000000"/>
            </w:tcBorders>
          </w:tcPr>
          <w:p w14:paraId="5FAB7374" w14:textId="75DDA6B5"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30–50</w:t>
            </w:r>
          </w:p>
        </w:tc>
      </w:tr>
      <w:tr w:rsidR="00127D1E" w:rsidRPr="00127D1E" w14:paraId="07BD4317" w14:textId="77777777" w:rsidTr="00127D1E">
        <w:trPr>
          <w:trHeight w:val="917"/>
        </w:trPr>
        <w:tc>
          <w:tcPr>
            <w:tcW w:w="1246" w:type="dxa"/>
            <w:tcBorders>
              <w:left w:val="single" w:sz="8" w:space="0" w:color="000000"/>
              <w:bottom w:val="single" w:sz="8" w:space="0" w:color="000000"/>
              <w:right w:val="single" w:sz="8" w:space="0" w:color="000000"/>
            </w:tcBorders>
          </w:tcPr>
          <w:p w14:paraId="71DB78B0" w14:textId="3E43D33B"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Seagrass </w:t>
            </w:r>
            <w:r w:rsidR="000A5E64" w:rsidRPr="007C6F51">
              <w:rPr>
                <w:rFonts w:asciiTheme="minorHAnsi" w:eastAsia="Calibri" w:hAnsiTheme="minorHAnsi"/>
                <w:sz w:val="20"/>
                <w:szCs w:val="20"/>
                <w:lang w:val="en-GB"/>
              </w:rPr>
              <w:t>m</w:t>
            </w:r>
            <w:r w:rsidRPr="007C6F51">
              <w:rPr>
                <w:rFonts w:asciiTheme="minorHAnsi" w:eastAsia="Calibri" w:hAnsiTheme="minorHAnsi"/>
                <w:sz w:val="20"/>
                <w:szCs w:val="20"/>
                <w:lang w:val="en-GB"/>
              </w:rPr>
              <w:t>eadows</w:t>
            </w:r>
          </w:p>
        </w:tc>
        <w:tc>
          <w:tcPr>
            <w:tcW w:w="1296" w:type="dxa"/>
            <w:tcBorders>
              <w:bottom w:val="single" w:sz="8" w:space="0" w:color="000000"/>
              <w:right w:val="single" w:sz="8" w:space="0" w:color="000000"/>
            </w:tcBorders>
          </w:tcPr>
          <w:p w14:paraId="0BB1E749" w14:textId="06A9FBD8"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177</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600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w:t>
            </w:r>
          </w:p>
        </w:tc>
        <w:tc>
          <w:tcPr>
            <w:tcW w:w="1417" w:type="dxa"/>
            <w:tcBorders>
              <w:bottom w:val="single" w:sz="8" w:space="0" w:color="000000"/>
              <w:right w:val="single" w:sz="8" w:space="0" w:color="000000"/>
            </w:tcBorders>
          </w:tcPr>
          <w:p w14:paraId="43028C00"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138 +/- 38</w:t>
            </w:r>
          </w:p>
        </w:tc>
        <w:tc>
          <w:tcPr>
            <w:tcW w:w="1701" w:type="dxa"/>
            <w:tcBorders>
              <w:bottom w:val="single" w:sz="8" w:space="0" w:color="000000"/>
              <w:right w:val="single" w:sz="8" w:space="0" w:color="000000"/>
            </w:tcBorders>
          </w:tcPr>
          <w:p w14:paraId="53C1A37B"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140</w:t>
            </w:r>
          </w:p>
        </w:tc>
        <w:tc>
          <w:tcPr>
            <w:tcW w:w="2410" w:type="dxa"/>
            <w:tcBorders>
              <w:bottom w:val="single" w:sz="8" w:space="0" w:color="000000"/>
              <w:right w:val="single" w:sz="8" w:space="0" w:color="000000"/>
            </w:tcBorders>
          </w:tcPr>
          <w:p w14:paraId="7131B678" w14:textId="3A4BCA8B"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48–112</w:t>
            </w:r>
            <w:r w:rsidR="000A5E64" w:rsidRPr="007C6F51">
              <w:rPr>
                <w:rFonts w:asciiTheme="minorHAnsi" w:eastAsia="Calibri" w:hAnsiTheme="minorHAnsi"/>
                <w:sz w:val="20"/>
                <w:szCs w:val="20"/>
                <w:lang w:val="en-GB"/>
              </w:rPr>
              <w:t xml:space="preserve"> (c</w:t>
            </w:r>
            <w:r w:rsidRPr="007C6F51">
              <w:rPr>
                <w:rFonts w:asciiTheme="minorHAnsi" w:eastAsia="Calibri" w:hAnsiTheme="minorHAnsi"/>
                <w:sz w:val="20"/>
                <w:szCs w:val="20"/>
                <w:lang w:val="en-GB"/>
              </w:rPr>
              <w:t>alculated from extent and unit area</w:t>
            </w:r>
            <w:r w:rsidR="000A5E64" w:rsidRPr="007C6F51">
              <w:rPr>
                <w:rFonts w:asciiTheme="minorHAnsi" w:eastAsia="Calibri" w:hAnsiTheme="minorHAnsi"/>
                <w:sz w:val="20"/>
                <w:szCs w:val="20"/>
                <w:lang w:val="en-GB"/>
              </w:rPr>
              <w:t xml:space="preserve"> </w:t>
            </w:r>
            <w:r w:rsidRPr="007C6F51">
              <w:rPr>
                <w:rFonts w:asciiTheme="minorHAnsi" w:eastAsia="Calibri" w:hAnsiTheme="minorHAnsi"/>
                <w:sz w:val="20"/>
                <w:szCs w:val="20"/>
                <w:lang w:val="en-GB"/>
              </w:rPr>
              <w:t>storage gives 17</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106</w:t>
            </w:r>
            <w:r w:rsidR="000A5E64" w:rsidRPr="007C6F51">
              <w:rPr>
                <w:rFonts w:asciiTheme="minorHAnsi" w:eastAsia="Calibri" w:hAnsiTheme="minorHAnsi"/>
                <w:sz w:val="20"/>
                <w:szCs w:val="20"/>
                <w:lang w:val="en-GB"/>
              </w:rPr>
              <w:t>)</w:t>
            </w:r>
          </w:p>
        </w:tc>
        <w:tc>
          <w:tcPr>
            <w:tcW w:w="2552" w:type="dxa"/>
            <w:tcBorders>
              <w:bottom w:val="single" w:sz="8" w:space="0" w:color="000000"/>
              <w:right w:val="single" w:sz="8" w:space="0" w:color="000000"/>
            </w:tcBorders>
          </w:tcPr>
          <w:p w14:paraId="681526E5" w14:textId="7B7BD7FD"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4.2</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8.4</w:t>
            </w:r>
            <w:r w:rsidR="000A5E64" w:rsidRPr="007C6F51">
              <w:rPr>
                <w:rFonts w:asciiTheme="minorHAnsi" w:eastAsia="Calibri" w:hAnsiTheme="minorHAnsi"/>
                <w:sz w:val="20"/>
                <w:szCs w:val="20"/>
                <w:lang w:val="en-GB"/>
              </w:rPr>
              <w:t xml:space="preserve"> (c</w:t>
            </w:r>
            <w:r w:rsidRPr="007C6F51">
              <w:rPr>
                <w:rFonts w:asciiTheme="minorHAnsi" w:eastAsia="Calibri" w:hAnsiTheme="minorHAnsi"/>
                <w:sz w:val="20"/>
                <w:szCs w:val="20"/>
                <w:lang w:val="en-GB"/>
              </w:rPr>
              <w:t>alculated as above gives 2.5</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8.4</w:t>
            </w:r>
            <w:r w:rsidR="000A5E64" w:rsidRPr="007C6F51">
              <w:rPr>
                <w:rFonts w:asciiTheme="minorHAnsi" w:eastAsia="Calibri" w:hAnsiTheme="minorHAnsi"/>
                <w:sz w:val="20"/>
                <w:szCs w:val="20"/>
                <w:lang w:val="en-GB"/>
              </w:rPr>
              <w:t>)</w:t>
            </w:r>
          </w:p>
        </w:tc>
        <w:tc>
          <w:tcPr>
            <w:tcW w:w="1275" w:type="dxa"/>
            <w:tcBorders>
              <w:bottom w:val="single" w:sz="8" w:space="0" w:color="000000"/>
              <w:right w:val="single" w:sz="8" w:space="0" w:color="000000"/>
            </w:tcBorders>
          </w:tcPr>
          <w:p w14:paraId="0E8208D8"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0.9</w:t>
            </w:r>
          </w:p>
        </w:tc>
        <w:tc>
          <w:tcPr>
            <w:tcW w:w="1843" w:type="dxa"/>
            <w:tcBorders>
              <w:bottom w:val="single" w:sz="8" w:space="0" w:color="000000"/>
              <w:right w:val="single" w:sz="8" w:space="0" w:color="000000"/>
            </w:tcBorders>
          </w:tcPr>
          <w:p w14:paraId="2D99FE4B"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30</w:t>
            </w:r>
          </w:p>
        </w:tc>
      </w:tr>
      <w:tr w:rsidR="00127D1E" w:rsidRPr="00127D1E" w14:paraId="76B4EFD4" w14:textId="77777777" w:rsidTr="007C6F51">
        <w:trPr>
          <w:trHeight w:val="1743"/>
        </w:trPr>
        <w:tc>
          <w:tcPr>
            <w:tcW w:w="1246" w:type="dxa"/>
            <w:tcBorders>
              <w:left w:val="single" w:sz="8" w:space="0" w:color="000000"/>
              <w:bottom w:val="single" w:sz="8" w:space="0" w:color="000000"/>
              <w:right w:val="single" w:sz="8" w:space="0" w:color="000000"/>
            </w:tcBorders>
          </w:tcPr>
          <w:p w14:paraId="02C3738B"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Macroalgae</w:t>
            </w:r>
          </w:p>
          <w:p w14:paraId="1F345917"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 </w:t>
            </w:r>
          </w:p>
          <w:p w14:paraId="364A86AC"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 </w:t>
            </w:r>
          </w:p>
        </w:tc>
        <w:tc>
          <w:tcPr>
            <w:tcW w:w="1296" w:type="dxa"/>
            <w:tcBorders>
              <w:bottom w:val="single" w:sz="8" w:space="0" w:color="000000"/>
              <w:right w:val="single" w:sz="8" w:space="0" w:color="000000"/>
            </w:tcBorders>
          </w:tcPr>
          <w:p w14:paraId="641D519E" w14:textId="7C39822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400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000–5</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700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 (3</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540</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000</w:t>
            </w:r>
            <w:r w:rsidR="000A5E64" w:rsidRPr="007C6F51">
              <w:rPr>
                <w:rFonts w:asciiTheme="minorHAnsi" w:eastAsia="Calibri" w:hAnsiTheme="minorHAnsi"/>
                <w:sz w:val="20"/>
                <w:szCs w:val="20"/>
                <w:lang w:val="en-GB"/>
              </w:rPr>
              <w:t xml:space="preserve">; </w:t>
            </w:r>
            <w:r w:rsidRPr="007C6F51">
              <w:rPr>
                <w:rFonts w:asciiTheme="minorHAnsi" w:eastAsia="Calibri" w:hAnsiTheme="minorHAnsi"/>
                <w:sz w:val="20"/>
                <w:szCs w:val="20"/>
                <w:lang w:val="en-GB"/>
              </w:rPr>
              <w:t>Kraus-Jensen and Duarte, 2016)</w:t>
            </w:r>
          </w:p>
        </w:tc>
        <w:tc>
          <w:tcPr>
            <w:tcW w:w="1417" w:type="dxa"/>
            <w:tcBorders>
              <w:bottom w:val="single" w:sz="8" w:space="0" w:color="000000"/>
              <w:right w:val="single" w:sz="8" w:space="0" w:color="000000"/>
            </w:tcBorders>
          </w:tcPr>
          <w:p w14:paraId="53D11222" w14:textId="05C704D5"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17–76 (inferred from Krause-Jensen and Duarte, 2016)</w:t>
            </w:r>
          </w:p>
        </w:tc>
        <w:tc>
          <w:tcPr>
            <w:tcW w:w="1701" w:type="dxa"/>
            <w:tcBorders>
              <w:bottom w:val="single" w:sz="8" w:space="0" w:color="000000"/>
              <w:right w:val="single" w:sz="8" w:space="0" w:color="000000"/>
            </w:tcBorders>
          </w:tcPr>
          <w:p w14:paraId="16B1863C" w14:textId="72B436BF"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1.4–120 (</w:t>
            </w:r>
            <w:proofErr w:type="spellStart"/>
            <w:r w:rsidRPr="007C6F51">
              <w:rPr>
                <w:rFonts w:asciiTheme="minorHAnsi" w:eastAsia="Calibri" w:hAnsiTheme="minorHAnsi"/>
                <w:sz w:val="20"/>
                <w:szCs w:val="20"/>
                <w:lang w:val="en-GB"/>
              </w:rPr>
              <w:t>Pessarrodona</w:t>
            </w:r>
            <w:proofErr w:type="spellEnd"/>
            <w:r w:rsidRPr="007C6F51">
              <w:rPr>
                <w:rFonts w:asciiTheme="minorHAnsi" w:eastAsia="Calibri" w:hAnsiTheme="minorHAnsi"/>
                <w:sz w:val="20"/>
                <w:szCs w:val="20"/>
                <w:lang w:val="en-GB"/>
              </w:rPr>
              <w:t xml:space="preserve"> et al</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 xml:space="preserve"> 2017</w:t>
            </w:r>
            <w:r w:rsidR="000A5E64" w:rsidRPr="007C6F51">
              <w:rPr>
                <w:rFonts w:asciiTheme="minorHAnsi" w:eastAsia="Calibri" w:hAnsiTheme="minorHAnsi"/>
                <w:sz w:val="20"/>
                <w:szCs w:val="20"/>
                <w:lang w:val="en-GB"/>
              </w:rPr>
              <w:t xml:space="preserve">; </w:t>
            </w:r>
            <w:r w:rsidRPr="007C6F51">
              <w:rPr>
                <w:rFonts w:asciiTheme="minorHAnsi" w:eastAsia="Calibri" w:hAnsiTheme="minorHAnsi"/>
                <w:i/>
                <w:sz w:val="20"/>
                <w:szCs w:val="20"/>
                <w:lang w:val="en-GB"/>
              </w:rPr>
              <w:t xml:space="preserve">L. </w:t>
            </w:r>
            <w:proofErr w:type="spellStart"/>
            <w:r w:rsidR="000A5E64" w:rsidRPr="007C6F51">
              <w:rPr>
                <w:rFonts w:asciiTheme="minorHAnsi" w:eastAsia="Calibri" w:hAnsiTheme="minorHAnsi"/>
                <w:i/>
                <w:sz w:val="20"/>
                <w:szCs w:val="20"/>
                <w:lang w:val="en-GB"/>
              </w:rPr>
              <w:t>h</w:t>
            </w:r>
            <w:r w:rsidRPr="007C6F51">
              <w:rPr>
                <w:rFonts w:asciiTheme="minorHAnsi" w:eastAsia="Calibri" w:hAnsiTheme="minorHAnsi"/>
                <w:i/>
                <w:sz w:val="20"/>
                <w:szCs w:val="20"/>
                <w:lang w:val="en-GB"/>
              </w:rPr>
              <w:t>yperborea</w:t>
            </w:r>
            <w:proofErr w:type="spellEnd"/>
            <w:r w:rsidRPr="007C6F51">
              <w:rPr>
                <w:rFonts w:asciiTheme="minorHAnsi" w:eastAsia="Calibri" w:hAnsiTheme="minorHAnsi"/>
                <w:sz w:val="20"/>
                <w:szCs w:val="20"/>
                <w:lang w:val="en-GB"/>
              </w:rPr>
              <w:t xml:space="preserve"> specifically</w:t>
            </w:r>
            <w:r w:rsidR="000A5E64" w:rsidRPr="007C6F51">
              <w:rPr>
                <w:rFonts w:asciiTheme="minorHAnsi" w:eastAsia="Calibri" w:hAnsiTheme="minorHAnsi"/>
                <w:sz w:val="20"/>
                <w:szCs w:val="20"/>
                <w:lang w:val="en-GB"/>
              </w:rPr>
              <w:t>)</w:t>
            </w:r>
          </w:p>
        </w:tc>
        <w:tc>
          <w:tcPr>
            <w:tcW w:w="2410" w:type="dxa"/>
            <w:tcBorders>
              <w:bottom w:val="single" w:sz="8" w:space="0" w:color="000000"/>
              <w:right w:val="single" w:sz="8" w:space="0" w:color="000000"/>
            </w:tcBorders>
          </w:tcPr>
          <w:p w14:paraId="33776425" w14:textId="10B5F1E9"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61</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268 (173</w:t>
            </w:r>
            <w:r w:rsidR="000A5E64" w:rsidRPr="007C6F51">
              <w:rPr>
                <w:rFonts w:asciiTheme="minorHAnsi" w:eastAsia="Calibri" w:hAnsiTheme="minorHAnsi"/>
                <w:sz w:val="20"/>
                <w:szCs w:val="20"/>
                <w:lang w:val="en-GB"/>
              </w:rPr>
              <w:t xml:space="preserve">; </w:t>
            </w:r>
            <w:r w:rsidRPr="007C6F51">
              <w:rPr>
                <w:rFonts w:asciiTheme="minorHAnsi" w:eastAsia="Calibri" w:hAnsiTheme="minorHAnsi"/>
                <w:sz w:val="20"/>
                <w:szCs w:val="20"/>
                <w:lang w:val="en-GB"/>
              </w:rPr>
              <w:t>Kraus-Jensen and Duarte, 2016)</w:t>
            </w:r>
          </w:p>
        </w:tc>
        <w:tc>
          <w:tcPr>
            <w:tcW w:w="2552" w:type="dxa"/>
            <w:tcBorders>
              <w:bottom w:val="single" w:sz="8" w:space="0" w:color="000000"/>
              <w:right w:val="single" w:sz="8" w:space="0" w:color="000000"/>
            </w:tcBorders>
          </w:tcPr>
          <w:p w14:paraId="0649A9B3" w14:textId="418B3876"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 xml:space="preserve"> 0.5</w:t>
            </w:r>
            <w:r w:rsidR="000A5E64" w:rsidRPr="007C6F51">
              <w:rPr>
                <w:rFonts w:asciiTheme="minorHAnsi" w:eastAsia="Calibri" w:hAnsiTheme="minorHAnsi"/>
                <w:sz w:val="20"/>
                <w:szCs w:val="20"/>
                <w:lang w:val="en-GB"/>
              </w:rPr>
              <w:t>–</w:t>
            </w:r>
            <w:r w:rsidRPr="007C6F51">
              <w:rPr>
                <w:rFonts w:asciiTheme="minorHAnsi" w:eastAsia="Calibri" w:hAnsiTheme="minorHAnsi"/>
                <w:sz w:val="20"/>
                <w:szCs w:val="20"/>
                <w:lang w:val="en-GB"/>
              </w:rPr>
              <w:t>42 (calculated using average area from column 1 and unit area stock range from column 3)</w:t>
            </w:r>
          </w:p>
        </w:tc>
        <w:tc>
          <w:tcPr>
            <w:tcW w:w="1275" w:type="dxa"/>
            <w:tcBorders>
              <w:bottom w:val="single" w:sz="8" w:space="0" w:color="000000"/>
              <w:right w:val="single" w:sz="8" w:space="0" w:color="000000"/>
            </w:tcBorders>
          </w:tcPr>
          <w:p w14:paraId="52FFEBBA" w14:textId="369A0CFB"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0.6</w:t>
            </w:r>
            <w:r w:rsidR="00642D56" w:rsidRPr="007C6F51">
              <w:rPr>
                <w:rFonts w:asciiTheme="minorHAnsi" w:eastAsia="Calibri" w:hAnsiTheme="minorHAnsi"/>
                <w:sz w:val="20"/>
                <w:szCs w:val="20"/>
                <w:lang w:val="en-GB"/>
              </w:rPr>
              <w:t xml:space="preserve">–1.8 (lower: </w:t>
            </w:r>
            <w:r w:rsidR="006D3F39" w:rsidRPr="007C6F51">
              <w:rPr>
                <w:rFonts w:asciiTheme="minorHAnsi" w:eastAsia="Calibri" w:hAnsiTheme="minorHAnsi"/>
                <w:sz w:val="20"/>
                <w:szCs w:val="20"/>
                <w:lang w:val="en-GB"/>
              </w:rPr>
              <w:t xml:space="preserve">Assis et al., 2017; upper: </w:t>
            </w:r>
            <w:proofErr w:type="spellStart"/>
            <w:r w:rsidR="006D3F39" w:rsidRPr="007C6F51">
              <w:rPr>
                <w:rFonts w:asciiTheme="minorHAnsi" w:eastAsia="Calibri" w:hAnsiTheme="minorHAnsi"/>
                <w:sz w:val="20"/>
                <w:szCs w:val="20"/>
                <w:lang w:val="en-GB"/>
              </w:rPr>
              <w:t>Krumhansl</w:t>
            </w:r>
            <w:proofErr w:type="spellEnd"/>
            <w:r w:rsidR="006D3F39" w:rsidRPr="007C6F51">
              <w:rPr>
                <w:rFonts w:asciiTheme="minorHAnsi" w:eastAsia="Calibri" w:hAnsiTheme="minorHAnsi"/>
                <w:sz w:val="20"/>
                <w:szCs w:val="20"/>
                <w:lang w:val="en-GB"/>
              </w:rPr>
              <w:t xml:space="preserve"> et al., 2018)</w:t>
            </w:r>
          </w:p>
        </w:tc>
        <w:tc>
          <w:tcPr>
            <w:tcW w:w="1843" w:type="dxa"/>
            <w:tcBorders>
              <w:bottom w:val="single" w:sz="8" w:space="0" w:color="000000"/>
              <w:right w:val="single" w:sz="8" w:space="0" w:color="000000"/>
            </w:tcBorders>
          </w:tcPr>
          <w:p w14:paraId="3F032526" w14:textId="77777777" w:rsidR="007A2027" w:rsidRPr="007C6F51" w:rsidRDefault="00973424">
            <w:pPr>
              <w:widowControl w:val="0"/>
              <w:rPr>
                <w:rFonts w:asciiTheme="minorHAnsi" w:eastAsia="Calibri" w:hAnsiTheme="minorHAnsi"/>
                <w:sz w:val="20"/>
                <w:szCs w:val="20"/>
                <w:lang w:val="en-GB"/>
              </w:rPr>
            </w:pPr>
            <w:r w:rsidRPr="007C6F51">
              <w:rPr>
                <w:rFonts w:asciiTheme="minorHAnsi" w:eastAsia="Calibri" w:hAnsiTheme="minorHAnsi"/>
                <w:sz w:val="20"/>
                <w:szCs w:val="20"/>
                <w:lang w:val="en-GB"/>
              </w:rPr>
              <w:t>30 (since 1980)</w:t>
            </w:r>
          </w:p>
        </w:tc>
      </w:tr>
    </w:tbl>
    <w:p w14:paraId="16618DBB"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 </w:t>
      </w:r>
    </w:p>
    <w:p w14:paraId="37870032"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 </w:t>
      </w:r>
    </w:p>
    <w:p w14:paraId="4B2D1C7F" w14:textId="77777777" w:rsidR="00127D1E" w:rsidRDefault="00127D1E">
      <w:pPr>
        <w:spacing w:before="180" w:after="180"/>
        <w:rPr>
          <w:rFonts w:asciiTheme="minorHAnsi" w:eastAsia="Cambria" w:hAnsiTheme="minorHAnsi"/>
          <w:b/>
          <w:lang w:val="en-GB"/>
        </w:rPr>
        <w:sectPr w:rsidR="00127D1E" w:rsidSect="005863D3">
          <w:pgSz w:w="16838" w:h="11906" w:orient="landscape"/>
          <w:pgMar w:top="1440" w:right="1440" w:bottom="1440" w:left="1440" w:header="0" w:footer="0" w:gutter="0"/>
          <w:pgNumType w:start="1"/>
          <w:cols w:space="720"/>
          <w:formProt w:val="0"/>
          <w:docGrid w:linePitch="326"/>
        </w:sectPr>
      </w:pPr>
    </w:p>
    <w:p w14:paraId="511F6005" w14:textId="5F52767D"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b/>
          <w:lang w:val="en-GB"/>
        </w:rPr>
        <w:lastRenderedPageBreak/>
        <w:t>Table S2</w:t>
      </w:r>
      <w:r w:rsidRPr="007C6F51">
        <w:rPr>
          <w:rFonts w:asciiTheme="minorHAnsi" w:eastAsia="Cambria" w:hAnsiTheme="minorHAnsi"/>
          <w:lang w:val="en-GB"/>
        </w:rPr>
        <w:t>. Uptake capacity of coastal habitats 202</w:t>
      </w:r>
      <w:r w:rsidR="00C92D38">
        <w:rPr>
          <w:rFonts w:asciiTheme="minorHAnsi" w:eastAsia="Cambria" w:hAnsiTheme="minorHAnsi"/>
          <w:lang w:val="en-GB"/>
        </w:rPr>
        <w:t>4</w:t>
      </w:r>
      <w:r w:rsidR="000A5E64" w:rsidRPr="007C6F51">
        <w:rPr>
          <w:rFonts w:asciiTheme="minorHAnsi" w:eastAsia="Cambria" w:hAnsiTheme="minorHAnsi"/>
          <w:lang w:val="en-GB"/>
        </w:rPr>
        <w:t>–</w:t>
      </w:r>
      <w:r w:rsidRPr="007C6F51">
        <w:rPr>
          <w:rFonts w:asciiTheme="minorHAnsi" w:eastAsia="Cambria" w:hAnsiTheme="minorHAnsi"/>
          <w:lang w:val="en-GB"/>
        </w:rPr>
        <w:t xml:space="preserve">2100 in Gt C. </w:t>
      </w:r>
      <w:r w:rsidR="006D76F4" w:rsidRPr="007C6F51">
        <w:rPr>
          <w:rFonts w:asciiTheme="minorHAnsi" w:eastAsia="Cambria" w:hAnsiTheme="minorHAnsi"/>
          <w:lang w:val="en-GB"/>
        </w:rPr>
        <w:t>Abbreviations: BAU – business as usual.</w:t>
      </w:r>
    </w:p>
    <w:tbl>
      <w:tblPr>
        <w:tblW w:w="768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775"/>
        <w:gridCol w:w="1470"/>
        <w:gridCol w:w="1621"/>
        <w:gridCol w:w="1814"/>
      </w:tblGrid>
      <w:tr w:rsidR="007A2027" w:rsidRPr="001B3152" w14:paraId="507000CA" w14:textId="77777777">
        <w:trPr>
          <w:trHeight w:val="545"/>
        </w:trPr>
        <w:tc>
          <w:tcPr>
            <w:tcW w:w="2774" w:type="dxa"/>
            <w:tcBorders>
              <w:bottom w:val="single" w:sz="8" w:space="0" w:color="000000"/>
            </w:tcBorders>
            <w:vAlign w:val="bottom"/>
          </w:tcPr>
          <w:p w14:paraId="3BB38233" w14:textId="77777777" w:rsidR="007A2027" w:rsidRPr="007C6F51" w:rsidRDefault="00973424">
            <w:pPr>
              <w:widowControl w:val="0"/>
              <w:spacing w:before="40" w:after="40"/>
              <w:rPr>
                <w:rFonts w:asciiTheme="minorHAnsi" w:eastAsia="Cambria" w:hAnsiTheme="minorHAnsi"/>
                <w:b/>
                <w:lang w:val="en-GB"/>
              </w:rPr>
            </w:pPr>
            <w:r w:rsidRPr="007C6F51">
              <w:rPr>
                <w:rFonts w:asciiTheme="minorHAnsi" w:eastAsia="Cambria" w:hAnsiTheme="minorHAnsi"/>
                <w:b/>
                <w:lang w:val="en-GB"/>
              </w:rPr>
              <w:t>Habitat</w:t>
            </w:r>
          </w:p>
        </w:tc>
        <w:tc>
          <w:tcPr>
            <w:tcW w:w="1470" w:type="dxa"/>
            <w:tcBorders>
              <w:bottom w:val="single" w:sz="8" w:space="0" w:color="000000"/>
            </w:tcBorders>
            <w:vAlign w:val="bottom"/>
          </w:tcPr>
          <w:p w14:paraId="7096A4F5" w14:textId="77777777" w:rsidR="007A2027" w:rsidRPr="007C6F51" w:rsidRDefault="00973424">
            <w:pPr>
              <w:widowControl w:val="0"/>
              <w:spacing w:before="40" w:after="40"/>
              <w:rPr>
                <w:rFonts w:asciiTheme="minorHAnsi" w:eastAsia="Cambria" w:hAnsiTheme="minorHAnsi"/>
                <w:b/>
                <w:lang w:val="en-GB"/>
              </w:rPr>
            </w:pPr>
            <w:r w:rsidRPr="007C6F51">
              <w:rPr>
                <w:rFonts w:asciiTheme="minorHAnsi" w:eastAsia="Cambria" w:hAnsiTheme="minorHAnsi"/>
                <w:b/>
                <w:lang w:val="en-GB"/>
              </w:rPr>
              <w:t>BAU</w:t>
            </w:r>
          </w:p>
        </w:tc>
        <w:tc>
          <w:tcPr>
            <w:tcW w:w="1621" w:type="dxa"/>
            <w:tcBorders>
              <w:bottom w:val="single" w:sz="8" w:space="0" w:color="000000"/>
            </w:tcBorders>
            <w:vAlign w:val="bottom"/>
          </w:tcPr>
          <w:p w14:paraId="5E434150" w14:textId="6A48A2C8" w:rsidR="007A2027" w:rsidRPr="007C6F51" w:rsidRDefault="00973424">
            <w:pPr>
              <w:widowControl w:val="0"/>
              <w:spacing w:before="40" w:after="40"/>
              <w:jc w:val="right"/>
              <w:rPr>
                <w:rFonts w:asciiTheme="minorHAnsi" w:eastAsia="Cambria" w:hAnsiTheme="minorHAnsi"/>
                <w:b/>
                <w:lang w:val="en-GB"/>
              </w:rPr>
            </w:pPr>
            <w:r w:rsidRPr="007C6F51">
              <w:rPr>
                <w:rFonts w:asciiTheme="minorHAnsi" w:eastAsia="Cambria" w:hAnsiTheme="minorHAnsi"/>
                <w:b/>
                <w:lang w:val="en-GB"/>
              </w:rPr>
              <w:t xml:space="preserve">Stop </w:t>
            </w:r>
            <w:r w:rsidR="000A5E64" w:rsidRPr="007C6F51">
              <w:rPr>
                <w:rFonts w:asciiTheme="minorHAnsi" w:eastAsia="Cambria" w:hAnsiTheme="minorHAnsi"/>
                <w:b/>
                <w:lang w:val="en-GB"/>
              </w:rPr>
              <w:t>l</w:t>
            </w:r>
            <w:r w:rsidRPr="007C6F51">
              <w:rPr>
                <w:rFonts w:asciiTheme="minorHAnsi" w:eastAsia="Cambria" w:hAnsiTheme="minorHAnsi"/>
                <w:b/>
                <w:lang w:val="en-GB"/>
              </w:rPr>
              <w:t>oss</w:t>
            </w:r>
          </w:p>
        </w:tc>
        <w:tc>
          <w:tcPr>
            <w:tcW w:w="1814" w:type="dxa"/>
            <w:tcBorders>
              <w:bottom w:val="single" w:sz="8" w:space="0" w:color="000000"/>
            </w:tcBorders>
            <w:vAlign w:val="bottom"/>
          </w:tcPr>
          <w:p w14:paraId="552D9312" w14:textId="77777777" w:rsidR="007A2027" w:rsidRPr="007C6F51" w:rsidRDefault="00973424">
            <w:pPr>
              <w:widowControl w:val="0"/>
              <w:spacing w:before="40" w:after="40"/>
              <w:jc w:val="right"/>
              <w:rPr>
                <w:rFonts w:asciiTheme="minorHAnsi" w:eastAsia="Cambria" w:hAnsiTheme="minorHAnsi"/>
                <w:b/>
                <w:lang w:val="en-GB"/>
              </w:rPr>
            </w:pPr>
            <w:r w:rsidRPr="007C6F51">
              <w:rPr>
                <w:rFonts w:asciiTheme="minorHAnsi" w:eastAsia="Cambria" w:hAnsiTheme="minorHAnsi"/>
                <w:b/>
                <w:lang w:val="en-GB"/>
              </w:rPr>
              <w:t>Restore</w:t>
            </w:r>
          </w:p>
        </w:tc>
      </w:tr>
      <w:tr w:rsidR="007A2027" w:rsidRPr="001B3152" w14:paraId="382A4A0F" w14:textId="77777777">
        <w:trPr>
          <w:trHeight w:val="560"/>
        </w:trPr>
        <w:tc>
          <w:tcPr>
            <w:tcW w:w="2774" w:type="dxa"/>
          </w:tcPr>
          <w:p w14:paraId="73DB2AC2"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Salt marsh</w:t>
            </w:r>
          </w:p>
        </w:tc>
        <w:tc>
          <w:tcPr>
            <w:tcW w:w="1470" w:type="dxa"/>
          </w:tcPr>
          <w:p w14:paraId="3A044B77" w14:textId="5493543D" w:rsidR="007A2027" w:rsidRPr="007C6F51" w:rsidRDefault="000A5E64">
            <w:pPr>
              <w:widowControl w:val="0"/>
              <w:spacing w:before="40" w:after="40"/>
              <w:rPr>
                <w:rFonts w:asciiTheme="minorHAnsi" w:eastAsia="Cambria" w:hAnsiTheme="minorHAnsi"/>
                <w:lang w:val="en-GB"/>
              </w:rPr>
            </w:pPr>
            <w:r w:rsidRPr="007C6F51">
              <w:rPr>
                <w:rFonts w:asciiTheme="minorHAnsi" w:eastAsia="Cambria" w:hAnsiTheme="minorHAnsi"/>
                <w:lang w:val="en-GB"/>
              </w:rPr>
              <w:t>–</w:t>
            </w:r>
            <w:r w:rsidR="00973424" w:rsidRPr="007C6F51">
              <w:rPr>
                <w:rFonts w:asciiTheme="minorHAnsi" w:eastAsia="Cambria" w:hAnsiTheme="minorHAnsi"/>
                <w:lang w:val="en-GB"/>
              </w:rPr>
              <w:t>0.25 to 0.9</w:t>
            </w:r>
          </w:p>
        </w:tc>
        <w:tc>
          <w:tcPr>
            <w:tcW w:w="1621" w:type="dxa"/>
          </w:tcPr>
          <w:p w14:paraId="51CFD8CA"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0.79 to 3.9</w:t>
            </w:r>
          </w:p>
        </w:tc>
        <w:tc>
          <w:tcPr>
            <w:tcW w:w="1814" w:type="dxa"/>
          </w:tcPr>
          <w:p w14:paraId="2DBC9EF1"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1.0 to 7.1</w:t>
            </w:r>
          </w:p>
        </w:tc>
      </w:tr>
      <w:tr w:rsidR="007A2027" w:rsidRPr="001B3152" w14:paraId="60126CB8" w14:textId="77777777">
        <w:trPr>
          <w:trHeight w:val="815"/>
        </w:trPr>
        <w:tc>
          <w:tcPr>
            <w:tcW w:w="2774" w:type="dxa"/>
          </w:tcPr>
          <w:p w14:paraId="4967F85E"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Mangrove</w:t>
            </w:r>
          </w:p>
        </w:tc>
        <w:tc>
          <w:tcPr>
            <w:tcW w:w="1470" w:type="dxa"/>
          </w:tcPr>
          <w:p w14:paraId="34AFFC99" w14:textId="0C268DD2" w:rsidR="007A2027" w:rsidRPr="007C6F51" w:rsidRDefault="000A5E64">
            <w:pPr>
              <w:widowControl w:val="0"/>
              <w:spacing w:before="40" w:after="40"/>
              <w:rPr>
                <w:rFonts w:asciiTheme="minorHAnsi" w:eastAsia="Cambria" w:hAnsiTheme="minorHAnsi"/>
                <w:lang w:val="en-GB"/>
              </w:rPr>
            </w:pPr>
            <w:r w:rsidRPr="007C6F51">
              <w:rPr>
                <w:rFonts w:asciiTheme="minorHAnsi" w:eastAsia="Cambria" w:hAnsiTheme="minorHAnsi"/>
                <w:lang w:val="en-GB"/>
              </w:rPr>
              <w:t>–</w:t>
            </w:r>
            <w:r w:rsidR="00973424" w:rsidRPr="007C6F51">
              <w:rPr>
                <w:rFonts w:asciiTheme="minorHAnsi" w:eastAsia="Cambria" w:hAnsiTheme="minorHAnsi"/>
                <w:lang w:val="en-GB"/>
              </w:rPr>
              <w:t>0.13 to</w:t>
            </w:r>
            <w:r w:rsidRPr="007C6F51">
              <w:rPr>
                <w:rFonts w:asciiTheme="minorHAnsi" w:eastAsia="Cambria" w:hAnsiTheme="minorHAnsi"/>
                <w:lang w:val="en-GB"/>
              </w:rPr>
              <w:t xml:space="preserve"> –</w:t>
            </w:r>
            <w:r w:rsidR="00973424" w:rsidRPr="007C6F51">
              <w:rPr>
                <w:rFonts w:asciiTheme="minorHAnsi" w:eastAsia="Cambria" w:hAnsiTheme="minorHAnsi"/>
                <w:lang w:val="en-GB"/>
              </w:rPr>
              <w:t>2.5</w:t>
            </w:r>
          </w:p>
        </w:tc>
        <w:tc>
          <w:tcPr>
            <w:tcW w:w="1621" w:type="dxa"/>
          </w:tcPr>
          <w:p w14:paraId="5E7A5A3D"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1.8 to 2.0</w:t>
            </w:r>
          </w:p>
        </w:tc>
        <w:tc>
          <w:tcPr>
            <w:tcW w:w="1814" w:type="dxa"/>
          </w:tcPr>
          <w:p w14:paraId="16E4BC24"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2.5 to 3.6</w:t>
            </w:r>
          </w:p>
        </w:tc>
      </w:tr>
      <w:tr w:rsidR="007A2027" w:rsidRPr="001B3152" w14:paraId="0A49D145" w14:textId="77777777">
        <w:trPr>
          <w:trHeight w:val="545"/>
        </w:trPr>
        <w:tc>
          <w:tcPr>
            <w:tcW w:w="2774" w:type="dxa"/>
          </w:tcPr>
          <w:p w14:paraId="3DE1BF29"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Seagrass</w:t>
            </w:r>
          </w:p>
        </w:tc>
        <w:tc>
          <w:tcPr>
            <w:tcW w:w="1470" w:type="dxa"/>
          </w:tcPr>
          <w:p w14:paraId="186F6C73" w14:textId="5CFDE466" w:rsidR="007A2027" w:rsidRPr="007C6F51" w:rsidRDefault="000A5E64">
            <w:pPr>
              <w:widowControl w:val="0"/>
              <w:spacing w:before="40" w:after="40"/>
              <w:rPr>
                <w:rFonts w:asciiTheme="minorHAnsi" w:eastAsia="Cambria" w:hAnsiTheme="minorHAnsi"/>
                <w:lang w:val="en-GB"/>
              </w:rPr>
            </w:pPr>
            <w:r w:rsidRPr="007C6F51">
              <w:rPr>
                <w:rFonts w:asciiTheme="minorHAnsi" w:eastAsia="Cambria" w:hAnsiTheme="minorHAnsi"/>
                <w:lang w:val="en-GB"/>
              </w:rPr>
              <w:t>–</w:t>
            </w:r>
            <w:r w:rsidR="00973424" w:rsidRPr="007C6F51">
              <w:rPr>
                <w:rFonts w:asciiTheme="minorHAnsi" w:eastAsia="Cambria" w:hAnsiTheme="minorHAnsi"/>
                <w:lang w:val="en-GB"/>
              </w:rPr>
              <w:t>0.25 to 1.8</w:t>
            </w:r>
          </w:p>
        </w:tc>
        <w:tc>
          <w:tcPr>
            <w:tcW w:w="1621" w:type="dxa"/>
          </w:tcPr>
          <w:p w14:paraId="05A0487B"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1.4 to 8.6</w:t>
            </w:r>
          </w:p>
        </w:tc>
        <w:tc>
          <w:tcPr>
            <w:tcW w:w="1814" w:type="dxa"/>
          </w:tcPr>
          <w:p w14:paraId="71093BD8"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1.9 to 12</w:t>
            </w:r>
          </w:p>
        </w:tc>
      </w:tr>
      <w:tr w:rsidR="007A2027" w:rsidRPr="001B3152" w14:paraId="276F101E" w14:textId="77777777">
        <w:trPr>
          <w:trHeight w:val="545"/>
        </w:trPr>
        <w:tc>
          <w:tcPr>
            <w:tcW w:w="2774" w:type="dxa"/>
          </w:tcPr>
          <w:p w14:paraId="4CEE0B06"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Macroalgae</w:t>
            </w:r>
          </w:p>
        </w:tc>
        <w:tc>
          <w:tcPr>
            <w:tcW w:w="1470" w:type="dxa"/>
          </w:tcPr>
          <w:p w14:paraId="6329BF8B"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1.8 to 3.7</w:t>
            </w:r>
          </w:p>
        </w:tc>
        <w:tc>
          <w:tcPr>
            <w:tcW w:w="1621" w:type="dxa"/>
          </w:tcPr>
          <w:p w14:paraId="53A61395"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4.9 to 22</w:t>
            </w:r>
          </w:p>
        </w:tc>
        <w:tc>
          <w:tcPr>
            <w:tcW w:w="1814" w:type="dxa"/>
          </w:tcPr>
          <w:p w14:paraId="254A1E09"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6.7 to 29</w:t>
            </w:r>
          </w:p>
        </w:tc>
      </w:tr>
      <w:tr w:rsidR="007A2027" w:rsidRPr="001B3152" w14:paraId="2105D10C" w14:textId="77777777">
        <w:trPr>
          <w:trHeight w:val="545"/>
        </w:trPr>
        <w:tc>
          <w:tcPr>
            <w:tcW w:w="2774" w:type="dxa"/>
          </w:tcPr>
          <w:p w14:paraId="6ACA285C"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TOTAL</w:t>
            </w:r>
          </w:p>
        </w:tc>
        <w:tc>
          <w:tcPr>
            <w:tcW w:w="1470" w:type="dxa"/>
          </w:tcPr>
          <w:p w14:paraId="687B4CFA" w14:textId="77777777" w:rsidR="007A2027" w:rsidRPr="007C6F51" w:rsidRDefault="00973424">
            <w:pPr>
              <w:widowControl w:val="0"/>
              <w:spacing w:before="40" w:after="40"/>
              <w:rPr>
                <w:rFonts w:asciiTheme="minorHAnsi" w:eastAsia="Cambria" w:hAnsiTheme="minorHAnsi"/>
                <w:lang w:val="en-GB"/>
              </w:rPr>
            </w:pPr>
            <w:r w:rsidRPr="007C6F51">
              <w:rPr>
                <w:rFonts w:asciiTheme="minorHAnsi" w:eastAsia="Cambria" w:hAnsiTheme="minorHAnsi"/>
                <w:lang w:val="en-GB"/>
              </w:rPr>
              <w:t>1.2 to 4.0</w:t>
            </w:r>
          </w:p>
        </w:tc>
        <w:tc>
          <w:tcPr>
            <w:tcW w:w="1621" w:type="dxa"/>
          </w:tcPr>
          <w:p w14:paraId="5D4500E3"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8.9 to 37</w:t>
            </w:r>
          </w:p>
        </w:tc>
        <w:tc>
          <w:tcPr>
            <w:tcW w:w="1814" w:type="dxa"/>
          </w:tcPr>
          <w:p w14:paraId="3B3FFE26" w14:textId="77777777" w:rsidR="007A2027" w:rsidRPr="007C6F51" w:rsidRDefault="00973424">
            <w:pPr>
              <w:widowControl w:val="0"/>
              <w:spacing w:before="40" w:after="40"/>
              <w:jc w:val="right"/>
              <w:rPr>
                <w:rFonts w:asciiTheme="minorHAnsi" w:eastAsia="Cambria" w:hAnsiTheme="minorHAnsi"/>
                <w:lang w:val="en-GB"/>
              </w:rPr>
            </w:pPr>
            <w:r w:rsidRPr="007C6F51">
              <w:rPr>
                <w:rFonts w:asciiTheme="minorHAnsi" w:eastAsia="Cambria" w:hAnsiTheme="minorHAnsi"/>
                <w:lang w:val="en-GB"/>
              </w:rPr>
              <w:t>12.1 to 59.7</w:t>
            </w:r>
          </w:p>
        </w:tc>
      </w:tr>
    </w:tbl>
    <w:p w14:paraId="773179A5" w14:textId="77777777" w:rsidR="007A2027" w:rsidRPr="007C6F51" w:rsidRDefault="007A2027">
      <w:pPr>
        <w:pStyle w:val="Heading2"/>
        <w:keepNext w:val="0"/>
        <w:keepLines w:val="0"/>
        <w:spacing w:before="200" w:after="0"/>
        <w:rPr>
          <w:rFonts w:asciiTheme="minorHAnsi" w:eastAsia="Calibri" w:hAnsiTheme="minorHAnsi"/>
          <w:b/>
          <w:color w:val="4F81BD"/>
        </w:rPr>
      </w:pPr>
      <w:bookmarkStart w:id="4" w:name="_h74q3qtql7be"/>
      <w:bookmarkEnd w:id="4"/>
    </w:p>
    <w:p w14:paraId="432F9304" w14:textId="77777777" w:rsidR="001C7FFC" w:rsidRDefault="001C7FFC">
      <w:pPr>
        <w:suppressAutoHyphens/>
        <w:rPr>
          <w:rFonts w:asciiTheme="minorHAnsi" w:hAnsiTheme="minorHAnsi"/>
          <w:b/>
          <w:lang w:val="en-GB"/>
        </w:rPr>
      </w:pPr>
      <w:r>
        <w:rPr>
          <w:rFonts w:asciiTheme="minorHAnsi" w:hAnsiTheme="minorHAnsi"/>
          <w:b/>
          <w:lang w:val="en-GB"/>
        </w:rPr>
        <w:br w:type="page"/>
      </w:r>
    </w:p>
    <w:p w14:paraId="4014A94D" w14:textId="0948A6B1" w:rsidR="007A2027" w:rsidRDefault="00973424">
      <w:pPr>
        <w:rPr>
          <w:rFonts w:asciiTheme="minorHAnsi" w:hAnsiTheme="minorHAnsi"/>
          <w:lang w:val="en-GB"/>
        </w:rPr>
      </w:pPr>
      <w:r w:rsidRPr="007C6F51">
        <w:rPr>
          <w:rFonts w:asciiTheme="minorHAnsi" w:hAnsiTheme="minorHAnsi"/>
          <w:b/>
          <w:lang w:val="en-GB"/>
        </w:rPr>
        <w:lastRenderedPageBreak/>
        <w:t xml:space="preserve">Figure </w:t>
      </w:r>
      <w:r w:rsidR="000A5E64" w:rsidRPr="007C6F51">
        <w:rPr>
          <w:rFonts w:asciiTheme="minorHAnsi" w:hAnsiTheme="minorHAnsi"/>
          <w:b/>
          <w:lang w:val="en-GB"/>
        </w:rPr>
        <w:t>S</w:t>
      </w:r>
      <w:r w:rsidRPr="007C6F51">
        <w:rPr>
          <w:rFonts w:asciiTheme="minorHAnsi" w:hAnsiTheme="minorHAnsi"/>
          <w:b/>
          <w:lang w:val="en-GB"/>
        </w:rPr>
        <w:t>1.</w:t>
      </w:r>
      <w:r w:rsidRPr="007C6F51">
        <w:rPr>
          <w:rFonts w:asciiTheme="minorHAnsi" w:hAnsiTheme="minorHAnsi"/>
          <w:lang w:val="en-GB"/>
        </w:rPr>
        <w:t xml:space="preserve"> Results of scenario modelling for CBC systems under </w:t>
      </w:r>
      <w:proofErr w:type="gramStart"/>
      <w:r w:rsidRPr="007C6F51">
        <w:rPr>
          <w:rFonts w:asciiTheme="minorHAnsi" w:hAnsiTheme="minorHAnsi"/>
          <w:lang w:val="en-GB"/>
        </w:rPr>
        <w:t>business as usual</w:t>
      </w:r>
      <w:proofErr w:type="gramEnd"/>
      <w:r w:rsidRPr="007C6F51">
        <w:rPr>
          <w:rFonts w:asciiTheme="minorHAnsi" w:hAnsiTheme="minorHAnsi"/>
          <w:lang w:val="en-GB"/>
        </w:rPr>
        <w:t xml:space="preserve"> scenario.</w:t>
      </w:r>
    </w:p>
    <w:p w14:paraId="7E8F1180" w14:textId="77777777" w:rsidR="008F460B" w:rsidRDefault="008F460B">
      <w:pPr>
        <w:rPr>
          <w:rFonts w:asciiTheme="minorHAnsi" w:hAnsiTheme="minorHAnsi"/>
          <w:lang w:val="en-GB"/>
        </w:rPr>
      </w:pPr>
    </w:p>
    <w:p w14:paraId="5D9B9ACF" w14:textId="2C813CED" w:rsidR="008F460B" w:rsidRPr="007C6F51" w:rsidRDefault="001C7FFC">
      <w:pPr>
        <w:rPr>
          <w:rFonts w:asciiTheme="minorHAnsi" w:hAnsiTheme="minorHAnsi"/>
          <w:lang w:val="en-GB"/>
        </w:rPr>
      </w:pPr>
      <w:r>
        <w:rPr>
          <w:noProof/>
        </w:rPr>
        <w:drawing>
          <wp:inline distT="0" distB="0" distL="0" distR="0" wp14:anchorId="750B1B9F" wp14:editId="3C05856B">
            <wp:extent cx="5029200" cy="4622160"/>
            <wp:effectExtent l="0" t="0" r="0" b="7620"/>
            <wp:docPr id="1262970913" name="Picture 3"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0913" name="Picture 3" descr="A graph of different colored lin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505" cy="4627036"/>
                    </a:xfrm>
                    <a:prstGeom prst="rect">
                      <a:avLst/>
                    </a:prstGeom>
                    <a:noFill/>
                  </pic:spPr>
                </pic:pic>
              </a:graphicData>
            </a:graphic>
          </wp:inline>
        </w:drawing>
      </w:r>
    </w:p>
    <w:p w14:paraId="73AFBA46" w14:textId="768337C3" w:rsidR="007A2027" w:rsidRPr="007C6F51" w:rsidRDefault="007A2027">
      <w:pPr>
        <w:rPr>
          <w:rFonts w:asciiTheme="minorHAnsi" w:hAnsiTheme="minorHAnsi"/>
          <w:lang w:val="en-GB"/>
        </w:rPr>
      </w:pPr>
    </w:p>
    <w:p w14:paraId="3789FE53" w14:textId="77777777" w:rsidR="007A2027" w:rsidRPr="007C6F51" w:rsidRDefault="007A2027">
      <w:pPr>
        <w:rPr>
          <w:rFonts w:asciiTheme="minorHAnsi" w:hAnsiTheme="minorHAnsi"/>
          <w:lang w:val="en-GB"/>
        </w:rPr>
      </w:pPr>
    </w:p>
    <w:p w14:paraId="4BF20402" w14:textId="77777777" w:rsidR="001C7FFC" w:rsidRDefault="001C7FFC">
      <w:pPr>
        <w:suppressAutoHyphens/>
        <w:rPr>
          <w:rFonts w:asciiTheme="minorHAnsi" w:hAnsiTheme="minorHAnsi"/>
          <w:b/>
          <w:lang w:val="en-GB"/>
        </w:rPr>
      </w:pPr>
      <w:r>
        <w:rPr>
          <w:rFonts w:asciiTheme="minorHAnsi" w:hAnsiTheme="minorHAnsi"/>
          <w:b/>
          <w:lang w:val="en-GB"/>
        </w:rPr>
        <w:br w:type="page"/>
      </w:r>
    </w:p>
    <w:p w14:paraId="43EE8966" w14:textId="3A75956B" w:rsidR="007A2027" w:rsidRDefault="00973424">
      <w:pPr>
        <w:rPr>
          <w:rFonts w:asciiTheme="minorHAnsi" w:hAnsiTheme="minorHAnsi"/>
          <w:lang w:val="en-GB"/>
        </w:rPr>
      </w:pPr>
      <w:r w:rsidRPr="007C6F51">
        <w:rPr>
          <w:rFonts w:asciiTheme="minorHAnsi" w:hAnsiTheme="minorHAnsi"/>
          <w:b/>
          <w:lang w:val="en-GB"/>
        </w:rPr>
        <w:lastRenderedPageBreak/>
        <w:t xml:space="preserve">Figure </w:t>
      </w:r>
      <w:r w:rsidR="000A5E64" w:rsidRPr="007C6F51">
        <w:rPr>
          <w:rFonts w:asciiTheme="minorHAnsi" w:hAnsiTheme="minorHAnsi"/>
          <w:b/>
          <w:lang w:val="en-GB"/>
        </w:rPr>
        <w:t>S</w:t>
      </w:r>
      <w:r w:rsidRPr="007C6F51">
        <w:rPr>
          <w:rFonts w:asciiTheme="minorHAnsi" w:hAnsiTheme="minorHAnsi"/>
          <w:b/>
          <w:lang w:val="en-GB"/>
        </w:rPr>
        <w:t>2.</w:t>
      </w:r>
      <w:r w:rsidRPr="007C6F51">
        <w:rPr>
          <w:rFonts w:asciiTheme="minorHAnsi" w:hAnsiTheme="minorHAnsi"/>
          <w:lang w:val="en-GB"/>
        </w:rPr>
        <w:t xml:space="preserve"> Results of the 3 scenarios for CBC systems </w:t>
      </w:r>
    </w:p>
    <w:p w14:paraId="3E774981" w14:textId="4A8F5F01" w:rsidR="006E4256" w:rsidRPr="007C6F51" w:rsidRDefault="006E4256">
      <w:pPr>
        <w:rPr>
          <w:rFonts w:asciiTheme="minorHAnsi" w:hAnsiTheme="minorHAnsi"/>
          <w:lang w:val="en-GB"/>
        </w:rPr>
      </w:pPr>
      <w:r>
        <w:rPr>
          <w:rFonts w:asciiTheme="minorHAnsi" w:hAnsiTheme="minorHAnsi"/>
          <w:noProof/>
          <w:lang w:val="en-GB"/>
        </w:rPr>
        <w:drawing>
          <wp:inline distT="0" distB="0" distL="0" distR="0" wp14:anchorId="448A48BD" wp14:editId="3EC5EFDA">
            <wp:extent cx="5010150" cy="4867275"/>
            <wp:effectExtent l="0" t="0" r="0" b="9525"/>
            <wp:docPr id="7522258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4867275"/>
                    </a:xfrm>
                    <a:prstGeom prst="rect">
                      <a:avLst/>
                    </a:prstGeom>
                    <a:noFill/>
                  </pic:spPr>
                </pic:pic>
              </a:graphicData>
            </a:graphic>
          </wp:inline>
        </w:drawing>
      </w:r>
    </w:p>
    <w:p w14:paraId="3119E054" w14:textId="77777777" w:rsidR="007A2027" w:rsidRPr="007C6F51" w:rsidRDefault="007A2027">
      <w:pPr>
        <w:rPr>
          <w:rFonts w:asciiTheme="minorHAnsi" w:hAnsiTheme="minorHAnsi"/>
          <w:lang w:val="en-GB"/>
        </w:rPr>
      </w:pPr>
    </w:p>
    <w:p w14:paraId="48BFBAED" w14:textId="639360CB" w:rsidR="007A2027" w:rsidRPr="007C6F51" w:rsidRDefault="007A2027">
      <w:pPr>
        <w:rPr>
          <w:rFonts w:asciiTheme="minorHAnsi" w:hAnsiTheme="minorHAnsi"/>
          <w:lang w:val="en-GB"/>
        </w:rPr>
      </w:pPr>
    </w:p>
    <w:p w14:paraId="7A8A8751" w14:textId="77777777" w:rsidR="006E4256" w:rsidRDefault="006E4256">
      <w:pPr>
        <w:suppressAutoHyphens/>
        <w:rPr>
          <w:rFonts w:asciiTheme="minorHAnsi" w:hAnsiTheme="minorHAnsi"/>
          <w:b/>
          <w:lang w:val="en-GB"/>
        </w:rPr>
      </w:pPr>
      <w:r>
        <w:rPr>
          <w:rFonts w:asciiTheme="minorHAnsi" w:hAnsiTheme="minorHAnsi"/>
          <w:b/>
          <w:lang w:val="en-GB"/>
        </w:rPr>
        <w:br w:type="page"/>
      </w:r>
    </w:p>
    <w:p w14:paraId="197D0699" w14:textId="77777777" w:rsidR="007A2027" w:rsidRPr="007C6F51" w:rsidRDefault="007A2027">
      <w:pPr>
        <w:rPr>
          <w:rFonts w:asciiTheme="minorHAnsi" w:hAnsiTheme="minorHAnsi"/>
          <w:lang w:val="en-GB"/>
        </w:rPr>
      </w:pPr>
    </w:p>
    <w:p w14:paraId="6C72CB75" w14:textId="361C6826" w:rsidR="007A2027" w:rsidRPr="007C6F51" w:rsidRDefault="007A2027">
      <w:pPr>
        <w:rPr>
          <w:rFonts w:asciiTheme="minorHAnsi" w:hAnsiTheme="minorHAnsi"/>
          <w:lang w:val="en-GB"/>
        </w:rPr>
      </w:pPr>
    </w:p>
    <w:p w14:paraId="514820D1" w14:textId="7060C066" w:rsidR="00A75BD7" w:rsidRDefault="00A75BD7">
      <w:pPr>
        <w:rPr>
          <w:rFonts w:asciiTheme="minorHAnsi" w:hAnsiTheme="minorHAnsi"/>
          <w:b/>
          <w:lang w:val="en-GB"/>
        </w:rPr>
      </w:pPr>
    </w:p>
    <w:p w14:paraId="7ACD44E1" w14:textId="77777777" w:rsidR="00A75BD7" w:rsidRDefault="00A75BD7">
      <w:pPr>
        <w:rPr>
          <w:rFonts w:asciiTheme="minorHAnsi" w:hAnsiTheme="minorHAnsi"/>
          <w:b/>
          <w:lang w:val="en-GB"/>
        </w:rPr>
      </w:pPr>
    </w:p>
    <w:p w14:paraId="58D4580C" w14:textId="77777777" w:rsidR="007A2027" w:rsidRPr="007C6F51" w:rsidRDefault="007A2027">
      <w:pPr>
        <w:pStyle w:val="Heading2"/>
        <w:keepNext w:val="0"/>
        <w:keepLines w:val="0"/>
        <w:spacing w:before="200" w:after="0"/>
        <w:rPr>
          <w:rFonts w:asciiTheme="minorHAnsi" w:eastAsia="Calibri" w:hAnsiTheme="minorHAnsi"/>
          <w:b/>
          <w:color w:val="4F81BD"/>
        </w:rPr>
      </w:pPr>
    </w:p>
    <w:p w14:paraId="6542B4E6" w14:textId="77777777" w:rsidR="007A2027" w:rsidRPr="007C6F51" w:rsidRDefault="007A2027">
      <w:pPr>
        <w:rPr>
          <w:rFonts w:asciiTheme="minorHAnsi" w:hAnsiTheme="minorHAnsi"/>
          <w:lang w:val="en-GB"/>
        </w:rPr>
      </w:pPr>
    </w:p>
    <w:p w14:paraId="4B22D503" w14:textId="77777777" w:rsidR="007A2027" w:rsidRPr="007C6F51" w:rsidRDefault="007A2027">
      <w:pPr>
        <w:rPr>
          <w:rFonts w:asciiTheme="minorHAnsi" w:hAnsiTheme="minorHAnsi"/>
          <w:lang w:val="en-GB"/>
        </w:rPr>
      </w:pPr>
    </w:p>
    <w:p w14:paraId="1252BECA" w14:textId="33590866" w:rsidR="007A2027" w:rsidRPr="007C6F51" w:rsidRDefault="006D76F4">
      <w:pPr>
        <w:pStyle w:val="Heading2"/>
        <w:keepNext w:val="0"/>
        <w:keepLines w:val="0"/>
        <w:spacing w:before="200" w:after="0"/>
        <w:rPr>
          <w:rFonts w:asciiTheme="minorHAnsi" w:eastAsia="Calibri" w:hAnsiTheme="minorHAnsi"/>
          <w:b/>
          <w:color w:val="4F81BD"/>
        </w:rPr>
      </w:pPr>
      <w:r w:rsidRPr="007C6F51">
        <w:rPr>
          <w:rFonts w:asciiTheme="minorHAnsi" w:eastAsia="Calibri" w:hAnsiTheme="minorHAnsi"/>
          <w:b/>
          <w:color w:val="4F81BD"/>
        </w:rPr>
        <w:t>Text S</w:t>
      </w:r>
      <w:r w:rsidR="00973424" w:rsidRPr="007C6F51">
        <w:rPr>
          <w:rFonts w:asciiTheme="minorHAnsi" w:eastAsia="Calibri" w:hAnsiTheme="minorHAnsi"/>
          <w:b/>
          <w:color w:val="4F81BD"/>
        </w:rPr>
        <w:t>3. Shelf sea carbon management potential</w:t>
      </w:r>
    </w:p>
    <w:p w14:paraId="0B6E180A" w14:textId="77777777" w:rsidR="007A2027" w:rsidRPr="007C6F51" w:rsidRDefault="00973424">
      <w:pPr>
        <w:pStyle w:val="Heading3"/>
        <w:rPr>
          <w:rFonts w:asciiTheme="minorHAnsi" w:hAnsiTheme="minorHAnsi"/>
        </w:rPr>
      </w:pPr>
      <w:bookmarkStart w:id="5" w:name="_ivxr3rsd25yt"/>
      <w:bookmarkEnd w:id="5"/>
      <w:r w:rsidRPr="007C6F51">
        <w:rPr>
          <w:rFonts w:asciiTheme="minorHAnsi" w:hAnsiTheme="minorHAnsi"/>
        </w:rPr>
        <w:t>3.1 Near-shore macroalgal aquaculture</w:t>
      </w:r>
    </w:p>
    <w:p w14:paraId="199CE425" w14:textId="65275CCC"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Here we consider the potential benefits of targeted intensive seaweed aquaculture to capture anthropogenic nutrient fluxes from rivers. Gruber and Galloway (2008) estimate 50</w:t>
      </w:r>
      <w:r w:rsidR="00280C18" w:rsidRPr="007C6F51">
        <w:rPr>
          <w:rFonts w:asciiTheme="minorHAnsi" w:eastAsia="Cambria" w:hAnsiTheme="minorHAnsi"/>
          <w:lang w:val="en-GB"/>
        </w:rPr>
        <w:t xml:space="preserve"> </w:t>
      </w:r>
      <w:proofErr w:type="spellStart"/>
      <w:r w:rsidRPr="007C6F51">
        <w:rPr>
          <w:rFonts w:asciiTheme="minorHAnsi" w:eastAsia="Cambria" w:hAnsiTheme="minorHAnsi"/>
          <w:lang w:val="en-GB"/>
        </w:rPr>
        <w:t>Tg</w:t>
      </w:r>
      <w:proofErr w:type="spellEnd"/>
      <w:r w:rsidR="00280C18" w:rsidRPr="007C6F51">
        <w:rPr>
          <w:rFonts w:asciiTheme="minorHAnsi" w:eastAsia="Cambria" w:hAnsiTheme="minorHAnsi"/>
          <w:lang w:val="en-GB"/>
        </w:rPr>
        <w:t>-</w:t>
      </w:r>
      <w:r w:rsidRPr="007C6F51">
        <w:rPr>
          <w:rFonts w:asciiTheme="minorHAnsi" w:eastAsia="Cambria" w:hAnsiTheme="minorHAnsi"/>
          <w:lang w:val="en-GB"/>
        </w:rPr>
        <w:t>N of anthropogenic origin flow</w:t>
      </w:r>
      <w:r w:rsidR="00280C18" w:rsidRPr="007C6F51">
        <w:rPr>
          <w:rFonts w:asciiTheme="minorHAnsi" w:eastAsia="Cambria" w:hAnsiTheme="minorHAnsi"/>
          <w:lang w:val="en-GB"/>
        </w:rPr>
        <w:t>s</w:t>
      </w:r>
      <w:r w:rsidRPr="007C6F51">
        <w:rPr>
          <w:rFonts w:asciiTheme="minorHAnsi" w:eastAsia="Cambria" w:hAnsiTheme="minorHAnsi"/>
          <w:lang w:val="en-GB"/>
        </w:rPr>
        <w:t xml:space="preserve"> down rivers. The N input to shelf seas could conceivably increase 5-fold by 2100 in a high-bioenergy scenario, or reduce to 50% of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current value in a high nutrient management scenario (</w:t>
      </w:r>
      <w:proofErr w:type="spellStart"/>
      <w:r w:rsidRPr="007C6F51">
        <w:rPr>
          <w:rFonts w:asciiTheme="minorHAnsi" w:eastAsia="Cambria" w:hAnsiTheme="minorHAnsi"/>
          <w:lang w:val="en-GB"/>
        </w:rPr>
        <w:t>Riahi</w:t>
      </w:r>
      <w:proofErr w:type="spellEnd"/>
      <w:r w:rsidRPr="007C6F51">
        <w:rPr>
          <w:rFonts w:asciiTheme="minorHAnsi" w:eastAsia="Cambria" w:hAnsiTheme="minorHAnsi"/>
          <w:lang w:val="en-GB"/>
        </w:rPr>
        <w:t xml:space="preserve"> et al., 2017</w:t>
      </w:r>
      <w:r w:rsidR="009F31C8" w:rsidRPr="007C6F51">
        <w:rPr>
          <w:rFonts w:asciiTheme="minorHAnsi" w:eastAsia="Cambria" w:hAnsiTheme="minorHAnsi"/>
          <w:lang w:val="en-GB"/>
        </w:rPr>
        <w:t xml:space="preserve">). </w:t>
      </w:r>
      <w:r w:rsidRPr="007C6F51">
        <w:rPr>
          <w:rFonts w:asciiTheme="minorHAnsi" w:eastAsia="Cambria" w:hAnsiTheme="minorHAnsi"/>
          <w:lang w:val="en-GB"/>
        </w:rPr>
        <w:t xml:space="preserve">We assume 50% of current N input can be captured by coastal aquaculture by 2030 (the ‘low hanging fruit’ in the study of </w:t>
      </w:r>
      <w:proofErr w:type="spellStart"/>
      <w:r w:rsidRPr="007C6F51">
        <w:rPr>
          <w:rFonts w:asciiTheme="minorHAnsi" w:eastAsia="Cambria" w:hAnsiTheme="minorHAnsi"/>
          <w:lang w:val="en-GB"/>
        </w:rPr>
        <w:t>Lehan</w:t>
      </w:r>
      <w:proofErr w:type="spellEnd"/>
      <w:r w:rsidRPr="007C6F51">
        <w:rPr>
          <w:rFonts w:asciiTheme="minorHAnsi" w:eastAsia="Cambria" w:hAnsiTheme="minorHAnsi"/>
          <w:lang w:val="en-GB"/>
        </w:rPr>
        <w:t xml:space="preserve"> et al</w:t>
      </w:r>
      <w:r w:rsidR="000A5E64" w:rsidRPr="007C6F51">
        <w:rPr>
          <w:rFonts w:asciiTheme="minorHAnsi" w:eastAsia="Cambria" w:hAnsiTheme="minorHAnsi"/>
          <w:lang w:val="en-GB"/>
        </w:rPr>
        <w:t>.</w:t>
      </w:r>
      <w:r w:rsidRPr="007C6F51">
        <w:rPr>
          <w:rFonts w:asciiTheme="minorHAnsi" w:eastAsia="Cambria" w:hAnsiTheme="minorHAnsi"/>
          <w:lang w:val="en-GB"/>
        </w:rPr>
        <w:t xml:space="preserve">, </w:t>
      </w:r>
      <w:r w:rsidR="00701A8F" w:rsidRPr="007C6F51">
        <w:rPr>
          <w:rFonts w:asciiTheme="minorHAnsi" w:eastAsia="Cambria" w:hAnsiTheme="minorHAnsi"/>
          <w:lang w:val="en-GB"/>
        </w:rPr>
        <w:t>2016</w:t>
      </w:r>
      <w:r w:rsidRPr="007C6F51">
        <w:rPr>
          <w:rFonts w:asciiTheme="minorHAnsi" w:eastAsia="Cambria" w:hAnsiTheme="minorHAnsi"/>
          <w:lang w:val="en-GB"/>
        </w:rPr>
        <w:t xml:space="preserve">). </w:t>
      </w:r>
    </w:p>
    <w:p w14:paraId="32E90EDF" w14:textId="4A2E07A2"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Assuming 50% of this N could be transferred into macroalgal biomass in intensive ‘farms’ at river mouths, and a seaweed </w:t>
      </w:r>
      <w:proofErr w:type="gramStart"/>
      <w:r w:rsidRPr="007C6F51">
        <w:rPr>
          <w:rFonts w:asciiTheme="minorHAnsi" w:eastAsia="Cambria" w:hAnsiTheme="minorHAnsi"/>
          <w:lang w:val="en-GB"/>
        </w:rPr>
        <w:t>C:N</w:t>
      </w:r>
      <w:proofErr w:type="gramEnd"/>
      <w:r w:rsidRPr="007C6F51">
        <w:rPr>
          <w:rFonts w:asciiTheme="minorHAnsi" w:eastAsia="Cambria" w:hAnsiTheme="minorHAnsi"/>
          <w:lang w:val="en-GB"/>
        </w:rPr>
        <w:t xml:space="preserve"> of 18, this would represent (12/15)*50*18 = 720 </w:t>
      </w:r>
      <w:proofErr w:type="spellStart"/>
      <w:r w:rsidRPr="007C6F51">
        <w:rPr>
          <w:rFonts w:asciiTheme="minorHAnsi" w:eastAsia="Cambria" w:hAnsiTheme="minorHAnsi"/>
          <w:lang w:val="en-GB"/>
        </w:rPr>
        <w:t>Tg</w:t>
      </w:r>
      <w:proofErr w:type="spellEnd"/>
      <w:r w:rsidRPr="007C6F51">
        <w:rPr>
          <w:rFonts w:asciiTheme="minorHAnsi" w:eastAsia="Cambria" w:hAnsiTheme="minorHAnsi"/>
          <w:lang w:val="en-GB"/>
        </w:rPr>
        <w:t xml:space="preserve"> C yr</w:t>
      </w:r>
      <w:r w:rsidRPr="007C6F51">
        <w:rPr>
          <w:rFonts w:asciiTheme="minorHAnsi" w:eastAsia="Cambria" w:hAnsiTheme="minorHAnsi"/>
          <w:vertAlign w:val="superscript"/>
          <w:lang w:val="en-GB"/>
        </w:rPr>
        <w:t>-1</w:t>
      </w:r>
      <w:r w:rsidRPr="007C6F51">
        <w:rPr>
          <w:rFonts w:asciiTheme="minorHAnsi" w:eastAsia="Cambria" w:hAnsiTheme="minorHAnsi"/>
          <w:lang w:val="en-GB"/>
        </w:rPr>
        <w:t>. At a high productivity of 2</w:t>
      </w:r>
      <w:r w:rsidR="001F0AF9" w:rsidRPr="007C6F51">
        <w:rPr>
          <w:rFonts w:asciiTheme="minorHAnsi" w:eastAsia="Cambria" w:hAnsiTheme="minorHAnsi"/>
          <w:lang w:val="en-GB"/>
        </w:rPr>
        <w:t>,</w:t>
      </w:r>
      <w:r w:rsidRPr="007C6F51">
        <w:rPr>
          <w:rFonts w:asciiTheme="minorHAnsi" w:eastAsia="Cambria" w:hAnsiTheme="minorHAnsi"/>
          <w:lang w:val="en-GB"/>
        </w:rPr>
        <w:t>500</w:t>
      </w:r>
      <w:r w:rsidR="001F0AF9" w:rsidRPr="007C6F51">
        <w:rPr>
          <w:rFonts w:asciiTheme="minorHAnsi" w:eastAsia="Cambria" w:hAnsiTheme="minorHAnsi"/>
          <w:lang w:val="en-GB"/>
        </w:rPr>
        <w:t xml:space="preserve"> </w:t>
      </w:r>
      <w:r w:rsidRPr="007C6F51">
        <w:rPr>
          <w:rFonts w:asciiTheme="minorHAnsi" w:eastAsia="Cambria" w:hAnsiTheme="minorHAnsi"/>
          <w:lang w:val="en-GB"/>
        </w:rPr>
        <w:t>g C 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w:t>
      </w:r>
      <w:proofErr w:type="spellStart"/>
      <w:r w:rsidR="002D2ED0" w:rsidRPr="007C6F51">
        <w:rPr>
          <w:rFonts w:asciiTheme="minorHAnsi" w:hAnsiTheme="minorHAnsi"/>
        </w:rPr>
        <w:t>Lüning</w:t>
      </w:r>
      <w:proofErr w:type="spellEnd"/>
      <w:r w:rsidRPr="007C6F51">
        <w:rPr>
          <w:rFonts w:asciiTheme="minorHAnsi" w:eastAsia="Cambria" w:hAnsiTheme="minorHAnsi"/>
          <w:lang w:val="en-GB"/>
        </w:rPr>
        <w:t xml:space="preserve"> et al., 2003) this would require 720 x10</w:t>
      </w:r>
      <w:r w:rsidRPr="007C6F51">
        <w:rPr>
          <w:rFonts w:asciiTheme="minorHAnsi" w:eastAsia="Cambria" w:hAnsiTheme="minorHAnsi"/>
          <w:vertAlign w:val="superscript"/>
          <w:lang w:val="en-GB"/>
        </w:rPr>
        <w:t xml:space="preserve">12 </w:t>
      </w:r>
      <w:r w:rsidRPr="007C6F51">
        <w:rPr>
          <w:rFonts w:asciiTheme="minorHAnsi" w:eastAsia="Cambria" w:hAnsiTheme="minorHAnsi"/>
          <w:lang w:val="en-GB"/>
        </w:rPr>
        <w:t>/ 2.5 x10</w:t>
      </w:r>
      <w:r w:rsidRPr="007C6F51">
        <w:rPr>
          <w:rFonts w:asciiTheme="minorHAnsi" w:eastAsia="Cambria" w:hAnsiTheme="minorHAnsi"/>
          <w:vertAlign w:val="superscript"/>
          <w:lang w:val="en-GB"/>
        </w:rPr>
        <w:t>3</w:t>
      </w:r>
      <w:r w:rsidRPr="007C6F51">
        <w:rPr>
          <w:rFonts w:asciiTheme="minorHAnsi" w:eastAsia="Cambria" w:hAnsiTheme="minorHAnsi"/>
          <w:lang w:val="en-GB"/>
        </w:rPr>
        <w:t xml:space="preserve"> = 288000 km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w:t>
      </w:r>
      <w:r w:rsidR="009F31C8" w:rsidRPr="007C6F51">
        <w:rPr>
          <w:rFonts w:asciiTheme="minorHAnsi" w:eastAsia="Cambria" w:hAnsiTheme="minorHAnsi"/>
          <w:lang w:val="en-GB"/>
        </w:rPr>
        <w:t xml:space="preserve">of the </w:t>
      </w:r>
      <w:r w:rsidRPr="007C6F51">
        <w:rPr>
          <w:rFonts w:asciiTheme="minorHAnsi" w:eastAsia="Cambria" w:hAnsiTheme="minorHAnsi"/>
          <w:lang w:val="en-GB"/>
        </w:rPr>
        <w:t>coastal ocean or a coastal strip 10 km wide and 30</w:t>
      </w:r>
      <w:r w:rsidR="001F0AF9" w:rsidRPr="007C6F51">
        <w:rPr>
          <w:rFonts w:asciiTheme="minorHAnsi" w:eastAsia="Cambria" w:hAnsiTheme="minorHAnsi"/>
          <w:lang w:val="en-GB"/>
        </w:rPr>
        <w:t>,</w:t>
      </w:r>
      <w:r w:rsidRPr="007C6F51">
        <w:rPr>
          <w:rFonts w:asciiTheme="minorHAnsi" w:eastAsia="Cambria" w:hAnsiTheme="minorHAnsi"/>
          <w:lang w:val="en-GB"/>
        </w:rPr>
        <w:t>000 km long. The global coastline is about 1x10</w:t>
      </w:r>
      <w:r w:rsidRPr="007C6F51">
        <w:rPr>
          <w:rFonts w:asciiTheme="minorHAnsi" w:eastAsia="Cambria" w:hAnsiTheme="minorHAnsi"/>
          <w:vertAlign w:val="superscript"/>
          <w:lang w:val="en-GB"/>
        </w:rPr>
        <w:t>6</w:t>
      </w:r>
      <w:r w:rsidRPr="007C6F51">
        <w:rPr>
          <w:rFonts w:asciiTheme="minorHAnsi" w:eastAsia="Cambria" w:hAnsiTheme="minorHAnsi"/>
          <w:lang w:val="en-GB"/>
        </w:rPr>
        <w:t xml:space="preserve"> km long so about 3% of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 xml:space="preserve">global coastline would be used in this case. Given that near-shore seaweed aquaculture is already established technology </w:t>
      </w:r>
      <w:r w:rsidR="00E95CE7" w:rsidRPr="007C6F51">
        <w:rPr>
          <w:rFonts w:asciiTheme="minorHAnsi" w:eastAsia="Cambria" w:hAnsiTheme="minorHAnsi"/>
          <w:lang w:val="en-GB"/>
        </w:rPr>
        <w:t>we assume</w:t>
      </w:r>
      <w:r w:rsidRPr="007C6F51">
        <w:rPr>
          <w:rFonts w:asciiTheme="minorHAnsi" w:eastAsia="Cambria" w:hAnsiTheme="minorHAnsi"/>
          <w:lang w:val="en-GB"/>
        </w:rPr>
        <w:t xml:space="preserve"> that linear growth to maximum capacity in 2050 is achievable and model</w:t>
      </w:r>
      <w:r w:rsidR="00DA73A6" w:rsidRPr="007C6F51">
        <w:rPr>
          <w:rFonts w:asciiTheme="minorHAnsi" w:eastAsia="Cambria" w:hAnsiTheme="minorHAnsi"/>
          <w:lang w:val="en-GB"/>
        </w:rPr>
        <w:t xml:space="preserve"> the resulting</w:t>
      </w:r>
      <w:r w:rsidRPr="007C6F51">
        <w:rPr>
          <w:rFonts w:asciiTheme="minorHAnsi" w:eastAsia="Cambria" w:hAnsiTheme="minorHAnsi"/>
          <w:lang w:val="en-GB"/>
        </w:rPr>
        <w:t xml:space="preserve"> C sequestration accordingly. However, at current growth rates Duarte et al</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DA73A6" w:rsidRPr="007C6F51">
        <w:rPr>
          <w:rFonts w:asciiTheme="minorHAnsi" w:eastAsia="Cambria" w:hAnsiTheme="minorHAnsi"/>
          <w:lang w:val="en-GB"/>
        </w:rPr>
        <w:t>(</w:t>
      </w:r>
      <w:r w:rsidRPr="007C6F51">
        <w:rPr>
          <w:rFonts w:asciiTheme="minorHAnsi" w:eastAsia="Cambria" w:hAnsiTheme="minorHAnsi"/>
          <w:lang w:val="en-GB"/>
        </w:rPr>
        <w:t>2017</w:t>
      </w:r>
      <w:r w:rsidR="00DA73A6" w:rsidRPr="007C6F51">
        <w:rPr>
          <w:rFonts w:asciiTheme="minorHAnsi" w:eastAsia="Cambria" w:hAnsiTheme="minorHAnsi"/>
          <w:lang w:val="en-GB"/>
        </w:rPr>
        <w:t>)</w:t>
      </w:r>
      <w:r w:rsidRPr="007C6F51">
        <w:rPr>
          <w:rFonts w:asciiTheme="minorHAnsi" w:eastAsia="Cambria" w:hAnsiTheme="minorHAnsi"/>
          <w:lang w:val="en-GB"/>
        </w:rPr>
        <w:t xml:space="preserve"> estimate </w:t>
      </w:r>
      <w:r w:rsidR="009F31C8" w:rsidRPr="007C6F51">
        <w:rPr>
          <w:rFonts w:asciiTheme="minorHAnsi" w:eastAsia="Cambria" w:hAnsiTheme="minorHAnsi"/>
          <w:lang w:val="en-GB"/>
        </w:rPr>
        <w:t xml:space="preserve">a </w:t>
      </w:r>
      <w:r w:rsidRPr="007C6F51">
        <w:rPr>
          <w:rFonts w:asciiTheme="minorHAnsi" w:eastAsia="Cambria" w:hAnsiTheme="minorHAnsi"/>
          <w:lang w:val="en-GB"/>
        </w:rPr>
        <w:t>maximum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sequestration capacity of ~10 </w:t>
      </w:r>
      <w:proofErr w:type="spellStart"/>
      <w:r w:rsidRPr="007C6F51">
        <w:rPr>
          <w:rFonts w:asciiTheme="minorHAnsi" w:eastAsia="Cambria" w:hAnsiTheme="minorHAnsi"/>
          <w:lang w:val="en-GB"/>
        </w:rPr>
        <w:t>Tg</w:t>
      </w:r>
      <w:proofErr w:type="spellEnd"/>
      <w:r w:rsidRPr="007C6F51">
        <w:rPr>
          <w:rFonts w:asciiTheme="minorHAnsi" w:eastAsia="Cambria" w:hAnsiTheme="minorHAnsi"/>
          <w:lang w:val="en-GB"/>
        </w:rPr>
        <w:t xml:space="preserve">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by 2050 so clearly a massive, rapid mobilisation of resources would be necessary to enable such a scale of action. </w:t>
      </w:r>
    </w:p>
    <w:p w14:paraId="31EC5A07" w14:textId="62E7BDE5"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The three scenarios projected to give a potential range of values are summarised in Table S3 and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 xml:space="preserve">results of the scenarios </w:t>
      </w:r>
      <w:r w:rsidR="009F31C8" w:rsidRPr="007C6F51">
        <w:rPr>
          <w:rFonts w:asciiTheme="minorHAnsi" w:eastAsia="Cambria" w:hAnsiTheme="minorHAnsi"/>
          <w:lang w:val="en-GB"/>
        </w:rPr>
        <w:t xml:space="preserve">are </w:t>
      </w:r>
      <w:r w:rsidRPr="007C6F51">
        <w:rPr>
          <w:rFonts w:asciiTheme="minorHAnsi" w:eastAsia="Cambria" w:hAnsiTheme="minorHAnsi"/>
          <w:lang w:val="en-GB"/>
        </w:rPr>
        <w:t>presented in Figure S</w:t>
      </w:r>
      <w:r w:rsidR="00C527CA">
        <w:rPr>
          <w:rFonts w:asciiTheme="minorHAnsi" w:eastAsia="Cambria" w:hAnsiTheme="minorHAnsi"/>
          <w:lang w:val="en-GB"/>
        </w:rPr>
        <w:t>3</w:t>
      </w:r>
      <w:r w:rsidRPr="007C6F51">
        <w:rPr>
          <w:rFonts w:asciiTheme="minorHAnsi" w:eastAsia="Cambria" w:hAnsiTheme="minorHAnsi"/>
          <w:lang w:val="en-GB"/>
        </w:rPr>
        <w:t>.</w:t>
      </w:r>
    </w:p>
    <w:p w14:paraId="5346904A" w14:textId="39BBCA2C"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b/>
          <w:lang w:val="en-GB"/>
        </w:rPr>
        <w:t>Table S3.</w:t>
      </w:r>
      <w:r w:rsidRPr="007C6F51">
        <w:rPr>
          <w:rFonts w:asciiTheme="minorHAnsi" w:eastAsia="Cambria" w:hAnsiTheme="minorHAnsi"/>
          <w:lang w:val="en-GB"/>
        </w:rPr>
        <w:t xml:space="preserve"> Scenario modelling details for</w:t>
      </w:r>
      <w:r w:rsidR="0046544F" w:rsidRPr="007C6F51">
        <w:rPr>
          <w:rFonts w:asciiTheme="minorHAnsi" w:eastAsia="Cambria" w:hAnsiTheme="minorHAnsi"/>
          <w:lang w:val="en-GB"/>
        </w:rPr>
        <w:t xml:space="preserve"> near-shore</w:t>
      </w:r>
      <w:r w:rsidRPr="007C6F51">
        <w:rPr>
          <w:rFonts w:asciiTheme="minorHAnsi" w:eastAsia="Cambria" w:hAnsiTheme="minorHAnsi"/>
          <w:lang w:val="en-GB"/>
        </w:rPr>
        <w:t xml:space="preserve"> macroalgal aquaculture</w:t>
      </w:r>
    </w:p>
    <w:tbl>
      <w:tblPr>
        <w:tblStyle w:val="TableGrid"/>
        <w:tblW w:w="9019" w:type="dxa"/>
        <w:tblInd w:w="113" w:type="dxa"/>
        <w:tblLayout w:type="fixed"/>
        <w:tblLook w:val="04A0" w:firstRow="1" w:lastRow="0" w:firstColumn="1" w:lastColumn="0" w:noHBand="0" w:noVBand="1"/>
      </w:tblPr>
      <w:tblGrid>
        <w:gridCol w:w="1534"/>
        <w:gridCol w:w="1711"/>
        <w:gridCol w:w="1711"/>
        <w:gridCol w:w="1710"/>
        <w:gridCol w:w="1337"/>
        <w:gridCol w:w="1016"/>
      </w:tblGrid>
      <w:tr w:rsidR="007A2027" w:rsidRPr="001B3152" w14:paraId="3023F7C0" w14:textId="77777777">
        <w:tc>
          <w:tcPr>
            <w:tcW w:w="1533" w:type="dxa"/>
          </w:tcPr>
          <w:p w14:paraId="551A473D"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Scenario</w:t>
            </w:r>
          </w:p>
        </w:tc>
        <w:tc>
          <w:tcPr>
            <w:tcW w:w="1711" w:type="dxa"/>
          </w:tcPr>
          <w:p w14:paraId="6C2BDFA0" w14:textId="2492F346"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 xml:space="preserve">N flux driving productivity now </w:t>
            </w:r>
            <w:r w:rsidR="001F0AF9" w:rsidRPr="007C6F51">
              <w:rPr>
                <w:rFonts w:asciiTheme="minorHAnsi" w:eastAsia="Cambria" w:hAnsiTheme="minorHAnsi"/>
                <w:b/>
                <w:lang w:val="en-GB"/>
              </w:rPr>
              <w:t>(</w:t>
            </w:r>
            <w:proofErr w:type="spellStart"/>
            <w:r w:rsidRPr="007C6F51">
              <w:rPr>
                <w:rFonts w:asciiTheme="minorHAnsi" w:eastAsia="Cambria" w:hAnsiTheme="minorHAnsi"/>
                <w:b/>
                <w:lang w:val="en-GB"/>
              </w:rPr>
              <w:t>Tg</w:t>
            </w:r>
            <w:proofErr w:type="spellEnd"/>
            <w:r w:rsidRPr="007C6F51">
              <w:rPr>
                <w:rFonts w:asciiTheme="minorHAnsi" w:eastAsia="Cambria" w:hAnsiTheme="minorHAnsi"/>
                <w:b/>
                <w:lang w:val="en-GB"/>
              </w:rPr>
              <w:t xml:space="preserve"> N yr</w:t>
            </w:r>
            <w:r w:rsidRPr="007C6F51">
              <w:rPr>
                <w:rFonts w:asciiTheme="minorHAnsi" w:eastAsia="Cambria" w:hAnsiTheme="minorHAnsi"/>
                <w:b/>
                <w:vertAlign w:val="superscript"/>
                <w:lang w:val="en-GB"/>
              </w:rPr>
              <w:t>-1</w:t>
            </w:r>
            <w:r w:rsidR="001F0AF9" w:rsidRPr="007C6F51">
              <w:rPr>
                <w:rFonts w:asciiTheme="minorHAnsi" w:eastAsia="Cambria" w:hAnsiTheme="minorHAnsi"/>
                <w:b/>
                <w:lang w:val="en-GB"/>
              </w:rPr>
              <w:t>)</w:t>
            </w:r>
          </w:p>
        </w:tc>
        <w:tc>
          <w:tcPr>
            <w:tcW w:w="1711" w:type="dxa"/>
          </w:tcPr>
          <w:p w14:paraId="6A2EEF9D"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N flux driving productivity in 2050</w:t>
            </w:r>
          </w:p>
        </w:tc>
        <w:tc>
          <w:tcPr>
            <w:tcW w:w="1710" w:type="dxa"/>
          </w:tcPr>
          <w:p w14:paraId="25AB48DB"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Year in which maximum productivity reached</w:t>
            </w:r>
          </w:p>
        </w:tc>
        <w:tc>
          <w:tcPr>
            <w:tcW w:w="1337" w:type="dxa"/>
          </w:tcPr>
          <w:p w14:paraId="3716C5D6"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 xml:space="preserve">Seaweed </w:t>
            </w:r>
            <w:proofErr w:type="gramStart"/>
            <w:r w:rsidRPr="007C6F51">
              <w:rPr>
                <w:rFonts w:asciiTheme="minorHAnsi" w:eastAsia="Cambria" w:hAnsiTheme="minorHAnsi"/>
                <w:b/>
                <w:lang w:val="en-GB"/>
              </w:rPr>
              <w:t>C:N</w:t>
            </w:r>
            <w:proofErr w:type="gramEnd"/>
          </w:p>
        </w:tc>
        <w:tc>
          <w:tcPr>
            <w:tcW w:w="1016" w:type="dxa"/>
          </w:tcPr>
          <w:p w14:paraId="7FB07922"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Fraction of total N flux utilised</w:t>
            </w:r>
          </w:p>
        </w:tc>
      </w:tr>
      <w:tr w:rsidR="007A2027" w:rsidRPr="001B3152" w14:paraId="2C843A2C" w14:textId="77777777">
        <w:tc>
          <w:tcPr>
            <w:tcW w:w="1533" w:type="dxa"/>
          </w:tcPr>
          <w:p w14:paraId="6EE457E4"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Min</w:t>
            </w:r>
          </w:p>
        </w:tc>
        <w:tc>
          <w:tcPr>
            <w:tcW w:w="1711" w:type="dxa"/>
          </w:tcPr>
          <w:p w14:paraId="490CA92F"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50</w:t>
            </w:r>
          </w:p>
        </w:tc>
        <w:tc>
          <w:tcPr>
            <w:tcW w:w="1711" w:type="dxa"/>
          </w:tcPr>
          <w:p w14:paraId="05C34486"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25</w:t>
            </w:r>
          </w:p>
        </w:tc>
        <w:tc>
          <w:tcPr>
            <w:tcW w:w="1710" w:type="dxa"/>
          </w:tcPr>
          <w:p w14:paraId="2F2870FE"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2050</w:t>
            </w:r>
          </w:p>
        </w:tc>
        <w:tc>
          <w:tcPr>
            <w:tcW w:w="1337" w:type="dxa"/>
          </w:tcPr>
          <w:p w14:paraId="3D838F79"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18</w:t>
            </w:r>
          </w:p>
        </w:tc>
        <w:tc>
          <w:tcPr>
            <w:tcW w:w="1016" w:type="dxa"/>
          </w:tcPr>
          <w:p w14:paraId="7B23EE91"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0.5</w:t>
            </w:r>
          </w:p>
        </w:tc>
      </w:tr>
      <w:tr w:rsidR="007A2027" w:rsidRPr="001B3152" w14:paraId="1C0A217C" w14:textId="77777777">
        <w:tc>
          <w:tcPr>
            <w:tcW w:w="1533" w:type="dxa"/>
          </w:tcPr>
          <w:p w14:paraId="67B86972"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Medium</w:t>
            </w:r>
          </w:p>
        </w:tc>
        <w:tc>
          <w:tcPr>
            <w:tcW w:w="1711" w:type="dxa"/>
          </w:tcPr>
          <w:p w14:paraId="28B234D9"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50</w:t>
            </w:r>
          </w:p>
        </w:tc>
        <w:tc>
          <w:tcPr>
            <w:tcW w:w="1711" w:type="dxa"/>
          </w:tcPr>
          <w:p w14:paraId="57A23B07"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50</w:t>
            </w:r>
          </w:p>
        </w:tc>
        <w:tc>
          <w:tcPr>
            <w:tcW w:w="1710" w:type="dxa"/>
          </w:tcPr>
          <w:p w14:paraId="05BF5F5A"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2050</w:t>
            </w:r>
          </w:p>
        </w:tc>
        <w:tc>
          <w:tcPr>
            <w:tcW w:w="1337" w:type="dxa"/>
          </w:tcPr>
          <w:p w14:paraId="19B9B113"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18</w:t>
            </w:r>
          </w:p>
        </w:tc>
        <w:tc>
          <w:tcPr>
            <w:tcW w:w="1016" w:type="dxa"/>
          </w:tcPr>
          <w:p w14:paraId="03CAF448"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0.5</w:t>
            </w:r>
          </w:p>
        </w:tc>
      </w:tr>
      <w:tr w:rsidR="007A2027" w:rsidRPr="001B3152" w14:paraId="740693D9" w14:textId="77777777">
        <w:tc>
          <w:tcPr>
            <w:tcW w:w="1533" w:type="dxa"/>
          </w:tcPr>
          <w:p w14:paraId="4BB355C8"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lastRenderedPageBreak/>
              <w:t>Max</w:t>
            </w:r>
          </w:p>
        </w:tc>
        <w:tc>
          <w:tcPr>
            <w:tcW w:w="1711" w:type="dxa"/>
          </w:tcPr>
          <w:p w14:paraId="39EEBB4A"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50</w:t>
            </w:r>
          </w:p>
        </w:tc>
        <w:tc>
          <w:tcPr>
            <w:tcW w:w="1711" w:type="dxa"/>
          </w:tcPr>
          <w:p w14:paraId="1693D35D"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250</w:t>
            </w:r>
          </w:p>
        </w:tc>
        <w:tc>
          <w:tcPr>
            <w:tcW w:w="1710" w:type="dxa"/>
          </w:tcPr>
          <w:p w14:paraId="40204338"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2050</w:t>
            </w:r>
          </w:p>
        </w:tc>
        <w:tc>
          <w:tcPr>
            <w:tcW w:w="1337" w:type="dxa"/>
          </w:tcPr>
          <w:p w14:paraId="30BF8A2B"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18</w:t>
            </w:r>
          </w:p>
        </w:tc>
        <w:tc>
          <w:tcPr>
            <w:tcW w:w="1016" w:type="dxa"/>
          </w:tcPr>
          <w:p w14:paraId="3F2470C2"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0.5</w:t>
            </w:r>
          </w:p>
        </w:tc>
      </w:tr>
    </w:tbl>
    <w:p w14:paraId="3B62CFB6" w14:textId="77777777" w:rsidR="007A2027" w:rsidRPr="007C6F51" w:rsidRDefault="007A2027">
      <w:pPr>
        <w:spacing w:before="180" w:after="180"/>
        <w:rPr>
          <w:rFonts w:asciiTheme="minorHAnsi" w:eastAsia="Cambria" w:hAnsiTheme="minorHAnsi"/>
          <w:lang w:val="en-GB"/>
        </w:rPr>
      </w:pPr>
    </w:p>
    <w:p w14:paraId="58C757E6" w14:textId="46D81FDE" w:rsidR="007A2027" w:rsidRPr="007C6F51" w:rsidRDefault="00973424">
      <w:pPr>
        <w:spacing w:before="180" w:after="180"/>
        <w:rPr>
          <w:rFonts w:asciiTheme="minorHAnsi" w:eastAsia="Cambria" w:hAnsiTheme="minorHAnsi"/>
          <w:lang w:val="en-GB"/>
        </w:rPr>
      </w:pPr>
      <w:r w:rsidRPr="007C6F51">
        <w:rPr>
          <w:rFonts w:asciiTheme="minorHAnsi" w:hAnsiTheme="minorHAnsi"/>
          <w:noProof/>
          <w:lang w:val="en-US" w:eastAsia="en-US"/>
        </w:rPr>
        <w:drawing>
          <wp:inline distT="0" distB="0" distL="0" distR="0" wp14:anchorId="6585D4B5" wp14:editId="5A3E1C89">
            <wp:extent cx="5733415" cy="4178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stretch>
                      <a:fillRect/>
                    </a:stretch>
                  </pic:blipFill>
                  <pic:spPr bwMode="auto">
                    <a:xfrm>
                      <a:off x="0" y="0"/>
                      <a:ext cx="5733415" cy="4178935"/>
                    </a:xfrm>
                    <a:prstGeom prst="rect">
                      <a:avLst/>
                    </a:prstGeom>
                  </pic:spPr>
                </pic:pic>
              </a:graphicData>
            </a:graphic>
          </wp:inline>
        </w:drawing>
      </w:r>
      <w:r w:rsidRPr="007C6F51">
        <w:rPr>
          <w:rFonts w:asciiTheme="minorHAnsi" w:eastAsia="Cambria" w:hAnsiTheme="minorHAnsi"/>
          <w:b/>
          <w:lang w:val="en-GB"/>
        </w:rPr>
        <w:t>Figure S</w:t>
      </w:r>
      <w:r w:rsidR="00C527CA">
        <w:rPr>
          <w:rFonts w:asciiTheme="minorHAnsi" w:eastAsia="Cambria" w:hAnsiTheme="minorHAnsi"/>
          <w:b/>
          <w:lang w:val="en-GB"/>
        </w:rPr>
        <w:t>3</w:t>
      </w:r>
      <w:r w:rsidRPr="007C6F51">
        <w:rPr>
          <w:rFonts w:asciiTheme="minorHAnsi" w:eastAsia="Cambria" w:hAnsiTheme="minorHAnsi"/>
          <w:b/>
          <w:lang w:val="en-GB"/>
        </w:rPr>
        <w:t>.</w:t>
      </w:r>
      <w:r w:rsidRPr="007C6F51">
        <w:rPr>
          <w:rFonts w:asciiTheme="minorHAnsi" w:eastAsia="Cambria" w:hAnsiTheme="minorHAnsi"/>
          <w:lang w:val="en-GB"/>
        </w:rPr>
        <w:t xml:space="preserve"> Range of potential carbon storage from near-shore macroalgal aquaculture utilising excess riverine nutrients.</w:t>
      </w:r>
    </w:p>
    <w:p w14:paraId="72840A23" w14:textId="77777777" w:rsidR="007A2027" w:rsidRPr="007C6F51" w:rsidRDefault="00973424">
      <w:pPr>
        <w:pStyle w:val="Heading3"/>
        <w:keepNext w:val="0"/>
        <w:keepLines w:val="0"/>
        <w:spacing w:before="200" w:after="0"/>
        <w:rPr>
          <w:rFonts w:asciiTheme="minorHAnsi" w:eastAsia="Calibri" w:hAnsiTheme="minorHAnsi"/>
          <w:b/>
          <w:color w:val="4F81BD"/>
        </w:rPr>
      </w:pPr>
      <w:bookmarkStart w:id="6" w:name="_p446ubhltuzo"/>
      <w:bookmarkEnd w:id="6"/>
      <w:r w:rsidRPr="007C6F51">
        <w:rPr>
          <w:rFonts w:asciiTheme="minorHAnsi" w:eastAsia="Calibri" w:hAnsiTheme="minorHAnsi"/>
          <w:b/>
          <w:color w:val="4F81BD"/>
        </w:rPr>
        <w:t>3.2 Protection of shelf carbon stocks and storage</w:t>
      </w:r>
    </w:p>
    <w:p w14:paraId="4E85DD05" w14:textId="7777777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Shelf sediment carbon storage and stock loss:</w:t>
      </w:r>
    </w:p>
    <w:p w14:paraId="007CEFD9" w14:textId="5725F5C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There are large stocks of POC and PIC in shelf sediments. Scaling up an estimate for the NW European shelf from </w:t>
      </w:r>
      <w:proofErr w:type="spellStart"/>
      <w:r w:rsidRPr="007C6F51">
        <w:rPr>
          <w:rFonts w:asciiTheme="minorHAnsi" w:eastAsia="Cambria" w:hAnsiTheme="minorHAnsi"/>
          <w:lang w:val="en-GB"/>
        </w:rPr>
        <w:t>Legge</w:t>
      </w:r>
      <w:proofErr w:type="spellEnd"/>
      <w:r w:rsidRPr="007C6F51">
        <w:rPr>
          <w:rFonts w:asciiTheme="minorHAnsi" w:eastAsia="Cambria" w:hAnsiTheme="minorHAnsi"/>
          <w:lang w:val="en-GB"/>
        </w:rPr>
        <w:t xml:space="preserve"> et al</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A00307" w:rsidRPr="007C6F51">
        <w:rPr>
          <w:rFonts w:asciiTheme="minorHAnsi" w:eastAsia="Cambria" w:hAnsiTheme="minorHAnsi"/>
          <w:lang w:val="en-GB"/>
        </w:rPr>
        <w:t>(</w:t>
      </w:r>
      <w:r w:rsidRPr="007C6F51">
        <w:rPr>
          <w:rFonts w:asciiTheme="minorHAnsi" w:eastAsia="Cambria" w:hAnsiTheme="minorHAnsi"/>
          <w:lang w:val="en-GB"/>
        </w:rPr>
        <w:t>2020</w:t>
      </w:r>
      <w:r w:rsidR="00A00307" w:rsidRPr="007C6F51">
        <w:rPr>
          <w:rFonts w:asciiTheme="minorHAnsi" w:eastAsia="Cambria" w:hAnsiTheme="minorHAnsi"/>
          <w:lang w:val="en-GB"/>
        </w:rPr>
        <w:t>)</w:t>
      </w:r>
      <w:r w:rsidRPr="007C6F51">
        <w:rPr>
          <w:rFonts w:asciiTheme="minorHAnsi" w:eastAsia="Cambria" w:hAnsiTheme="minorHAnsi"/>
          <w:lang w:val="en-GB"/>
        </w:rPr>
        <w:t>, total global stocks are estimated at 7 to 29 Pg</w:t>
      </w:r>
      <w:r w:rsidR="001F0AF9" w:rsidRPr="007C6F51">
        <w:rPr>
          <w:rFonts w:asciiTheme="minorHAnsi" w:eastAsia="Cambria" w:hAnsiTheme="minorHAnsi"/>
          <w:lang w:val="en-GB"/>
        </w:rPr>
        <w:t xml:space="preserve"> </w:t>
      </w:r>
      <w:r w:rsidRPr="007C6F51">
        <w:rPr>
          <w:rFonts w:asciiTheme="minorHAnsi" w:eastAsia="Cambria" w:hAnsiTheme="minorHAnsi"/>
          <w:lang w:val="en-GB"/>
        </w:rPr>
        <w:t>C as POC and 170 to 550 Pg</w:t>
      </w:r>
      <w:r w:rsidR="001F0AF9" w:rsidRPr="007C6F51">
        <w:rPr>
          <w:rFonts w:asciiTheme="minorHAnsi" w:eastAsia="Cambria" w:hAnsiTheme="minorHAnsi"/>
          <w:lang w:val="en-GB"/>
        </w:rPr>
        <w:t xml:space="preserve"> </w:t>
      </w:r>
      <w:r w:rsidRPr="007C6F51">
        <w:rPr>
          <w:rFonts w:asciiTheme="minorHAnsi" w:eastAsia="Cambria" w:hAnsiTheme="minorHAnsi"/>
          <w:lang w:val="en-GB"/>
        </w:rPr>
        <w:t>C as PIC.</w:t>
      </w:r>
    </w:p>
    <w:p w14:paraId="1EF9578A" w14:textId="4193EF20" w:rsidR="007A2027" w:rsidRPr="007C6F51" w:rsidRDefault="00973424" w:rsidP="00F33A27">
      <w:pPr>
        <w:spacing w:before="180" w:after="180"/>
        <w:rPr>
          <w:rFonts w:asciiTheme="minorHAnsi" w:eastAsia="Cambria" w:hAnsiTheme="minorHAnsi"/>
          <w:lang w:val="en-GB"/>
        </w:rPr>
      </w:pPr>
      <w:r w:rsidRPr="007C6F51">
        <w:rPr>
          <w:rFonts w:asciiTheme="minorHAnsi" w:eastAsia="Cambria" w:hAnsiTheme="minorHAnsi"/>
          <w:lang w:val="en-GB"/>
        </w:rPr>
        <w:t xml:space="preserve">Estimates of annual </w:t>
      </w:r>
      <w:r w:rsidR="009F31C8" w:rsidRPr="007C6F51">
        <w:rPr>
          <w:rFonts w:asciiTheme="minorHAnsi" w:eastAsia="Cambria" w:hAnsiTheme="minorHAnsi"/>
          <w:lang w:val="en-GB"/>
        </w:rPr>
        <w:t>present-day</w:t>
      </w:r>
      <w:r w:rsidRPr="007C6F51">
        <w:rPr>
          <w:rFonts w:asciiTheme="minorHAnsi" w:eastAsia="Cambria" w:hAnsiTheme="minorHAnsi"/>
          <w:lang w:val="en-GB"/>
        </w:rPr>
        <w:t xml:space="preserve"> global carbon storage in shelf sediments lie between 0.2 (Bauer et al</w:t>
      </w:r>
      <w:r w:rsidR="006B0FD5" w:rsidRPr="007C6F51">
        <w:rPr>
          <w:rFonts w:asciiTheme="minorHAnsi" w:eastAsia="Cambria" w:hAnsiTheme="minorHAnsi"/>
          <w:lang w:val="en-GB"/>
        </w:rPr>
        <w:t>.,</w:t>
      </w:r>
      <w:r w:rsidRPr="007C6F51">
        <w:rPr>
          <w:rFonts w:asciiTheme="minorHAnsi" w:eastAsia="Cambria" w:hAnsiTheme="minorHAnsi"/>
          <w:lang w:val="en-GB"/>
        </w:rPr>
        <w:t xml:space="preserve"> 2013) and 1.6 (</w:t>
      </w:r>
      <w:proofErr w:type="spellStart"/>
      <w:r w:rsidRPr="007C6F51">
        <w:rPr>
          <w:rFonts w:asciiTheme="minorHAnsi" w:eastAsia="Cambria" w:hAnsiTheme="minorHAnsi"/>
          <w:lang w:val="en-GB"/>
        </w:rPr>
        <w:t>Krumins</w:t>
      </w:r>
      <w:proofErr w:type="spellEnd"/>
      <w:r w:rsidRPr="007C6F51">
        <w:rPr>
          <w:rFonts w:asciiTheme="minorHAnsi" w:eastAsia="Cambria" w:hAnsiTheme="minorHAnsi"/>
          <w:lang w:val="en-GB"/>
        </w:rPr>
        <w:t xml:space="preserve"> et al</w:t>
      </w:r>
      <w:r w:rsidR="006B0FD5" w:rsidRPr="007C6F51">
        <w:rPr>
          <w:rFonts w:asciiTheme="minorHAnsi" w:eastAsia="Cambria" w:hAnsiTheme="minorHAnsi"/>
          <w:lang w:val="en-GB"/>
        </w:rPr>
        <w:t>.,</w:t>
      </w:r>
      <w:r w:rsidRPr="007C6F51">
        <w:rPr>
          <w:rFonts w:asciiTheme="minorHAnsi" w:eastAsia="Cambria" w:hAnsiTheme="minorHAnsi"/>
          <w:lang w:val="en-GB"/>
        </w:rPr>
        <w:t xml:space="preserve"> 2013) Pg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w:t>
      </w:r>
      <w:r w:rsidR="00F33A27" w:rsidRPr="007C6F51">
        <w:rPr>
          <w:rFonts w:asciiTheme="minorHAnsi" w:eastAsia="Cambria" w:hAnsiTheme="minorHAnsi"/>
          <w:lang w:val="en-GB"/>
        </w:rPr>
        <w:t>This corresponds to</w:t>
      </w:r>
      <w:r w:rsidR="00A25C17" w:rsidRPr="007C6F51">
        <w:rPr>
          <w:rFonts w:asciiTheme="minorHAnsi" w:eastAsia="Cambria" w:hAnsiTheme="minorHAnsi"/>
          <w:lang w:val="en-GB"/>
        </w:rPr>
        <w:t xml:space="preserve"> </w:t>
      </w:r>
      <w:r w:rsidRPr="007C6F51">
        <w:rPr>
          <w:rFonts w:asciiTheme="minorHAnsi" w:eastAsia="Cambria" w:hAnsiTheme="minorHAnsi"/>
          <w:lang w:val="en-GB"/>
        </w:rPr>
        <w:t>28 to 140 Pg Carbon</w:t>
      </w:r>
      <w:r w:rsidR="00F33A27" w:rsidRPr="007C6F51">
        <w:rPr>
          <w:rFonts w:asciiTheme="minorHAnsi" w:eastAsia="Cambria" w:hAnsiTheme="minorHAnsi"/>
          <w:lang w:val="en-GB"/>
        </w:rPr>
        <w:t xml:space="preserve"> stored</w:t>
      </w:r>
      <w:r w:rsidR="00945AF7" w:rsidRPr="007C6F51">
        <w:rPr>
          <w:rFonts w:asciiTheme="minorHAnsi" w:eastAsia="Cambria" w:hAnsiTheme="minorHAnsi"/>
          <w:lang w:val="en-GB"/>
        </w:rPr>
        <w:t xml:space="preserve"> up to 2100</w:t>
      </w:r>
      <w:r w:rsidRPr="007C6F51">
        <w:rPr>
          <w:rFonts w:asciiTheme="minorHAnsi" w:eastAsia="Cambria" w:hAnsiTheme="minorHAnsi"/>
          <w:lang w:val="en-GB"/>
        </w:rPr>
        <w:t xml:space="preserve">. This is implicitly accounted for in </w:t>
      </w:r>
      <w:r w:rsidR="009F31C8" w:rsidRPr="007C6F51">
        <w:rPr>
          <w:rFonts w:asciiTheme="minorHAnsi" w:eastAsia="Cambria" w:hAnsiTheme="minorHAnsi"/>
          <w:lang w:val="en-GB"/>
        </w:rPr>
        <w:t xml:space="preserve">the </w:t>
      </w:r>
      <w:r w:rsidRPr="007C6F51">
        <w:rPr>
          <w:rFonts w:asciiTheme="minorHAnsi" w:eastAsia="Cambria" w:hAnsiTheme="minorHAnsi"/>
          <w:lang w:val="en-GB"/>
        </w:rPr>
        <w:t>ocean fraction of anthropogenic emissions as it</w:t>
      </w:r>
      <w:r w:rsidR="00945AF7" w:rsidRPr="007C6F51">
        <w:rPr>
          <w:rFonts w:asciiTheme="minorHAnsi" w:eastAsia="Cambria" w:hAnsiTheme="minorHAnsi"/>
          <w:lang w:val="en-GB"/>
        </w:rPr>
        <w:t xml:space="preserve"> i</w:t>
      </w:r>
      <w:r w:rsidRPr="007C6F51">
        <w:rPr>
          <w:rFonts w:asciiTheme="minorHAnsi" w:eastAsia="Cambria" w:hAnsiTheme="minorHAnsi"/>
          <w:lang w:val="en-GB"/>
        </w:rPr>
        <w:t>s taken up across the air-sea interface, so it is not considered as an ‘additional’ carbon benefit for CDR. However</w:t>
      </w:r>
      <w:r w:rsidR="009F31C8" w:rsidRPr="007C6F51">
        <w:rPr>
          <w:rFonts w:asciiTheme="minorHAnsi" w:eastAsia="Cambria" w:hAnsiTheme="minorHAnsi"/>
          <w:lang w:val="en-GB"/>
        </w:rPr>
        <w:t>,</w:t>
      </w:r>
      <w:r w:rsidRPr="007C6F51">
        <w:rPr>
          <w:rFonts w:asciiTheme="minorHAnsi" w:eastAsia="Cambria" w:hAnsiTheme="minorHAnsi"/>
          <w:lang w:val="en-GB"/>
        </w:rPr>
        <w:t xml:space="preserve"> the vulnerability of stock and storage due to anthropogenic influence is within scope.  </w:t>
      </w:r>
    </w:p>
    <w:p w14:paraId="5EA01808" w14:textId="2759A085" w:rsidR="007A2027" w:rsidRPr="007C6F51" w:rsidRDefault="00973424">
      <w:pPr>
        <w:spacing w:before="180" w:after="180"/>
        <w:rPr>
          <w:rFonts w:asciiTheme="minorHAnsi" w:eastAsia="Cambria" w:hAnsiTheme="minorHAnsi"/>
          <w:lang w:val="en-GB"/>
        </w:rPr>
      </w:pPr>
      <w:proofErr w:type="spellStart"/>
      <w:r w:rsidRPr="007C6F51">
        <w:rPr>
          <w:rFonts w:asciiTheme="minorHAnsi" w:eastAsia="Cambria" w:hAnsiTheme="minorHAnsi"/>
          <w:lang w:val="en-GB"/>
        </w:rPr>
        <w:t>Luisetti</w:t>
      </w:r>
      <w:proofErr w:type="spellEnd"/>
      <w:r w:rsidRPr="007C6F51">
        <w:rPr>
          <w:rFonts w:asciiTheme="minorHAnsi" w:eastAsia="Cambria" w:hAnsiTheme="minorHAnsi"/>
          <w:lang w:val="en-GB"/>
        </w:rPr>
        <w:t xml:space="preserve"> et al</w:t>
      </w:r>
      <w:r w:rsidR="001F0AF9" w:rsidRPr="007C6F51">
        <w:rPr>
          <w:rFonts w:asciiTheme="minorHAnsi" w:eastAsia="Cambria" w:hAnsiTheme="minorHAnsi"/>
          <w:lang w:val="en-GB"/>
        </w:rPr>
        <w:t>.</w:t>
      </w:r>
      <w:r w:rsidRPr="007C6F51">
        <w:rPr>
          <w:rFonts w:asciiTheme="minorHAnsi" w:eastAsia="Cambria" w:hAnsiTheme="minorHAnsi"/>
          <w:lang w:val="en-GB"/>
        </w:rPr>
        <w:t xml:space="preserve"> (2019) estimate</w:t>
      </w:r>
      <w:r w:rsidR="009F31C8" w:rsidRPr="007C6F51">
        <w:rPr>
          <w:rFonts w:asciiTheme="minorHAnsi" w:eastAsia="Cambria" w:hAnsiTheme="minorHAnsi"/>
          <w:lang w:val="en-GB"/>
        </w:rPr>
        <w:t>d</w:t>
      </w:r>
      <w:r w:rsidRPr="007C6F51">
        <w:rPr>
          <w:rFonts w:asciiTheme="minorHAnsi" w:eastAsia="Cambria" w:hAnsiTheme="minorHAnsi"/>
          <w:lang w:val="en-GB"/>
        </w:rPr>
        <w:t xml:space="preserve"> a loss of sediment organic carbon stock due to trawl fishing in UK waters of between 2.9 and 6.4% per decade. This is an upper estimate for the region and furthermore</w:t>
      </w:r>
      <w:r w:rsidR="009F31C8" w:rsidRPr="007C6F51">
        <w:rPr>
          <w:rFonts w:asciiTheme="minorHAnsi" w:eastAsia="Cambria" w:hAnsiTheme="minorHAnsi"/>
          <w:lang w:val="en-GB"/>
        </w:rPr>
        <w:t>,</w:t>
      </w:r>
      <w:r w:rsidRPr="007C6F51">
        <w:rPr>
          <w:rFonts w:asciiTheme="minorHAnsi" w:eastAsia="Cambria" w:hAnsiTheme="minorHAnsi"/>
          <w:lang w:val="en-GB"/>
        </w:rPr>
        <w:t xml:space="preserve"> UK waters are some of the most heavily trawled globally, so we use the </w:t>
      </w:r>
      <w:r w:rsidR="009F31C8" w:rsidRPr="007C6F51">
        <w:rPr>
          <w:rFonts w:asciiTheme="minorHAnsi" w:eastAsia="Cambria" w:hAnsiTheme="minorHAnsi"/>
          <w:lang w:val="en-GB"/>
        </w:rPr>
        <w:t>lower-end</w:t>
      </w:r>
      <w:r w:rsidRPr="007C6F51">
        <w:rPr>
          <w:rFonts w:asciiTheme="minorHAnsi" w:eastAsia="Cambria" w:hAnsiTheme="minorHAnsi"/>
          <w:lang w:val="en-GB"/>
        </w:rPr>
        <w:t xml:space="preserve"> estimate to extrapolate a potential global loss of 2 to 8 Pg</w:t>
      </w:r>
      <w:r w:rsidR="001F0AF9" w:rsidRPr="007C6F51">
        <w:rPr>
          <w:rFonts w:asciiTheme="minorHAnsi" w:eastAsia="Cambria" w:hAnsiTheme="minorHAnsi"/>
          <w:lang w:val="en-GB"/>
        </w:rPr>
        <w:t xml:space="preserve"> </w:t>
      </w:r>
      <w:r w:rsidRPr="007C6F51">
        <w:rPr>
          <w:rFonts w:asciiTheme="minorHAnsi" w:eastAsia="Cambria" w:hAnsiTheme="minorHAnsi"/>
          <w:lang w:val="en-GB"/>
        </w:rPr>
        <w:t xml:space="preserve">C by 2100. </w:t>
      </w:r>
      <w:r w:rsidRPr="007C6F51">
        <w:rPr>
          <w:rFonts w:asciiTheme="minorHAnsi" w:eastAsia="Cambria" w:hAnsiTheme="minorHAnsi"/>
          <w:lang w:val="en-GB"/>
        </w:rPr>
        <w:lastRenderedPageBreak/>
        <w:t>But note that the impact of trawling overall is very poorly constrained and even the direction of the impact is not known for sure (</w:t>
      </w:r>
      <w:proofErr w:type="spellStart"/>
      <w:r w:rsidRPr="007C6F51">
        <w:rPr>
          <w:rFonts w:asciiTheme="minorHAnsi" w:eastAsia="Cambria" w:hAnsiTheme="minorHAnsi"/>
          <w:lang w:val="en-GB"/>
        </w:rPr>
        <w:t>Legge</w:t>
      </w:r>
      <w:proofErr w:type="spellEnd"/>
      <w:r w:rsidRPr="007C6F51">
        <w:rPr>
          <w:rFonts w:asciiTheme="minorHAnsi" w:eastAsia="Cambria" w:hAnsiTheme="minorHAnsi"/>
          <w:lang w:val="en-GB"/>
        </w:rPr>
        <w:t xml:space="preserve"> et al</w:t>
      </w:r>
      <w:r w:rsidR="001F0AF9" w:rsidRPr="007C6F51">
        <w:rPr>
          <w:rFonts w:asciiTheme="minorHAnsi" w:eastAsia="Cambria" w:hAnsiTheme="minorHAnsi"/>
          <w:lang w:val="en-GB"/>
        </w:rPr>
        <w:t>.,</w:t>
      </w:r>
      <w:r w:rsidRPr="007C6F51">
        <w:rPr>
          <w:rFonts w:asciiTheme="minorHAnsi" w:eastAsia="Cambria" w:hAnsiTheme="minorHAnsi"/>
          <w:lang w:val="en-GB"/>
        </w:rPr>
        <w:t xml:space="preserve"> 20</w:t>
      </w:r>
      <w:r w:rsidR="00945AF7" w:rsidRPr="007C6F51">
        <w:rPr>
          <w:rFonts w:asciiTheme="minorHAnsi" w:eastAsia="Cambria" w:hAnsiTheme="minorHAnsi"/>
          <w:lang w:val="en-GB"/>
        </w:rPr>
        <w:t>20</w:t>
      </w:r>
      <w:r w:rsidR="001F0AF9" w:rsidRPr="007C6F51">
        <w:rPr>
          <w:rFonts w:asciiTheme="minorHAnsi" w:eastAsia="Cambria" w:hAnsiTheme="minorHAnsi"/>
          <w:lang w:val="en-GB"/>
        </w:rPr>
        <w:t>,</w:t>
      </w:r>
      <w:r w:rsidRPr="007C6F51">
        <w:rPr>
          <w:rFonts w:asciiTheme="minorHAnsi" w:eastAsia="Cambria" w:hAnsiTheme="minorHAnsi"/>
          <w:lang w:val="en-GB"/>
        </w:rPr>
        <w:t xml:space="preserve"> and references therein</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2A3800" w:rsidRPr="007C6F51">
        <w:rPr>
          <w:rFonts w:asciiTheme="minorHAnsi" w:eastAsia="Cambria" w:hAnsiTheme="minorHAnsi"/>
          <w:lang w:val="en-GB"/>
        </w:rPr>
        <w:t>Smeaton et al., 202</w:t>
      </w:r>
      <w:r w:rsidR="00291E2F" w:rsidRPr="007C6F51">
        <w:rPr>
          <w:rFonts w:asciiTheme="minorHAnsi" w:eastAsia="Cambria" w:hAnsiTheme="minorHAnsi"/>
          <w:lang w:val="en-GB"/>
        </w:rPr>
        <w:t>2</w:t>
      </w:r>
      <w:r w:rsidRPr="007C6F51">
        <w:rPr>
          <w:rFonts w:asciiTheme="minorHAnsi" w:eastAsia="Cambria" w:hAnsiTheme="minorHAnsi"/>
          <w:lang w:val="en-GB"/>
        </w:rPr>
        <w:t>)</w:t>
      </w:r>
    </w:p>
    <w:p w14:paraId="3EC6CF03" w14:textId="62FCD4C6"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How might we enhance sediment carbon storage? If trawling were to be decreased then carbon might accumulate, although there is debate in the literature as to whether much carbon is lost during trawling</w:t>
      </w:r>
      <w:r w:rsidR="00291E2F" w:rsidRPr="007C6F51">
        <w:rPr>
          <w:rFonts w:asciiTheme="minorHAnsi" w:eastAsia="Cambria" w:hAnsiTheme="minorHAnsi"/>
          <w:lang w:val="en-GB"/>
        </w:rPr>
        <w:t xml:space="preserve"> (e.g.</w:t>
      </w:r>
      <w:r w:rsidR="001F0AF9" w:rsidRPr="007C6F51">
        <w:rPr>
          <w:rFonts w:asciiTheme="minorHAnsi" w:eastAsia="Cambria" w:hAnsiTheme="minorHAnsi"/>
          <w:lang w:val="en-GB"/>
        </w:rPr>
        <w:t>,</w:t>
      </w:r>
      <w:r w:rsidR="00291E2F" w:rsidRPr="007C6F51">
        <w:rPr>
          <w:rFonts w:asciiTheme="minorHAnsi" w:eastAsia="Cambria" w:hAnsiTheme="minorHAnsi"/>
          <w:lang w:val="en-GB"/>
        </w:rPr>
        <w:t xml:space="preserve"> Smeaton et al., 2022)</w:t>
      </w:r>
      <w:r w:rsidRPr="007C6F51">
        <w:rPr>
          <w:rFonts w:asciiTheme="minorHAnsi" w:eastAsia="Cambria" w:hAnsiTheme="minorHAnsi"/>
          <w:lang w:val="en-GB"/>
        </w:rPr>
        <w:t xml:space="preserve">. Taking the deposition estimate by Bauer (low end) or </w:t>
      </w:r>
      <w:proofErr w:type="spellStart"/>
      <w:r w:rsidRPr="007C6F51">
        <w:rPr>
          <w:rFonts w:asciiTheme="minorHAnsi" w:eastAsia="Cambria" w:hAnsiTheme="minorHAnsi"/>
          <w:lang w:val="en-GB"/>
        </w:rPr>
        <w:t>Krumins</w:t>
      </w:r>
      <w:proofErr w:type="spellEnd"/>
      <w:r w:rsidRPr="007C6F51">
        <w:rPr>
          <w:rFonts w:asciiTheme="minorHAnsi" w:eastAsia="Cambria" w:hAnsiTheme="minorHAnsi"/>
          <w:lang w:val="en-GB"/>
        </w:rPr>
        <w:t xml:space="preserve"> et al. (high end) and assuming that 10% of the global shelf area might be designated as </w:t>
      </w:r>
      <w:r w:rsidR="0031035E" w:rsidRPr="007C6F51">
        <w:rPr>
          <w:rFonts w:asciiTheme="minorHAnsi" w:eastAsia="Cambria" w:hAnsiTheme="minorHAnsi"/>
          <w:lang w:val="en-GB"/>
        </w:rPr>
        <w:t xml:space="preserve">a </w:t>
      </w:r>
      <w:r w:rsidRPr="007C6F51">
        <w:rPr>
          <w:rFonts w:asciiTheme="minorHAnsi" w:eastAsia="Cambria" w:hAnsiTheme="minorHAnsi"/>
          <w:lang w:val="en-GB"/>
        </w:rPr>
        <w:t xml:space="preserve">no-trawl zone, then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 xml:space="preserve">accumulation of </w:t>
      </w:r>
      <w:r w:rsidR="0031035E" w:rsidRPr="007C6F51">
        <w:rPr>
          <w:rFonts w:asciiTheme="minorHAnsi" w:eastAsia="Cambria" w:hAnsiTheme="minorHAnsi"/>
          <w:lang w:val="en-GB"/>
        </w:rPr>
        <w:t xml:space="preserve">an </w:t>
      </w:r>
      <w:r w:rsidRPr="007C6F51">
        <w:rPr>
          <w:rFonts w:asciiTheme="minorHAnsi" w:eastAsia="Cambria" w:hAnsiTheme="minorHAnsi"/>
          <w:lang w:val="en-GB"/>
        </w:rPr>
        <w:t>additional 100% of organic carbon per year over that area yields 1.7</w:t>
      </w:r>
      <w:r w:rsidR="001F0AF9" w:rsidRPr="007C6F51">
        <w:rPr>
          <w:rFonts w:asciiTheme="minorHAnsi" w:eastAsia="Cambria" w:hAnsiTheme="minorHAnsi"/>
          <w:lang w:val="en-GB"/>
        </w:rPr>
        <w:t>–</w:t>
      </w:r>
      <w:r w:rsidRPr="007C6F51">
        <w:rPr>
          <w:rFonts w:asciiTheme="minorHAnsi" w:eastAsia="Cambria" w:hAnsiTheme="minorHAnsi"/>
          <w:lang w:val="en-GB"/>
        </w:rPr>
        <w:t xml:space="preserve">13.3 Pg C, as well as preventing loss of 0.2 to 0.8 Pg C stock. This is highly speculative and should be considered an upper-limit potential value, with </w:t>
      </w:r>
      <w:r w:rsidR="0031035E" w:rsidRPr="007C6F51">
        <w:rPr>
          <w:rFonts w:asciiTheme="minorHAnsi" w:eastAsia="Cambria" w:hAnsiTheme="minorHAnsi"/>
          <w:lang w:val="en-GB"/>
        </w:rPr>
        <w:t xml:space="preserve">a </w:t>
      </w:r>
      <w:r w:rsidRPr="007C6F51">
        <w:rPr>
          <w:rFonts w:asciiTheme="minorHAnsi" w:eastAsia="Cambria" w:hAnsiTheme="minorHAnsi"/>
          <w:lang w:val="en-GB"/>
        </w:rPr>
        <w:t>high risk of little or no true net benefit to carbon storage (but still covered by the ‘</w:t>
      </w:r>
      <w:r w:rsidR="00C0425E" w:rsidRPr="007C6F51">
        <w:rPr>
          <w:rFonts w:asciiTheme="minorHAnsi" w:eastAsia="Cambria" w:hAnsiTheme="minorHAnsi"/>
          <w:lang w:val="en-GB"/>
        </w:rPr>
        <w:t>low</w:t>
      </w:r>
      <w:r w:rsidRPr="007C6F51">
        <w:rPr>
          <w:rFonts w:asciiTheme="minorHAnsi" w:eastAsia="Cambria" w:hAnsiTheme="minorHAnsi"/>
          <w:lang w:val="en-GB"/>
        </w:rPr>
        <w:t xml:space="preserve"> regret’ philosophy of </w:t>
      </w:r>
      <w:proofErr w:type="spellStart"/>
      <w:r w:rsidRPr="007C6F51">
        <w:rPr>
          <w:rFonts w:asciiTheme="minorHAnsi" w:eastAsia="Cambria" w:hAnsiTheme="minorHAnsi"/>
          <w:lang w:val="en-GB"/>
        </w:rPr>
        <w:t>Gatusso</w:t>
      </w:r>
      <w:proofErr w:type="spellEnd"/>
      <w:r w:rsidRPr="007C6F51">
        <w:rPr>
          <w:rFonts w:asciiTheme="minorHAnsi" w:eastAsia="Cambria" w:hAnsiTheme="minorHAnsi"/>
          <w:lang w:val="en-GB"/>
        </w:rPr>
        <w:t xml:space="preserve"> et al., </w:t>
      </w:r>
      <w:r w:rsidR="005570EE" w:rsidRPr="007C6F51">
        <w:rPr>
          <w:rFonts w:asciiTheme="minorHAnsi" w:eastAsia="Cambria" w:hAnsiTheme="minorHAnsi"/>
          <w:lang w:val="en-GB"/>
        </w:rPr>
        <w:t>2021</w:t>
      </w:r>
      <w:r w:rsidRPr="007C6F51">
        <w:rPr>
          <w:rFonts w:asciiTheme="minorHAnsi" w:eastAsia="Cambria" w:hAnsiTheme="minorHAnsi"/>
          <w:lang w:val="en-GB"/>
        </w:rPr>
        <w:t xml:space="preserve">). </w:t>
      </w:r>
    </w:p>
    <w:p w14:paraId="6C007357" w14:textId="77777777" w:rsidR="007A2027" w:rsidRPr="007C6F51" w:rsidRDefault="00973424">
      <w:pPr>
        <w:pStyle w:val="Heading3"/>
        <w:keepNext w:val="0"/>
        <w:keepLines w:val="0"/>
        <w:spacing w:before="200" w:after="0"/>
        <w:rPr>
          <w:rFonts w:asciiTheme="minorHAnsi" w:eastAsia="Calibri" w:hAnsiTheme="minorHAnsi"/>
          <w:b/>
          <w:color w:val="4F81BD"/>
        </w:rPr>
      </w:pPr>
      <w:bookmarkStart w:id="7" w:name="_7jbtk8mm4pt"/>
      <w:bookmarkEnd w:id="7"/>
      <w:r w:rsidRPr="007C6F51">
        <w:rPr>
          <w:rFonts w:asciiTheme="minorHAnsi" w:eastAsia="Calibri" w:hAnsiTheme="minorHAnsi"/>
          <w:b/>
          <w:color w:val="4F81BD"/>
        </w:rPr>
        <w:t>Managing shelf carbon export to the deep ocean</w:t>
      </w:r>
    </w:p>
    <w:p w14:paraId="6855B4DB" w14:textId="7C6CA812"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The continental shelf pump of carbon dioxide to deep waters is a fundamental natural carbon sink (e.g.</w:t>
      </w:r>
      <w:r w:rsidR="001F0AF9" w:rsidRPr="007C6F51">
        <w:rPr>
          <w:rFonts w:asciiTheme="minorHAnsi" w:eastAsia="Cambria" w:hAnsiTheme="minorHAnsi"/>
          <w:lang w:val="en-GB"/>
        </w:rPr>
        <w:t>,</w:t>
      </w:r>
      <w:r w:rsidRPr="007C6F51">
        <w:rPr>
          <w:rFonts w:asciiTheme="minorHAnsi" w:eastAsia="Cambria" w:hAnsiTheme="minorHAnsi"/>
          <w:lang w:val="en-GB"/>
        </w:rPr>
        <w:t xml:space="preserve"> Bauer et al., 2013). Here we consider speculative potential mechanisms to manage or control this flux through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 xml:space="preserve">management of inputs and cycling of </w:t>
      </w:r>
      <w:r w:rsidR="0031035E" w:rsidRPr="007C6F51">
        <w:rPr>
          <w:rFonts w:asciiTheme="minorHAnsi" w:eastAsia="Cambria" w:hAnsiTheme="minorHAnsi"/>
          <w:lang w:val="en-GB"/>
        </w:rPr>
        <w:t>nutrients</w:t>
      </w:r>
      <w:r w:rsidRPr="007C6F51">
        <w:rPr>
          <w:rFonts w:asciiTheme="minorHAnsi" w:eastAsia="Cambria" w:hAnsiTheme="minorHAnsi"/>
          <w:lang w:val="en-GB"/>
        </w:rPr>
        <w:t xml:space="preserve"> within shelf seas. First</w:t>
      </w:r>
      <w:r w:rsidR="0031035E" w:rsidRPr="007C6F51">
        <w:rPr>
          <w:rFonts w:asciiTheme="minorHAnsi" w:eastAsia="Cambria" w:hAnsiTheme="minorHAnsi"/>
          <w:lang w:val="en-GB"/>
        </w:rPr>
        <w:t>,</w:t>
      </w:r>
      <w:r w:rsidRPr="007C6F51">
        <w:rPr>
          <w:rFonts w:asciiTheme="minorHAnsi" w:eastAsia="Cambria" w:hAnsiTheme="minorHAnsi"/>
          <w:lang w:val="en-GB"/>
        </w:rPr>
        <w:t xml:space="preserve"> it is necessary to estimate the global export of carbon from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 xml:space="preserve">shelf to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 xml:space="preserve">deep ocean. </w:t>
      </w:r>
    </w:p>
    <w:p w14:paraId="3B083743" w14:textId="77777777" w:rsidR="007A2027" w:rsidRPr="007C6F51" w:rsidRDefault="00973424">
      <w:pPr>
        <w:spacing w:before="180" w:after="180"/>
        <w:rPr>
          <w:rFonts w:asciiTheme="minorHAnsi" w:eastAsia="Cambria" w:hAnsiTheme="minorHAnsi"/>
          <w:b/>
          <w:lang w:val="en-GB"/>
        </w:rPr>
      </w:pPr>
      <w:r w:rsidRPr="007C6F51">
        <w:rPr>
          <w:rFonts w:asciiTheme="minorHAnsi" w:eastAsia="Cambria" w:hAnsiTheme="minorHAnsi"/>
          <w:b/>
          <w:lang w:val="en-GB"/>
        </w:rPr>
        <w:t>Off-shelf DIC flux</w:t>
      </w:r>
    </w:p>
    <w:p w14:paraId="453CC8ED" w14:textId="705BAA1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Bauer et al.</w:t>
      </w:r>
      <w:r w:rsidR="001F0AF9" w:rsidRPr="007C6F51">
        <w:rPr>
          <w:rFonts w:asciiTheme="minorHAnsi" w:eastAsia="Cambria" w:hAnsiTheme="minorHAnsi"/>
          <w:lang w:val="en-GB"/>
        </w:rPr>
        <w:t xml:space="preserve"> (</w:t>
      </w:r>
      <w:r w:rsidRPr="007C6F51">
        <w:rPr>
          <w:rFonts w:asciiTheme="minorHAnsi" w:eastAsia="Cambria" w:hAnsiTheme="minorHAnsi"/>
          <w:lang w:val="en-GB"/>
        </w:rPr>
        <w:t>2013</w:t>
      </w:r>
      <w:r w:rsidR="001F0AF9" w:rsidRPr="007C6F51">
        <w:rPr>
          <w:rFonts w:asciiTheme="minorHAnsi" w:eastAsia="Cambria" w:hAnsiTheme="minorHAnsi"/>
          <w:lang w:val="en-GB"/>
        </w:rPr>
        <w:t>)</w:t>
      </w:r>
      <w:r w:rsidRPr="007C6F51">
        <w:rPr>
          <w:rFonts w:asciiTheme="minorHAnsi" w:eastAsia="Cambria" w:hAnsiTheme="minorHAnsi"/>
          <w:lang w:val="en-GB"/>
        </w:rPr>
        <w:t xml:space="preserve"> estimate 0.5 to 0.7 Pg C/</w:t>
      </w:r>
      <w:r w:rsidR="0031035E" w:rsidRPr="007C6F51">
        <w:rPr>
          <w:rFonts w:asciiTheme="minorHAnsi" w:eastAsia="Cambria" w:hAnsiTheme="minorHAnsi"/>
          <w:lang w:val="en-GB"/>
        </w:rPr>
        <w:t>year globally</w:t>
      </w:r>
      <w:r w:rsidRPr="007C6F51">
        <w:rPr>
          <w:rFonts w:asciiTheme="minorHAnsi" w:eastAsia="Cambria" w:hAnsiTheme="minorHAnsi"/>
          <w:lang w:val="en-GB"/>
        </w:rPr>
        <w:t xml:space="preserve"> which extrapolates to 41 to 58 Pg C to 2100. Model studies assessed by </w:t>
      </w:r>
      <w:proofErr w:type="spellStart"/>
      <w:r w:rsidRPr="007C6F51">
        <w:rPr>
          <w:rFonts w:asciiTheme="minorHAnsi" w:eastAsia="Cambria" w:hAnsiTheme="minorHAnsi"/>
          <w:lang w:val="en-GB"/>
        </w:rPr>
        <w:t>Legge</w:t>
      </w:r>
      <w:proofErr w:type="spellEnd"/>
      <w:r w:rsidRPr="007C6F51">
        <w:rPr>
          <w:rFonts w:asciiTheme="minorHAnsi" w:eastAsia="Cambria" w:hAnsiTheme="minorHAnsi"/>
          <w:lang w:val="en-GB"/>
        </w:rPr>
        <w:t xml:space="preserve"> et al</w:t>
      </w:r>
      <w:r w:rsidR="00F85EB6" w:rsidRPr="007C6F51">
        <w:rPr>
          <w:rFonts w:asciiTheme="minorHAnsi" w:eastAsia="Cambria" w:hAnsiTheme="minorHAnsi"/>
          <w:lang w:val="en-GB"/>
        </w:rPr>
        <w:t>.</w:t>
      </w:r>
      <w:r w:rsidRPr="007C6F51">
        <w:rPr>
          <w:rFonts w:asciiTheme="minorHAnsi" w:eastAsia="Cambria" w:hAnsiTheme="minorHAnsi"/>
          <w:lang w:val="en-GB"/>
        </w:rPr>
        <w:t xml:space="preserve"> (2020) for NW European Shelf suggest 3.5 to 6 </w:t>
      </w:r>
      <w:proofErr w:type="spellStart"/>
      <w:r w:rsidRPr="007C6F51">
        <w:rPr>
          <w:rFonts w:asciiTheme="minorHAnsi" w:eastAsia="Cambria" w:hAnsiTheme="minorHAnsi"/>
          <w:lang w:val="en-GB"/>
        </w:rPr>
        <w:t>Tmol</w:t>
      </w:r>
      <w:proofErr w:type="spellEnd"/>
      <w:r w:rsidRPr="007C6F51">
        <w:rPr>
          <w:rFonts w:asciiTheme="minorHAnsi" w:eastAsia="Cambria" w:hAnsiTheme="minorHAnsi"/>
          <w:lang w:val="en-GB"/>
        </w:rPr>
        <w:t xml:space="preserve">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Scaling to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global shelf (and converting units) gives 1.3 to 2.1 Pg C year -&gt; 100 to 173 Pg C to 2100</w:t>
      </w:r>
    </w:p>
    <w:p w14:paraId="47F4FFCB" w14:textId="7889C487"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We do</w:t>
      </w:r>
      <w:r w:rsidR="001F0AF9" w:rsidRPr="007C6F51">
        <w:rPr>
          <w:rFonts w:asciiTheme="minorHAnsi" w:eastAsia="Cambria" w:hAnsiTheme="minorHAnsi"/>
          <w:lang w:val="en-GB"/>
        </w:rPr>
        <w:t xml:space="preserve"> </w:t>
      </w:r>
      <w:r w:rsidRPr="007C6F51">
        <w:rPr>
          <w:rFonts w:asciiTheme="minorHAnsi" w:eastAsia="Cambria" w:hAnsiTheme="minorHAnsi"/>
          <w:lang w:val="en-GB"/>
        </w:rPr>
        <w:t>n</w:t>
      </w:r>
      <w:r w:rsidR="001F0AF9" w:rsidRPr="007C6F51">
        <w:rPr>
          <w:rFonts w:asciiTheme="minorHAnsi" w:eastAsia="Cambria" w:hAnsiTheme="minorHAnsi"/>
          <w:lang w:val="en-GB"/>
        </w:rPr>
        <w:t>o</w:t>
      </w:r>
      <w:r w:rsidRPr="007C6F51">
        <w:rPr>
          <w:rFonts w:asciiTheme="minorHAnsi" w:eastAsia="Cambria" w:hAnsiTheme="minorHAnsi"/>
          <w:lang w:val="en-GB"/>
        </w:rPr>
        <w:t xml:space="preserve">t believe that this flux is manageable in any </w:t>
      </w:r>
      <w:r w:rsidR="0031035E" w:rsidRPr="007C6F51">
        <w:rPr>
          <w:rFonts w:asciiTheme="minorHAnsi" w:eastAsia="Cambria" w:hAnsiTheme="minorHAnsi"/>
          <w:lang w:val="en-GB"/>
        </w:rPr>
        <w:t>way, or</w:t>
      </w:r>
      <w:r w:rsidRPr="007C6F51">
        <w:rPr>
          <w:rFonts w:asciiTheme="minorHAnsi" w:eastAsia="Cambria" w:hAnsiTheme="minorHAnsi"/>
          <w:lang w:val="en-GB"/>
        </w:rPr>
        <w:t xml:space="preserve"> at least, the changes will be due to changes in the organic fraction/enhanced productivity</w:t>
      </w:r>
      <w:r w:rsidR="0031035E" w:rsidRPr="007C6F51">
        <w:rPr>
          <w:rFonts w:asciiTheme="minorHAnsi" w:eastAsia="Cambria" w:hAnsiTheme="minorHAnsi"/>
          <w:lang w:val="en-GB"/>
        </w:rPr>
        <w:t>,</w:t>
      </w:r>
      <w:r w:rsidRPr="007C6F51">
        <w:rPr>
          <w:rFonts w:asciiTheme="minorHAnsi" w:eastAsia="Cambria" w:hAnsiTheme="minorHAnsi"/>
          <w:lang w:val="en-GB"/>
        </w:rPr>
        <w:t xml:space="preserve"> etc.</w:t>
      </w:r>
      <w:r w:rsidR="0031035E" w:rsidRPr="007C6F51">
        <w:rPr>
          <w:rFonts w:asciiTheme="minorHAnsi" w:eastAsia="Cambria" w:hAnsiTheme="minorHAnsi"/>
          <w:lang w:val="en-GB"/>
        </w:rPr>
        <w:t>,</w:t>
      </w:r>
      <w:r w:rsidRPr="007C6F51">
        <w:rPr>
          <w:rFonts w:asciiTheme="minorHAnsi" w:eastAsia="Cambria" w:hAnsiTheme="minorHAnsi"/>
          <w:lang w:val="en-GB"/>
        </w:rPr>
        <w:t xml:space="preserve"> and therefore counted elsewhere.</w:t>
      </w:r>
    </w:p>
    <w:p w14:paraId="1D05E477" w14:textId="5C7428F4"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b/>
          <w:lang w:val="en-GB"/>
        </w:rPr>
        <w:t>Off-shelf DOC flux</w:t>
      </w:r>
      <w:r w:rsidRPr="007C6F51">
        <w:rPr>
          <w:rFonts w:asciiTheme="minorHAnsi" w:eastAsia="Cambria" w:hAnsiTheme="minorHAnsi"/>
          <w:lang w:val="en-GB"/>
        </w:rPr>
        <w:t xml:space="preserve"> is estimated by Barron and Duarte (</w:t>
      </w:r>
      <w:r w:rsidR="003A009B" w:rsidRPr="007C6F51">
        <w:rPr>
          <w:rFonts w:asciiTheme="minorHAnsi" w:eastAsia="Cambria" w:hAnsiTheme="minorHAnsi"/>
          <w:lang w:val="en-GB"/>
        </w:rPr>
        <w:t>2015</w:t>
      </w:r>
      <w:r w:rsidRPr="007C6F51">
        <w:rPr>
          <w:rFonts w:asciiTheme="minorHAnsi" w:eastAsia="Cambria" w:hAnsiTheme="minorHAnsi"/>
          <w:lang w:val="en-GB"/>
        </w:rPr>
        <w:t>) to be between 4 and 27 Pg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which, assuming </w:t>
      </w:r>
      <w:r w:rsidR="00041822" w:rsidRPr="007C6F51">
        <w:rPr>
          <w:rFonts w:asciiTheme="minorHAnsi" w:eastAsia="Cambria" w:hAnsiTheme="minorHAnsi"/>
          <w:lang w:val="en-GB"/>
        </w:rPr>
        <w:t xml:space="preserve">an arbitrary </w:t>
      </w:r>
      <w:r w:rsidRPr="007C6F51">
        <w:rPr>
          <w:rFonts w:asciiTheme="minorHAnsi" w:eastAsia="Cambria" w:hAnsiTheme="minorHAnsi"/>
          <w:lang w:val="en-GB"/>
        </w:rPr>
        <w:t xml:space="preserve">30% of this DOC is not respired in the surface ocean </w:t>
      </w:r>
      <w:r w:rsidR="00041822" w:rsidRPr="007C6F51">
        <w:rPr>
          <w:rFonts w:asciiTheme="minorHAnsi" w:eastAsia="Cambria" w:hAnsiTheme="minorHAnsi"/>
          <w:lang w:val="en-GB"/>
        </w:rPr>
        <w:t xml:space="preserve">within </w:t>
      </w:r>
      <w:r w:rsidRPr="007C6F51">
        <w:rPr>
          <w:rFonts w:asciiTheme="minorHAnsi" w:eastAsia="Cambria" w:hAnsiTheme="minorHAnsi"/>
          <w:lang w:val="en-GB"/>
        </w:rPr>
        <w:t>100 years, gives 110</w:t>
      </w:r>
      <w:r w:rsidR="001F0AF9" w:rsidRPr="007C6F51">
        <w:rPr>
          <w:rFonts w:asciiTheme="minorHAnsi" w:eastAsia="Cambria" w:hAnsiTheme="minorHAnsi"/>
          <w:lang w:val="en-GB"/>
        </w:rPr>
        <w:t>–</w:t>
      </w:r>
      <w:r w:rsidRPr="007C6F51">
        <w:rPr>
          <w:rFonts w:asciiTheme="minorHAnsi" w:eastAsia="Cambria" w:hAnsiTheme="minorHAnsi"/>
          <w:lang w:val="en-GB"/>
        </w:rPr>
        <w:t>750 Pg C storage to 2100</w:t>
      </w:r>
      <w:r w:rsidR="00041822" w:rsidRPr="007C6F51">
        <w:rPr>
          <w:rFonts w:asciiTheme="minorHAnsi" w:eastAsia="Cambria" w:hAnsiTheme="minorHAnsi"/>
          <w:lang w:val="en-GB"/>
        </w:rPr>
        <w:t>.</w:t>
      </w:r>
      <w:r w:rsidRPr="007C6F51">
        <w:rPr>
          <w:rFonts w:asciiTheme="minorHAnsi" w:eastAsia="Cambria" w:hAnsiTheme="minorHAnsi"/>
          <w:lang w:val="en-GB"/>
        </w:rPr>
        <w:t xml:space="preserve"> This is larger than the estimated total ocean uptake of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so either </w:t>
      </w:r>
      <w:proofErr w:type="spellStart"/>
      <w:r w:rsidRPr="007C6F51">
        <w:rPr>
          <w:rFonts w:asciiTheme="minorHAnsi" w:eastAsia="Cambria" w:hAnsiTheme="minorHAnsi"/>
          <w:lang w:val="en-GB"/>
        </w:rPr>
        <w:t>i</w:t>
      </w:r>
      <w:proofErr w:type="spellEnd"/>
      <w:r w:rsidRPr="007C6F51">
        <w:rPr>
          <w:rFonts w:asciiTheme="minorHAnsi" w:eastAsia="Cambria" w:hAnsiTheme="minorHAnsi"/>
          <w:lang w:val="en-GB"/>
        </w:rPr>
        <w:t>) a large proportion of this is terrestrial (likely) or ii) this flux of carbon is not captured in global climate models (also likely). It also appears that Barron and Duarte (</w:t>
      </w:r>
      <w:r w:rsidR="003A009B" w:rsidRPr="007C6F51">
        <w:rPr>
          <w:rFonts w:asciiTheme="minorHAnsi" w:eastAsia="Cambria" w:hAnsiTheme="minorHAnsi"/>
          <w:lang w:val="en-GB"/>
        </w:rPr>
        <w:t>2015</w:t>
      </w:r>
      <w:r w:rsidRPr="007C6F51">
        <w:rPr>
          <w:rFonts w:asciiTheme="minorHAnsi" w:eastAsia="Cambria" w:hAnsiTheme="minorHAnsi"/>
          <w:lang w:val="en-GB"/>
        </w:rPr>
        <w:t xml:space="preserve">) may have overestimated the cross-shelf exchange </w:t>
      </w:r>
      <w:r w:rsidR="001F0AF9" w:rsidRPr="007C6F51">
        <w:rPr>
          <w:rFonts w:asciiTheme="minorHAnsi" w:eastAsia="Cambria" w:hAnsiTheme="minorHAnsi"/>
          <w:lang w:val="en-GB"/>
        </w:rPr>
        <w:t>–</w:t>
      </w:r>
      <w:r w:rsidRPr="007C6F51">
        <w:rPr>
          <w:rFonts w:asciiTheme="minorHAnsi" w:eastAsia="Cambria" w:hAnsiTheme="minorHAnsi"/>
          <w:lang w:val="en-GB"/>
        </w:rPr>
        <w:t xml:space="preserve"> the </w:t>
      </w:r>
      <w:proofErr w:type="spellStart"/>
      <w:r w:rsidRPr="007C6F51">
        <w:rPr>
          <w:rFonts w:asciiTheme="minorHAnsi" w:eastAsia="Cambria" w:hAnsiTheme="minorHAnsi"/>
          <w:lang w:val="en-GB"/>
        </w:rPr>
        <w:t>Huthnance</w:t>
      </w:r>
      <w:proofErr w:type="spellEnd"/>
      <w:r w:rsidRPr="007C6F51">
        <w:rPr>
          <w:rFonts w:asciiTheme="minorHAnsi" w:eastAsia="Cambria" w:hAnsiTheme="minorHAnsi"/>
          <w:lang w:val="en-GB"/>
        </w:rPr>
        <w:t xml:space="preserve"> (</w:t>
      </w:r>
      <w:r w:rsidR="00150E95" w:rsidRPr="007C6F51">
        <w:rPr>
          <w:rFonts w:asciiTheme="minorHAnsi" w:eastAsia="Cambria" w:hAnsiTheme="minorHAnsi"/>
          <w:lang w:val="en-GB"/>
        </w:rPr>
        <w:t>1995</w:t>
      </w:r>
      <w:r w:rsidRPr="007C6F51">
        <w:rPr>
          <w:rFonts w:asciiTheme="minorHAnsi" w:eastAsia="Cambria" w:hAnsiTheme="minorHAnsi"/>
          <w:lang w:val="en-GB"/>
        </w:rPr>
        <w:t xml:space="preserve">) values of 1 or more </w:t>
      </w:r>
      <w:proofErr w:type="spellStart"/>
      <w:r w:rsidRPr="007C6F51">
        <w:rPr>
          <w:rFonts w:asciiTheme="minorHAnsi" w:eastAsia="Cambria" w:hAnsiTheme="minorHAnsi"/>
          <w:lang w:val="en-GB"/>
        </w:rPr>
        <w:t>Sv</w:t>
      </w:r>
      <w:proofErr w:type="spellEnd"/>
      <w:r w:rsidRPr="007C6F51">
        <w:rPr>
          <w:rFonts w:asciiTheme="minorHAnsi" w:eastAsia="Cambria" w:hAnsiTheme="minorHAnsi"/>
          <w:lang w:val="en-GB"/>
        </w:rPr>
        <w:t xml:space="preserve"> per 1</w:t>
      </w:r>
      <w:r w:rsidR="001F0AF9" w:rsidRPr="007C6F51">
        <w:rPr>
          <w:rFonts w:asciiTheme="minorHAnsi" w:eastAsia="Cambria" w:hAnsiTheme="minorHAnsi"/>
          <w:lang w:val="en-GB"/>
        </w:rPr>
        <w:t>,</w:t>
      </w:r>
      <w:r w:rsidRPr="007C6F51">
        <w:rPr>
          <w:rFonts w:asciiTheme="minorHAnsi" w:eastAsia="Cambria" w:hAnsiTheme="minorHAnsi"/>
          <w:lang w:val="en-GB"/>
        </w:rPr>
        <w:t xml:space="preserve">000 km that they use are for transient features of shelf-edge exchange rather than a long-term average. Based on </w:t>
      </w:r>
      <w:r w:rsidR="0031035E" w:rsidRPr="007C6F51">
        <w:rPr>
          <w:rFonts w:asciiTheme="minorHAnsi" w:eastAsia="Cambria" w:hAnsiTheme="minorHAnsi"/>
          <w:lang w:val="en-GB"/>
        </w:rPr>
        <w:t xml:space="preserve">a </w:t>
      </w:r>
      <w:r w:rsidRPr="007C6F51">
        <w:rPr>
          <w:rFonts w:asciiTheme="minorHAnsi" w:eastAsia="Cambria" w:hAnsiTheme="minorHAnsi"/>
          <w:lang w:val="en-GB"/>
        </w:rPr>
        <w:t>recent analysis of NW European shelf (</w:t>
      </w:r>
      <w:proofErr w:type="spellStart"/>
      <w:r w:rsidRPr="007C6F51">
        <w:rPr>
          <w:rFonts w:asciiTheme="minorHAnsi" w:eastAsia="Cambria" w:hAnsiTheme="minorHAnsi"/>
          <w:lang w:val="en-GB"/>
        </w:rPr>
        <w:t>Spingys</w:t>
      </w:r>
      <w:proofErr w:type="spellEnd"/>
      <w:r w:rsidR="00150E95" w:rsidRPr="007C6F51">
        <w:rPr>
          <w:rFonts w:asciiTheme="minorHAnsi" w:eastAsia="Cambria" w:hAnsiTheme="minorHAnsi"/>
          <w:lang w:val="en-GB"/>
        </w:rPr>
        <w:t>,</w:t>
      </w:r>
      <w:r w:rsidR="001F0AF9" w:rsidRPr="007C6F51">
        <w:rPr>
          <w:rFonts w:asciiTheme="minorHAnsi" w:eastAsia="Cambria" w:hAnsiTheme="minorHAnsi"/>
          <w:lang w:val="en-GB"/>
        </w:rPr>
        <w:t xml:space="preserve"> </w:t>
      </w:r>
      <w:r w:rsidRPr="007C6F51">
        <w:rPr>
          <w:rFonts w:asciiTheme="minorHAnsi" w:eastAsia="Cambria" w:hAnsiTheme="minorHAnsi"/>
          <w:lang w:val="en-GB"/>
        </w:rPr>
        <w:t>2017)) their shelf-edge exchange should arguably be revised down by a factor of 4. On this basis</w:t>
      </w:r>
      <w:r w:rsidR="0031035E" w:rsidRPr="007C6F51">
        <w:rPr>
          <w:rFonts w:asciiTheme="minorHAnsi" w:eastAsia="Cambria" w:hAnsiTheme="minorHAnsi"/>
          <w:lang w:val="en-GB"/>
        </w:rPr>
        <w:t>,</w:t>
      </w:r>
      <w:r w:rsidRPr="007C6F51">
        <w:rPr>
          <w:rFonts w:asciiTheme="minorHAnsi" w:eastAsia="Cambria" w:hAnsiTheme="minorHAnsi"/>
          <w:lang w:val="en-GB"/>
        </w:rPr>
        <w:t xml:space="preserve"> we revise Barron and </w:t>
      </w:r>
      <w:r w:rsidR="0031035E" w:rsidRPr="007C6F51">
        <w:rPr>
          <w:rFonts w:asciiTheme="minorHAnsi" w:eastAsia="Cambria" w:hAnsiTheme="minorHAnsi"/>
          <w:lang w:val="en-GB"/>
        </w:rPr>
        <w:t>Duarte's</w:t>
      </w:r>
      <w:r w:rsidRPr="007C6F51">
        <w:rPr>
          <w:rFonts w:asciiTheme="minorHAnsi" w:eastAsia="Cambria" w:hAnsiTheme="minorHAnsi"/>
          <w:lang w:val="en-GB"/>
        </w:rPr>
        <w:t xml:space="preserve"> potential storage down to 27 to 190 Pg C to 2100 (</w:t>
      </w:r>
      <w:r w:rsidR="00D819E7" w:rsidRPr="007C6F51">
        <w:rPr>
          <w:rFonts w:asciiTheme="minorHAnsi" w:eastAsia="Cambria" w:hAnsiTheme="minorHAnsi"/>
          <w:lang w:val="en-GB"/>
        </w:rPr>
        <w:t>0.3 to 2.1</w:t>
      </w:r>
      <w:r w:rsidRPr="007C6F51">
        <w:rPr>
          <w:rFonts w:asciiTheme="minorHAnsi" w:eastAsia="Cambria" w:hAnsiTheme="minorHAnsi"/>
          <w:lang w:val="en-GB"/>
        </w:rPr>
        <w:t xml:space="preserve"> Pg C yr</w:t>
      </w:r>
      <w:r w:rsidRPr="007C6F51">
        <w:rPr>
          <w:rFonts w:asciiTheme="minorHAnsi" w:eastAsia="Cambria" w:hAnsiTheme="minorHAnsi"/>
          <w:vertAlign w:val="superscript"/>
          <w:lang w:val="en-GB"/>
        </w:rPr>
        <w:t>-1</w:t>
      </w:r>
      <w:r w:rsidR="001F0AF9" w:rsidRPr="007C6F51">
        <w:rPr>
          <w:rFonts w:asciiTheme="minorHAnsi" w:eastAsia="Cambria" w:hAnsiTheme="minorHAnsi"/>
          <w:lang w:val="en-GB"/>
        </w:rPr>
        <w:t>)</w:t>
      </w:r>
      <w:r w:rsidR="00374C55" w:rsidRPr="007C6F51">
        <w:rPr>
          <w:rFonts w:asciiTheme="minorHAnsi" w:eastAsia="Cambria" w:hAnsiTheme="minorHAnsi"/>
          <w:lang w:val="en-GB"/>
        </w:rPr>
        <w:t xml:space="preserve">. Note these annual values equate to </w:t>
      </w:r>
      <w:r w:rsidR="00F844FF" w:rsidRPr="007C6F51">
        <w:rPr>
          <w:rFonts w:asciiTheme="minorHAnsi" w:eastAsia="Cambria" w:hAnsiTheme="minorHAnsi"/>
          <w:lang w:val="en-GB"/>
        </w:rPr>
        <w:t>Barron and Duarte (2015) values (4 to 27 Pg C yr</w:t>
      </w:r>
      <w:r w:rsidR="00F844FF" w:rsidRPr="007C6F51">
        <w:rPr>
          <w:rFonts w:asciiTheme="minorHAnsi" w:eastAsia="Cambria" w:hAnsiTheme="minorHAnsi"/>
          <w:vertAlign w:val="superscript"/>
          <w:lang w:val="en-GB"/>
        </w:rPr>
        <w:t>-1</w:t>
      </w:r>
      <w:r w:rsidR="00F844FF" w:rsidRPr="007C6F51">
        <w:rPr>
          <w:rFonts w:asciiTheme="minorHAnsi" w:eastAsia="Cambria" w:hAnsiTheme="minorHAnsi"/>
          <w:lang w:val="en-GB"/>
        </w:rPr>
        <w:t xml:space="preserve">) divided by 4 and then multiplied by 0.3 to account for assumed 30% not respired. </w:t>
      </w:r>
    </w:p>
    <w:p w14:paraId="061A7B48" w14:textId="66777E12"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Bauer et al</w:t>
      </w:r>
      <w:r w:rsidR="001A638B" w:rsidRPr="007C6F51">
        <w:rPr>
          <w:rFonts w:asciiTheme="minorHAnsi" w:eastAsia="Cambria" w:hAnsiTheme="minorHAnsi"/>
          <w:lang w:val="en-GB"/>
        </w:rPr>
        <w:t>.</w:t>
      </w:r>
      <w:r w:rsidRPr="007C6F51">
        <w:rPr>
          <w:rFonts w:asciiTheme="minorHAnsi" w:eastAsia="Cambria" w:hAnsiTheme="minorHAnsi"/>
          <w:lang w:val="en-GB"/>
        </w:rPr>
        <w:t xml:space="preserve"> </w:t>
      </w:r>
      <w:r w:rsidR="001A638B" w:rsidRPr="007C6F51">
        <w:rPr>
          <w:rFonts w:asciiTheme="minorHAnsi" w:eastAsia="Cambria" w:hAnsiTheme="minorHAnsi"/>
          <w:lang w:val="en-GB"/>
        </w:rPr>
        <w:t>(</w:t>
      </w:r>
      <w:r w:rsidRPr="007C6F51">
        <w:rPr>
          <w:rFonts w:asciiTheme="minorHAnsi" w:eastAsia="Cambria" w:hAnsiTheme="minorHAnsi"/>
          <w:lang w:val="en-GB"/>
        </w:rPr>
        <w:t>2013</w:t>
      </w:r>
      <w:r w:rsidR="001A638B" w:rsidRPr="007C6F51">
        <w:rPr>
          <w:rFonts w:asciiTheme="minorHAnsi" w:eastAsia="Cambria" w:hAnsiTheme="minorHAnsi"/>
          <w:lang w:val="en-GB"/>
        </w:rPr>
        <w:t>)</w:t>
      </w:r>
      <w:r w:rsidRPr="007C6F51">
        <w:rPr>
          <w:rFonts w:asciiTheme="minorHAnsi" w:eastAsia="Cambria" w:hAnsiTheme="minorHAnsi"/>
          <w:lang w:val="en-GB"/>
        </w:rPr>
        <w:t xml:space="preserve"> estimated the net export from the coastal ocean of DOC to be 0.15</w:t>
      </w:r>
      <w:r w:rsidR="001F0AF9" w:rsidRPr="007C6F51">
        <w:rPr>
          <w:rFonts w:asciiTheme="minorHAnsi" w:eastAsia="Cambria" w:hAnsiTheme="minorHAnsi"/>
          <w:lang w:val="en-GB"/>
        </w:rPr>
        <w:t>–</w:t>
      </w:r>
      <w:r w:rsidRPr="007C6F51">
        <w:rPr>
          <w:rFonts w:asciiTheme="minorHAnsi" w:eastAsia="Cambria" w:hAnsiTheme="minorHAnsi"/>
          <w:lang w:val="en-GB"/>
        </w:rPr>
        <w:t>0.35 Pg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or 12</w:t>
      </w:r>
      <w:r w:rsidR="001F0AF9" w:rsidRPr="007C6F51">
        <w:rPr>
          <w:rFonts w:asciiTheme="minorHAnsi" w:eastAsia="Cambria" w:hAnsiTheme="minorHAnsi"/>
          <w:lang w:val="en-GB"/>
        </w:rPr>
        <w:t>–</w:t>
      </w:r>
      <w:r w:rsidRPr="007C6F51">
        <w:rPr>
          <w:rFonts w:asciiTheme="minorHAnsi" w:eastAsia="Cambria" w:hAnsiTheme="minorHAnsi"/>
          <w:lang w:val="en-GB"/>
        </w:rPr>
        <w:t xml:space="preserve">30 Pg C to 2100. This second estimate is based on budgeting carbon on the global shelf – this </w:t>
      </w:r>
      <w:r w:rsidR="001A638B" w:rsidRPr="007C6F51">
        <w:rPr>
          <w:rFonts w:asciiTheme="minorHAnsi" w:eastAsia="Cambria" w:hAnsiTheme="minorHAnsi"/>
          <w:lang w:val="en-GB"/>
        </w:rPr>
        <w:t xml:space="preserve">value </w:t>
      </w:r>
      <w:r w:rsidRPr="007C6F51">
        <w:rPr>
          <w:rFonts w:asciiTheme="minorHAnsi" w:eastAsia="Cambria" w:hAnsiTheme="minorHAnsi"/>
          <w:lang w:val="en-GB"/>
        </w:rPr>
        <w:t xml:space="preserve">is the residual. In the absence of better information, we </w:t>
      </w:r>
      <w:r w:rsidR="00F844FF" w:rsidRPr="007C6F51">
        <w:rPr>
          <w:rFonts w:asciiTheme="minorHAnsi" w:eastAsia="Cambria" w:hAnsiTheme="minorHAnsi"/>
          <w:lang w:val="en-GB"/>
        </w:rPr>
        <w:t xml:space="preserve">take </w:t>
      </w:r>
      <w:r w:rsidR="001F0AF9" w:rsidRPr="007C6F51">
        <w:rPr>
          <w:rFonts w:asciiTheme="minorHAnsi" w:eastAsia="Cambria" w:hAnsiTheme="minorHAnsi"/>
          <w:lang w:val="en-GB"/>
        </w:rPr>
        <w:t xml:space="preserve">the </w:t>
      </w:r>
      <w:r w:rsidR="00F844FF" w:rsidRPr="007C6F51">
        <w:rPr>
          <w:rFonts w:asciiTheme="minorHAnsi" w:eastAsia="Cambria" w:hAnsiTheme="minorHAnsi"/>
          <w:lang w:val="en-GB"/>
        </w:rPr>
        <w:t>lowe</w:t>
      </w:r>
      <w:r w:rsidR="001F0AF9" w:rsidRPr="007C6F51">
        <w:rPr>
          <w:rFonts w:asciiTheme="minorHAnsi" w:eastAsia="Cambria" w:hAnsiTheme="minorHAnsi"/>
          <w:lang w:val="en-GB"/>
        </w:rPr>
        <w:t>r</w:t>
      </w:r>
      <w:r w:rsidR="00F844FF" w:rsidRPr="007C6F51">
        <w:rPr>
          <w:rFonts w:asciiTheme="minorHAnsi" w:eastAsia="Cambria" w:hAnsiTheme="minorHAnsi"/>
          <w:lang w:val="en-GB"/>
        </w:rPr>
        <w:t xml:space="preserve"> estimate of Bauer et al., (2013) and (revised) upper estimate of Barron and Duarte (2015) and so </w:t>
      </w:r>
      <w:r w:rsidRPr="007C6F51">
        <w:rPr>
          <w:rFonts w:asciiTheme="minorHAnsi" w:eastAsia="Cambria" w:hAnsiTheme="minorHAnsi"/>
          <w:lang w:val="en-GB"/>
        </w:rPr>
        <w:t>assume 12 to 190 Pg C to 2100 (0.15 to 2.1 Pg C yr</w:t>
      </w:r>
      <w:r w:rsidRPr="007C6F51">
        <w:rPr>
          <w:rFonts w:asciiTheme="minorHAnsi" w:eastAsia="Cambria" w:hAnsiTheme="minorHAnsi"/>
          <w:vertAlign w:val="superscript"/>
          <w:lang w:val="en-GB"/>
        </w:rPr>
        <w:t>-1</w:t>
      </w:r>
      <w:r w:rsidRPr="007C6F51">
        <w:rPr>
          <w:rFonts w:asciiTheme="minorHAnsi" w:eastAsia="Cambria" w:hAnsiTheme="minorHAnsi"/>
          <w:lang w:val="en-GB"/>
        </w:rPr>
        <w:t>)</w:t>
      </w:r>
    </w:p>
    <w:p w14:paraId="40F828A9" w14:textId="77777777" w:rsidR="007A2027" w:rsidRPr="007C6F51" w:rsidRDefault="00973424">
      <w:pPr>
        <w:spacing w:before="180" w:after="180"/>
        <w:rPr>
          <w:rFonts w:asciiTheme="minorHAnsi" w:eastAsia="Cambria" w:hAnsiTheme="minorHAnsi"/>
          <w:b/>
          <w:bCs/>
          <w:lang w:val="en-GB"/>
        </w:rPr>
      </w:pPr>
      <w:r w:rsidRPr="007C6F51">
        <w:rPr>
          <w:rFonts w:asciiTheme="minorHAnsi" w:eastAsia="Cambria" w:hAnsiTheme="minorHAnsi"/>
          <w:b/>
          <w:bCs/>
          <w:lang w:val="en-GB"/>
        </w:rPr>
        <w:lastRenderedPageBreak/>
        <w:t>Potentially manageable shelf carbon</w:t>
      </w:r>
    </w:p>
    <w:p w14:paraId="0B3CBB62" w14:textId="29F37263" w:rsidR="007A2027" w:rsidRPr="007C6F51" w:rsidRDefault="00973424">
      <w:pPr>
        <w:spacing w:before="180" w:after="180"/>
        <w:rPr>
          <w:rFonts w:asciiTheme="minorHAnsi" w:eastAsia="Cambria" w:hAnsiTheme="minorHAnsi"/>
          <w:lang w:val="en-GB"/>
        </w:rPr>
      </w:pPr>
      <w:proofErr w:type="spellStart"/>
      <w:r w:rsidRPr="007C6F51">
        <w:rPr>
          <w:rFonts w:asciiTheme="minorHAnsi" w:eastAsia="Cambria" w:hAnsiTheme="minorHAnsi"/>
          <w:lang w:val="en-GB"/>
        </w:rPr>
        <w:t>Chaichana</w:t>
      </w:r>
      <w:proofErr w:type="spellEnd"/>
      <w:r w:rsidRPr="007C6F51">
        <w:rPr>
          <w:rFonts w:asciiTheme="minorHAnsi" w:eastAsia="Cambria" w:hAnsiTheme="minorHAnsi"/>
          <w:lang w:val="en-GB"/>
        </w:rPr>
        <w:t xml:space="preserve"> et al</w:t>
      </w:r>
      <w:r w:rsidR="00F844FF" w:rsidRPr="007C6F51">
        <w:rPr>
          <w:rFonts w:asciiTheme="minorHAnsi" w:eastAsia="Cambria" w:hAnsiTheme="minorHAnsi"/>
          <w:lang w:val="en-GB"/>
        </w:rPr>
        <w:t>.</w:t>
      </w:r>
      <w:r w:rsidRPr="007C6F51">
        <w:rPr>
          <w:rFonts w:asciiTheme="minorHAnsi" w:eastAsia="Cambria" w:hAnsiTheme="minorHAnsi"/>
          <w:lang w:val="en-GB"/>
        </w:rPr>
        <w:t xml:space="preserve"> </w:t>
      </w:r>
      <w:r w:rsidR="00F844FF" w:rsidRPr="007C6F51">
        <w:rPr>
          <w:rFonts w:asciiTheme="minorHAnsi" w:eastAsia="Cambria" w:hAnsiTheme="minorHAnsi"/>
          <w:lang w:val="en-GB"/>
        </w:rPr>
        <w:t>(</w:t>
      </w:r>
      <w:r w:rsidRPr="007C6F51">
        <w:rPr>
          <w:rFonts w:asciiTheme="minorHAnsi" w:eastAsia="Cambria" w:hAnsiTheme="minorHAnsi"/>
          <w:lang w:val="en-GB"/>
        </w:rPr>
        <w:t>2019</w:t>
      </w:r>
      <w:r w:rsidR="00F844FF" w:rsidRPr="007C6F51">
        <w:rPr>
          <w:rFonts w:asciiTheme="minorHAnsi" w:eastAsia="Cambria" w:hAnsiTheme="minorHAnsi"/>
          <w:lang w:val="en-GB"/>
        </w:rPr>
        <w:t>)</w:t>
      </w:r>
      <w:r w:rsidRPr="007C6F51">
        <w:rPr>
          <w:rFonts w:asciiTheme="minorHAnsi" w:eastAsia="Cambria" w:hAnsiTheme="minorHAnsi"/>
          <w:lang w:val="en-GB"/>
        </w:rPr>
        <w:t xml:space="preserve"> observe 30</w:t>
      </w:r>
      <w:r w:rsidR="001F0AF9" w:rsidRPr="007C6F51">
        <w:rPr>
          <w:rFonts w:asciiTheme="minorHAnsi" w:eastAsia="Cambria" w:hAnsiTheme="minorHAnsi"/>
          <w:lang w:val="en-GB"/>
        </w:rPr>
        <w:t>–</w:t>
      </w:r>
      <w:r w:rsidRPr="007C6F51">
        <w:rPr>
          <w:rFonts w:asciiTheme="minorHAnsi" w:eastAsia="Cambria" w:hAnsiTheme="minorHAnsi"/>
          <w:lang w:val="en-GB"/>
        </w:rPr>
        <w:t xml:space="preserve">50% differences in DOC inventory of the North </w:t>
      </w:r>
      <w:r w:rsidR="0031035E" w:rsidRPr="007C6F51">
        <w:rPr>
          <w:rFonts w:asciiTheme="minorHAnsi" w:eastAsia="Cambria" w:hAnsiTheme="minorHAnsi"/>
          <w:lang w:val="en-GB"/>
        </w:rPr>
        <w:t>Sea</w:t>
      </w:r>
      <w:r w:rsidRPr="007C6F51">
        <w:rPr>
          <w:rFonts w:asciiTheme="minorHAnsi" w:eastAsia="Cambria" w:hAnsiTheme="minorHAnsi"/>
          <w:lang w:val="en-GB"/>
        </w:rPr>
        <w:t xml:space="preserve"> interannually. This may be due to circulation changes but is also potentially due to changing nutrient and runoff </w:t>
      </w:r>
      <w:r w:rsidR="0031035E" w:rsidRPr="007C6F51">
        <w:rPr>
          <w:rFonts w:asciiTheme="minorHAnsi" w:eastAsia="Cambria" w:hAnsiTheme="minorHAnsi"/>
          <w:lang w:val="en-GB"/>
        </w:rPr>
        <w:t>regimes</w:t>
      </w:r>
      <w:r w:rsidRPr="007C6F51">
        <w:rPr>
          <w:rFonts w:asciiTheme="minorHAnsi" w:eastAsia="Cambria" w:hAnsiTheme="minorHAnsi"/>
          <w:lang w:val="en-GB"/>
        </w:rPr>
        <w:t xml:space="preserve"> changing the degradation rate and the bioavailability of DOM for respiration (</w:t>
      </w:r>
      <w:proofErr w:type="spellStart"/>
      <w:r w:rsidRPr="007C6F51">
        <w:rPr>
          <w:rFonts w:asciiTheme="minorHAnsi" w:eastAsia="Cambria" w:hAnsiTheme="minorHAnsi"/>
          <w:lang w:val="en-GB"/>
        </w:rPr>
        <w:t>Jaio</w:t>
      </w:r>
      <w:proofErr w:type="spellEnd"/>
      <w:r w:rsidRPr="007C6F51">
        <w:rPr>
          <w:rFonts w:asciiTheme="minorHAnsi" w:eastAsia="Cambria" w:hAnsiTheme="minorHAnsi"/>
          <w:lang w:val="en-GB"/>
        </w:rPr>
        <w:t xml:space="preserve"> et al</w:t>
      </w:r>
      <w:r w:rsidR="005B4AF4" w:rsidRPr="007C6F51">
        <w:rPr>
          <w:rFonts w:asciiTheme="minorHAnsi" w:eastAsia="Cambria" w:hAnsiTheme="minorHAnsi"/>
          <w:lang w:val="en-GB"/>
        </w:rPr>
        <w:t>.,</w:t>
      </w:r>
      <w:r w:rsidRPr="007C6F51">
        <w:rPr>
          <w:rFonts w:asciiTheme="minorHAnsi" w:eastAsia="Cambria" w:hAnsiTheme="minorHAnsi"/>
          <w:lang w:val="en-GB"/>
        </w:rPr>
        <w:t xml:space="preserve"> 2014). Any carbon not remineralised is not available for release back </w:t>
      </w:r>
      <w:r w:rsidR="0031035E" w:rsidRPr="007C6F51">
        <w:rPr>
          <w:rFonts w:asciiTheme="minorHAnsi" w:eastAsia="Cambria" w:hAnsiTheme="minorHAnsi"/>
          <w:lang w:val="en-GB"/>
        </w:rPr>
        <w:t>into</w:t>
      </w:r>
      <w:r w:rsidRPr="007C6F51">
        <w:rPr>
          <w:rFonts w:asciiTheme="minorHAnsi" w:eastAsia="Cambria" w:hAnsiTheme="minorHAnsi"/>
          <w:lang w:val="en-GB"/>
        </w:rPr>
        <w:t xml:space="preserve"> the atmosphere. </w:t>
      </w:r>
      <w:proofErr w:type="gramStart"/>
      <w:r w:rsidRPr="007C6F51">
        <w:rPr>
          <w:rFonts w:asciiTheme="minorHAnsi" w:eastAsia="Cambria" w:hAnsiTheme="minorHAnsi"/>
          <w:lang w:val="en-GB"/>
        </w:rPr>
        <w:t>Therefore</w:t>
      </w:r>
      <w:proofErr w:type="gramEnd"/>
      <w:r w:rsidRPr="007C6F51">
        <w:rPr>
          <w:rFonts w:asciiTheme="minorHAnsi" w:eastAsia="Cambria" w:hAnsiTheme="minorHAnsi"/>
          <w:lang w:val="en-GB"/>
        </w:rPr>
        <w:t xml:space="preserve"> with </w:t>
      </w:r>
      <w:r w:rsidR="0031035E" w:rsidRPr="007C6F51">
        <w:rPr>
          <w:rFonts w:asciiTheme="minorHAnsi" w:eastAsia="Cambria" w:hAnsiTheme="minorHAnsi"/>
          <w:lang w:val="en-GB"/>
        </w:rPr>
        <w:t xml:space="preserve">a </w:t>
      </w:r>
      <w:r w:rsidRPr="007C6F51">
        <w:rPr>
          <w:rFonts w:asciiTheme="minorHAnsi" w:eastAsia="Cambria" w:hAnsiTheme="minorHAnsi"/>
          <w:lang w:val="en-GB"/>
        </w:rPr>
        <w:t xml:space="preserve">better understanding of the role of riverine nutrients in controlling the DOC flux and application of this knowledge we, for arguments’ sake, assume 10% of the variability in DOC concentration in marginal seas could exert a 4% change on the DOC flux. Assuming that the knowledge and capability to </w:t>
      </w:r>
      <w:proofErr w:type="spellStart"/>
      <w:r w:rsidRPr="007C6F51">
        <w:rPr>
          <w:rFonts w:asciiTheme="minorHAnsi" w:eastAsia="Cambria" w:hAnsiTheme="minorHAnsi"/>
          <w:lang w:val="en-GB"/>
        </w:rPr>
        <w:t>i</w:t>
      </w:r>
      <w:proofErr w:type="spellEnd"/>
      <w:r w:rsidRPr="007C6F51">
        <w:rPr>
          <w:rFonts w:asciiTheme="minorHAnsi" w:eastAsia="Cambria" w:hAnsiTheme="minorHAnsi"/>
          <w:lang w:val="en-GB"/>
        </w:rPr>
        <w:t xml:space="preserve">) understand and modify and ii) monitor the </w:t>
      </w:r>
      <w:r w:rsidR="0031035E" w:rsidRPr="007C6F51">
        <w:rPr>
          <w:rFonts w:asciiTheme="minorHAnsi" w:eastAsia="Cambria" w:hAnsiTheme="minorHAnsi"/>
          <w:lang w:val="en-GB"/>
        </w:rPr>
        <w:t>additional</w:t>
      </w:r>
      <w:r w:rsidRPr="007C6F51">
        <w:rPr>
          <w:rFonts w:asciiTheme="minorHAnsi" w:eastAsia="Cambria" w:hAnsiTheme="minorHAnsi"/>
          <w:lang w:val="en-GB"/>
        </w:rPr>
        <w:t xml:space="preserve"> carbon sequestration could be achieved by 2040, we model a scenario of 4% enhanced continental shelf organic carbon pump from 2040</w:t>
      </w:r>
      <w:r w:rsidR="001F0AF9" w:rsidRPr="007C6F51">
        <w:rPr>
          <w:rFonts w:asciiTheme="minorHAnsi" w:eastAsia="Cambria" w:hAnsiTheme="minorHAnsi"/>
          <w:lang w:val="en-GB"/>
        </w:rPr>
        <w:t>–</w:t>
      </w:r>
      <w:r w:rsidRPr="007C6F51">
        <w:rPr>
          <w:rFonts w:asciiTheme="minorHAnsi" w:eastAsia="Cambria" w:hAnsiTheme="minorHAnsi"/>
          <w:lang w:val="en-GB"/>
        </w:rPr>
        <w:t>2100, yielding a net additional carbon sequestration of 0.36 to 5.0 Pg C to 2100. Note that this management might well be achieved as an additional benefit of nutrient control with macroalgae in coastal seas and therefore be a co-benefit.</w:t>
      </w:r>
    </w:p>
    <w:p w14:paraId="33ED45DD" w14:textId="17A188FC" w:rsidR="007A2027" w:rsidRPr="007C6F51" w:rsidRDefault="00066DAA">
      <w:pPr>
        <w:pStyle w:val="Heading2"/>
        <w:keepNext w:val="0"/>
        <w:keepLines w:val="0"/>
        <w:spacing w:before="200" w:after="0"/>
        <w:rPr>
          <w:rFonts w:asciiTheme="minorHAnsi" w:eastAsia="Calibri" w:hAnsiTheme="minorHAnsi"/>
          <w:b/>
          <w:color w:val="4F81BD"/>
        </w:rPr>
      </w:pPr>
      <w:bookmarkStart w:id="8" w:name="_bl15q6g8dqfb"/>
      <w:bookmarkEnd w:id="8"/>
      <w:r w:rsidRPr="007C6F51">
        <w:rPr>
          <w:rFonts w:asciiTheme="minorHAnsi" w:eastAsia="Calibri" w:hAnsiTheme="minorHAnsi"/>
          <w:b/>
          <w:color w:val="4F81BD"/>
        </w:rPr>
        <w:t>Text S</w:t>
      </w:r>
      <w:r w:rsidR="00973424" w:rsidRPr="007C6F51">
        <w:rPr>
          <w:rFonts w:asciiTheme="minorHAnsi" w:eastAsia="Calibri" w:hAnsiTheme="minorHAnsi"/>
          <w:b/>
          <w:color w:val="4F81BD"/>
        </w:rPr>
        <w:t xml:space="preserve">4. </w:t>
      </w:r>
      <w:r w:rsidR="001F0AF9" w:rsidRPr="007C6F51">
        <w:rPr>
          <w:rFonts w:asciiTheme="minorHAnsi" w:eastAsia="Calibri" w:hAnsiTheme="minorHAnsi"/>
          <w:b/>
          <w:color w:val="4F81BD"/>
        </w:rPr>
        <w:t>W</w:t>
      </w:r>
      <w:r w:rsidR="00973424" w:rsidRPr="007C6F51">
        <w:rPr>
          <w:rFonts w:asciiTheme="minorHAnsi" w:eastAsia="Calibri" w:hAnsiTheme="minorHAnsi"/>
          <w:b/>
          <w:color w:val="4F81BD"/>
        </w:rPr>
        <w:t xml:space="preserve">hole ocean solutions – </w:t>
      </w:r>
      <w:proofErr w:type="spellStart"/>
      <w:r w:rsidR="00973424" w:rsidRPr="007C6F51">
        <w:rPr>
          <w:rFonts w:asciiTheme="minorHAnsi" w:eastAsia="Calibri" w:hAnsiTheme="minorHAnsi"/>
          <w:b/>
          <w:color w:val="4F81BD"/>
        </w:rPr>
        <w:t>mCDR</w:t>
      </w:r>
      <w:proofErr w:type="spellEnd"/>
      <w:r w:rsidR="00973424" w:rsidRPr="007C6F51">
        <w:rPr>
          <w:rFonts w:asciiTheme="minorHAnsi" w:eastAsia="Calibri" w:hAnsiTheme="minorHAnsi"/>
          <w:b/>
          <w:color w:val="4F81BD"/>
        </w:rPr>
        <w:t xml:space="preserve"> using the global </w:t>
      </w:r>
      <w:r w:rsidR="001F0AF9" w:rsidRPr="007C6F51">
        <w:rPr>
          <w:rFonts w:asciiTheme="minorHAnsi" w:eastAsia="Calibri" w:hAnsiTheme="minorHAnsi"/>
          <w:b/>
          <w:color w:val="4F81BD"/>
        </w:rPr>
        <w:t>oc</w:t>
      </w:r>
      <w:r w:rsidR="00973424" w:rsidRPr="007C6F51">
        <w:rPr>
          <w:rFonts w:asciiTheme="minorHAnsi" w:eastAsia="Calibri" w:hAnsiTheme="minorHAnsi"/>
          <w:b/>
          <w:color w:val="4F81BD"/>
        </w:rPr>
        <w:t>ean</w:t>
      </w:r>
    </w:p>
    <w:p w14:paraId="309E1005" w14:textId="40EFA865"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Here we synthesise literature data to determine ranges of the maximum potential from each of the </w:t>
      </w:r>
      <w:proofErr w:type="spellStart"/>
      <w:r w:rsidRPr="007C6F51">
        <w:rPr>
          <w:rFonts w:asciiTheme="minorHAnsi" w:eastAsia="Cambria" w:hAnsiTheme="minorHAnsi"/>
          <w:lang w:val="en-GB"/>
        </w:rPr>
        <w:t>mCDR</w:t>
      </w:r>
      <w:proofErr w:type="spellEnd"/>
      <w:r w:rsidRPr="007C6F51">
        <w:rPr>
          <w:rFonts w:asciiTheme="minorHAnsi" w:eastAsia="Cambria" w:hAnsiTheme="minorHAnsi"/>
          <w:lang w:val="en-GB"/>
        </w:rPr>
        <w:t xml:space="preserve"> </w:t>
      </w:r>
      <w:r w:rsidR="0031035E" w:rsidRPr="007C6F51">
        <w:rPr>
          <w:rFonts w:asciiTheme="minorHAnsi" w:eastAsia="Cambria" w:hAnsiTheme="minorHAnsi"/>
          <w:lang w:val="en-GB"/>
        </w:rPr>
        <w:t>approaches</w:t>
      </w:r>
      <w:r w:rsidRPr="007C6F51">
        <w:rPr>
          <w:rFonts w:asciiTheme="minorHAnsi" w:eastAsia="Cambria" w:hAnsiTheme="minorHAnsi"/>
          <w:lang w:val="en-GB"/>
        </w:rPr>
        <w:t xml:space="preserve"> considered below. These technological </w:t>
      </w:r>
      <w:r w:rsidR="0031035E" w:rsidRPr="007C6F51">
        <w:rPr>
          <w:rFonts w:asciiTheme="minorHAnsi" w:eastAsia="Cambria" w:hAnsiTheme="minorHAnsi"/>
          <w:lang w:val="en-GB"/>
        </w:rPr>
        <w:t>solutions</w:t>
      </w:r>
      <w:r w:rsidRPr="007C6F51">
        <w:rPr>
          <w:rFonts w:asciiTheme="minorHAnsi" w:eastAsia="Cambria" w:hAnsiTheme="minorHAnsi"/>
          <w:lang w:val="en-GB"/>
        </w:rPr>
        <w:t xml:space="preserve"> require substantial spin-up time and so, unlike previous studies which have commonly applied maximum capacity from a given start date</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31035E" w:rsidRPr="007C6F51">
        <w:rPr>
          <w:rFonts w:asciiTheme="minorHAnsi" w:eastAsia="Cambria" w:hAnsiTheme="minorHAnsi"/>
          <w:lang w:val="en-GB"/>
        </w:rPr>
        <w:t>e.g.,</w:t>
      </w:r>
      <w:r w:rsidRPr="007C6F51">
        <w:rPr>
          <w:rFonts w:asciiTheme="minorHAnsi" w:eastAsia="Cambria" w:hAnsiTheme="minorHAnsi"/>
          <w:lang w:val="en-GB"/>
        </w:rPr>
        <w:t xml:space="preserve"> 2030, we model a realistic growth rate up to maximum capacity in the latter half of the century (see Section 5).  </w:t>
      </w:r>
    </w:p>
    <w:p w14:paraId="3AD95666" w14:textId="0BA15393" w:rsidR="007A2027" w:rsidRPr="007C6F51" w:rsidRDefault="008C2E2B">
      <w:pPr>
        <w:pStyle w:val="Heading3"/>
        <w:keepNext w:val="0"/>
        <w:keepLines w:val="0"/>
        <w:spacing w:before="200" w:after="0"/>
        <w:rPr>
          <w:rFonts w:asciiTheme="minorHAnsi" w:eastAsia="Calibri" w:hAnsiTheme="minorHAnsi"/>
          <w:b/>
          <w:color w:val="4F81BD"/>
        </w:rPr>
      </w:pPr>
      <w:bookmarkStart w:id="9" w:name="_lycjxmegtjfk"/>
      <w:bookmarkEnd w:id="9"/>
      <w:r w:rsidRPr="007C6F51">
        <w:rPr>
          <w:rFonts w:asciiTheme="minorHAnsi" w:eastAsia="Calibri" w:hAnsiTheme="minorHAnsi"/>
          <w:b/>
          <w:color w:val="4F81BD"/>
        </w:rPr>
        <w:t xml:space="preserve">Macroalgal </w:t>
      </w:r>
      <w:r w:rsidR="00973424" w:rsidRPr="007C6F51">
        <w:rPr>
          <w:rFonts w:asciiTheme="minorHAnsi" w:eastAsia="Calibri" w:hAnsiTheme="minorHAnsi"/>
          <w:b/>
          <w:color w:val="4F81BD"/>
        </w:rPr>
        <w:t>geoengineering</w:t>
      </w:r>
    </w:p>
    <w:p w14:paraId="3ED464F1" w14:textId="68445332"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It is worth considering what might be achieved on a ‘war footing’ with an active sequestration scenario where additional C storage from global seaweed aquaculture is directed to carbon sequestration: The model of </w:t>
      </w:r>
      <w:proofErr w:type="spellStart"/>
      <w:r w:rsidRPr="007C6F51">
        <w:rPr>
          <w:rFonts w:asciiTheme="minorHAnsi" w:eastAsia="Cambria" w:hAnsiTheme="minorHAnsi"/>
          <w:lang w:val="en-GB"/>
        </w:rPr>
        <w:t>Lehahn</w:t>
      </w:r>
      <w:proofErr w:type="spellEnd"/>
      <w:r w:rsidRPr="007C6F51">
        <w:rPr>
          <w:rFonts w:asciiTheme="minorHAnsi" w:eastAsia="Cambria" w:hAnsiTheme="minorHAnsi"/>
          <w:lang w:val="en-GB"/>
        </w:rPr>
        <w:t xml:space="preserve"> et al.</w:t>
      </w:r>
      <w:r w:rsidR="001F0AF9" w:rsidRPr="007C6F51">
        <w:rPr>
          <w:rFonts w:asciiTheme="minorHAnsi" w:eastAsia="Cambria" w:hAnsiTheme="minorHAnsi"/>
          <w:lang w:val="en-GB"/>
        </w:rPr>
        <w:t xml:space="preserve"> (</w:t>
      </w:r>
      <w:r w:rsidRPr="007C6F51">
        <w:rPr>
          <w:rFonts w:asciiTheme="minorHAnsi" w:eastAsia="Cambria" w:hAnsiTheme="minorHAnsi"/>
          <w:lang w:val="en-GB"/>
        </w:rPr>
        <w:t xml:space="preserve">2016) provided an </w:t>
      </w:r>
      <w:r w:rsidR="008C2E2B" w:rsidRPr="007C6F51">
        <w:rPr>
          <w:rFonts w:asciiTheme="minorHAnsi" w:eastAsia="Cambria" w:hAnsiTheme="minorHAnsi"/>
          <w:lang w:val="en-GB"/>
        </w:rPr>
        <w:t>estimate</w:t>
      </w:r>
      <w:r w:rsidR="00A647A3" w:rsidRPr="007C6F51">
        <w:rPr>
          <w:rFonts w:asciiTheme="minorHAnsi" w:eastAsia="Cambria" w:hAnsiTheme="minorHAnsi"/>
          <w:lang w:val="en-GB"/>
        </w:rPr>
        <w:t xml:space="preserve"> </w:t>
      </w:r>
      <w:r w:rsidRPr="007C6F51">
        <w:rPr>
          <w:rFonts w:asciiTheme="minorHAnsi" w:eastAsia="Cambria" w:hAnsiTheme="minorHAnsi"/>
          <w:lang w:val="en-GB"/>
        </w:rPr>
        <w:t>of the theoretical, potential global farmed seaweed biomass production as 10</w:t>
      </w:r>
      <w:r w:rsidRPr="007C6F51">
        <w:rPr>
          <w:rFonts w:asciiTheme="minorHAnsi" w:eastAsia="Cambria" w:hAnsiTheme="minorHAnsi"/>
          <w:vertAlign w:val="superscript"/>
          <w:lang w:val="en-GB"/>
        </w:rPr>
        <w:t xml:space="preserve">11 </w:t>
      </w:r>
      <w:r w:rsidRPr="007C6F51">
        <w:rPr>
          <w:rFonts w:asciiTheme="minorHAnsi" w:eastAsia="Cambria" w:hAnsiTheme="minorHAnsi"/>
          <w:lang w:val="en-GB"/>
        </w:rPr>
        <w:t>dry weight (DW) tonnes year</w:t>
      </w:r>
      <w:r w:rsidRPr="007C6F51">
        <w:rPr>
          <w:rFonts w:asciiTheme="minorHAnsi" w:eastAsia="Cambria" w:hAnsiTheme="minorHAnsi"/>
          <w:vertAlign w:val="superscript"/>
          <w:lang w:val="en-GB"/>
        </w:rPr>
        <w:t>-1</w:t>
      </w:r>
      <w:r w:rsidRPr="007C6F51">
        <w:rPr>
          <w:rFonts w:asciiTheme="minorHAnsi" w:eastAsia="Cambria" w:hAnsiTheme="minorHAnsi"/>
          <w:lang w:val="en-GB"/>
        </w:rPr>
        <w:t>, over a surface area of ~10</w:t>
      </w:r>
      <w:r w:rsidRPr="007C6F51">
        <w:rPr>
          <w:rFonts w:asciiTheme="minorHAnsi" w:eastAsia="Cambria" w:hAnsiTheme="minorHAnsi"/>
          <w:vertAlign w:val="superscript"/>
          <w:lang w:val="en-GB"/>
        </w:rPr>
        <w:t>8</w:t>
      </w:r>
      <w:r w:rsidRPr="007C6F51">
        <w:rPr>
          <w:rFonts w:asciiTheme="minorHAnsi" w:eastAsia="Cambria" w:hAnsiTheme="minorHAnsi"/>
          <w:lang w:val="en-GB"/>
        </w:rPr>
        <w:t xml:space="preserve"> km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(a little less than 30% of </w:t>
      </w:r>
      <w:r w:rsidR="0031035E" w:rsidRPr="007C6F51">
        <w:rPr>
          <w:rFonts w:asciiTheme="minorHAnsi" w:eastAsia="Cambria" w:hAnsiTheme="minorHAnsi"/>
          <w:lang w:val="en-GB"/>
        </w:rPr>
        <w:t xml:space="preserve">the </w:t>
      </w:r>
      <w:r w:rsidRPr="007C6F51">
        <w:rPr>
          <w:rFonts w:asciiTheme="minorHAnsi" w:eastAsia="Cambria" w:hAnsiTheme="minorHAnsi"/>
          <w:lang w:val="en-GB"/>
        </w:rPr>
        <w:t xml:space="preserve">total ocean surface!). </w:t>
      </w:r>
      <w:r w:rsidR="00A647A3" w:rsidRPr="007C6F51">
        <w:rPr>
          <w:rFonts w:asciiTheme="minorHAnsi" w:eastAsia="Cambria" w:hAnsiTheme="minorHAnsi"/>
          <w:lang w:val="en-GB"/>
        </w:rPr>
        <w:t xml:space="preserve">As they demonstrate, </w:t>
      </w:r>
      <w:r w:rsidRPr="007C6F51">
        <w:rPr>
          <w:rFonts w:asciiTheme="minorHAnsi" w:eastAsia="Cambria" w:hAnsiTheme="minorHAnsi"/>
          <w:lang w:val="en-GB"/>
        </w:rPr>
        <w:t>a significant amount of ocean area would be dedicated solely to seaweed production at the expense of</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31035E" w:rsidRPr="007C6F51">
        <w:rPr>
          <w:rFonts w:asciiTheme="minorHAnsi" w:eastAsia="Cambria" w:hAnsiTheme="minorHAnsi"/>
          <w:lang w:val="en-GB"/>
        </w:rPr>
        <w:t>e.g.,</w:t>
      </w:r>
      <w:r w:rsidRPr="007C6F51">
        <w:rPr>
          <w:rFonts w:asciiTheme="minorHAnsi" w:eastAsia="Cambria" w:hAnsiTheme="minorHAnsi"/>
          <w:lang w:val="en-GB"/>
        </w:rPr>
        <w:t xml:space="preserve"> shipping, wildlife</w:t>
      </w:r>
      <w:r w:rsidR="0031035E" w:rsidRPr="007C6F51">
        <w:rPr>
          <w:rFonts w:asciiTheme="minorHAnsi" w:eastAsia="Cambria" w:hAnsiTheme="minorHAnsi"/>
          <w:lang w:val="en-GB"/>
        </w:rPr>
        <w:t>,</w:t>
      </w:r>
      <w:r w:rsidRPr="007C6F51">
        <w:rPr>
          <w:rFonts w:asciiTheme="minorHAnsi" w:eastAsia="Cambria" w:hAnsiTheme="minorHAnsi"/>
          <w:lang w:val="en-GB"/>
        </w:rPr>
        <w:t xml:space="preserve"> etc and this is clearly neither practicable nor desirable. A more realistic maximum theoretical yield is probably at least an order of magnitude less than this (based on arguments in </w:t>
      </w:r>
      <w:proofErr w:type="spellStart"/>
      <w:r w:rsidRPr="007C6F51">
        <w:rPr>
          <w:rFonts w:asciiTheme="minorHAnsi" w:eastAsia="Cambria" w:hAnsiTheme="minorHAnsi"/>
          <w:lang w:val="en-GB"/>
        </w:rPr>
        <w:t>Buschmann</w:t>
      </w:r>
      <w:proofErr w:type="spellEnd"/>
      <w:r w:rsidRPr="007C6F51">
        <w:rPr>
          <w:rFonts w:asciiTheme="minorHAnsi" w:eastAsia="Cambria" w:hAnsiTheme="minorHAnsi"/>
          <w:lang w:val="en-GB"/>
        </w:rPr>
        <w:t xml:space="preserve"> et al</w:t>
      </w:r>
      <w:r w:rsidR="00A647A3" w:rsidRPr="007C6F51">
        <w:rPr>
          <w:rFonts w:asciiTheme="minorHAnsi" w:eastAsia="Cambria" w:hAnsiTheme="minorHAnsi"/>
          <w:lang w:val="en-GB"/>
        </w:rPr>
        <w:t>.,</w:t>
      </w:r>
      <w:r w:rsidRPr="007C6F51">
        <w:rPr>
          <w:rFonts w:asciiTheme="minorHAnsi" w:eastAsia="Cambria" w:hAnsiTheme="minorHAnsi"/>
          <w:lang w:val="en-GB"/>
        </w:rPr>
        <w:t xml:space="preserve"> 2017), although noting some areas considered unsuitable for energy and bioproducts production might be suitable for carbon sequestration. Assuming a carbon content of 25% dry weight (Duarte et al</w:t>
      </w:r>
      <w:r w:rsidR="00CD1D02" w:rsidRPr="007C6F51">
        <w:rPr>
          <w:rFonts w:asciiTheme="minorHAnsi" w:eastAsia="Cambria" w:hAnsiTheme="minorHAnsi"/>
          <w:lang w:val="en-GB"/>
        </w:rPr>
        <w:t>.,</w:t>
      </w:r>
      <w:r w:rsidRPr="007C6F51">
        <w:rPr>
          <w:rFonts w:asciiTheme="minorHAnsi" w:eastAsia="Cambria" w:hAnsiTheme="minorHAnsi"/>
          <w:lang w:val="en-GB"/>
        </w:rPr>
        <w:t xml:space="preserve"> 2017) this 10% of the </w:t>
      </w:r>
      <w:proofErr w:type="spellStart"/>
      <w:r w:rsidRPr="007C6F51">
        <w:rPr>
          <w:rFonts w:asciiTheme="minorHAnsi" w:eastAsia="Cambria" w:hAnsiTheme="minorHAnsi"/>
          <w:lang w:val="en-GB"/>
        </w:rPr>
        <w:t>Lehahn</w:t>
      </w:r>
      <w:proofErr w:type="spellEnd"/>
      <w:r w:rsidR="00E234E4" w:rsidRPr="007C6F51">
        <w:rPr>
          <w:rFonts w:asciiTheme="minorHAnsi" w:eastAsia="Cambria" w:hAnsiTheme="minorHAnsi"/>
          <w:lang w:val="en-GB"/>
        </w:rPr>
        <w:t xml:space="preserve"> et al. (2016)</w:t>
      </w:r>
      <w:r w:rsidRPr="007C6F51">
        <w:rPr>
          <w:rFonts w:asciiTheme="minorHAnsi" w:eastAsia="Cambria" w:hAnsiTheme="minorHAnsi"/>
          <w:lang w:val="en-GB"/>
        </w:rPr>
        <w:t xml:space="preserve"> maximum </w:t>
      </w:r>
      <w:r w:rsidR="0031035E" w:rsidRPr="007C6F51">
        <w:rPr>
          <w:rFonts w:asciiTheme="minorHAnsi" w:eastAsia="Cambria" w:hAnsiTheme="minorHAnsi"/>
          <w:lang w:val="en-GB"/>
        </w:rPr>
        <w:t xml:space="preserve">value </w:t>
      </w:r>
      <w:r w:rsidRPr="007C6F51">
        <w:rPr>
          <w:rFonts w:asciiTheme="minorHAnsi" w:eastAsia="Cambria" w:hAnsiTheme="minorHAnsi"/>
          <w:lang w:val="en-GB"/>
        </w:rPr>
        <w:t>gives a possibly more realistic kelp production of 2.5</w:t>
      </w:r>
      <w:r w:rsidR="001F0AF9" w:rsidRPr="007C6F51">
        <w:rPr>
          <w:rFonts w:asciiTheme="minorHAnsi" w:eastAsia="Cambria" w:hAnsiTheme="minorHAnsi"/>
          <w:lang w:val="en-GB"/>
        </w:rPr>
        <w:t xml:space="preserve"> </w:t>
      </w:r>
      <w:r w:rsidRPr="007C6F51">
        <w:rPr>
          <w:rFonts w:asciiTheme="minorHAnsi" w:eastAsia="Cambria" w:hAnsiTheme="minorHAnsi"/>
          <w:lang w:val="en-GB"/>
        </w:rPr>
        <w:t>x</w:t>
      </w:r>
      <w:r w:rsidR="001F0AF9" w:rsidRPr="007C6F51">
        <w:rPr>
          <w:rFonts w:asciiTheme="minorHAnsi" w:eastAsia="Cambria" w:hAnsiTheme="minorHAnsi"/>
          <w:lang w:val="en-GB"/>
        </w:rPr>
        <w:t xml:space="preserve"> </w:t>
      </w:r>
      <w:r w:rsidRPr="007C6F51">
        <w:rPr>
          <w:rFonts w:asciiTheme="minorHAnsi" w:eastAsia="Cambria" w:hAnsiTheme="minorHAnsi"/>
          <w:lang w:val="en-GB"/>
        </w:rPr>
        <w:t>10</w:t>
      </w:r>
      <w:r w:rsidRPr="007C6F51">
        <w:rPr>
          <w:rFonts w:asciiTheme="minorHAnsi" w:eastAsia="Cambria" w:hAnsiTheme="minorHAnsi"/>
          <w:vertAlign w:val="superscript"/>
          <w:lang w:val="en-GB"/>
        </w:rPr>
        <w:t>9</w:t>
      </w:r>
      <w:r w:rsidRPr="007C6F51">
        <w:rPr>
          <w:rFonts w:asciiTheme="minorHAnsi" w:eastAsia="Cambria" w:hAnsiTheme="minorHAnsi"/>
          <w:lang w:val="en-GB"/>
        </w:rPr>
        <w:t xml:space="preserve"> tonnes C (2.5 Gt C yr-</w:t>
      </w:r>
      <w:r w:rsidRPr="007C6F51">
        <w:rPr>
          <w:rFonts w:asciiTheme="minorHAnsi" w:eastAsia="Cambria" w:hAnsiTheme="minorHAnsi"/>
          <w:vertAlign w:val="superscript"/>
          <w:lang w:val="en-GB"/>
        </w:rPr>
        <w:t>1</w:t>
      </w:r>
      <w:r w:rsidRPr="007C6F51">
        <w:rPr>
          <w:rFonts w:asciiTheme="minorHAnsi" w:eastAsia="Cambria" w:hAnsiTheme="minorHAnsi"/>
          <w:lang w:val="en-GB"/>
        </w:rPr>
        <w:t>). This is difficult</w:t>
      </w:r>
      <w:r w:rsidR="00CD1D02" w:rsidRPr="007C6F51">
        <w:rPr>
          <w:rFonts w:asciiTheme="minorHAnsi" w:eastAsia="Cambria" w:hAnsiTheme="minorHAnsi"/>
          <w:lang w:val="en-GB"/>
        </w:rPr>
        <w:t xml:space="preserve"> or impossible</w:t>
      </w:r>
      <w:r w:rsidRPr="007C6F51">
        <w:rPr>
          <w:rFonts w:asciiTheme="minorHAnsi" w:eastAsia="Cambria" w:hAnsiTheme="minorHAnsi"/>
          <w:lang w:val="en-GB"/>
        </w:rPr>
        <w:t xml:space="preserve"> to achieve without</w:t>
      </w:r>
      <w:r w:rsidR="001F0AF9" w:rsidRPr="007C6F51">
        <w:rPr>
          <w:rFonts w:asciiTheme="minorHAnsi" w:eastAsia="Cambria" w:hAnsiTheme="minorHAnsi"/>
          <w:lang w:val="en-GB"/>
        </w:rPr>
        <w:t>,</w:t>
      </w:r>
      <w:r w:rsidRPr="007C6F51">
        <w:rPr>
          <w:rFonts w:asciiTheme="minorHAnsi" w:eastAsia="Cambria" w:hAnsiTheme="minorHAnsi"/>
          <w:lang w:val="en-GB"/>
        </w:rPr>
        <w:t xml:space="preserve"> e.g.</w:t>
      </w:r>
      <w:r w:rsidR="001F0AF9" w:rsidRPr="007C6F51">
        <w:rPr>
          <w:rFonts w:asciiTheme="minorHAnsi" w:eastAsia="Cambria" w:hAnsiTheme="minorHAnsi"/>
          <w:lang w:val="en-GB"/>
        </w:rPr>
        <w:t>,</w:t>
      </w:r>
      <w:r w:rsidRPr="007C6F51">
        <w:rPr>
          <w:rFonts w:asciiTheme="minorHAnsi" w:eastAsia="Cambria" w:hAnsiTheme="minorHAnsi"/>
          <w:lang w:val="en-GB"/>
        </w:rPr>
        <w:t xml:space="preserve"> open ocean kelp farms fed by deep water nutrients and</w:t>
      </w:r>
      <w:r w:rsidR="00CD1D02" w:rsidRPr="007C6F51">
        <w:rPr>
          <w:rFonts w:asciiTheme="minorHAnsi" w:eastAsia="Cambria" w:hAnsiTheme="minorHAnsi"/>
          <w:lang w:val="en-GB"/>
        </w:rPr>
        <w:t xml:space="preserve"> thus</w:t>
      </w:r>
      <w:r w:rsidRPr="007C6F51">
        <w:rPr>
          <w:rFonts w:asciiTheme="minorHAnsi" w:eastAsia="Cambria" w:hAnsiTheme="minorHAnsi"/>
          <w:lang w:val="en-GB"/>
        </w:rPr>
        <w:t xml:space="preserve"> represents </w:t>
      </w:r>
      <w:r w:rsidR="0031035E" w:rsidRPr="007C6F51">
        <w:rPr>
          <w:rFonts w:asciiTheme="minorHAnsi" w:eastAsia="Cambria" w:hAnsiTheme="minorHAnsi"/>
          <w:lang w:val="en-GB"/>
        </w:rPr>
        <w:t>large-scale</w:t>
      </w:r>
      <w:r w:rsidRPr="007C6F51">
        <w:rPr>
          <w:rFonts w:asciiTheme="minorHAnsi" w:eastAsia="Cambria" w:hAnsiTheme="minorHAnsi"/>
          <w:lang w:val="en-GB"/>
        </w:rPr>
        <w:t xml:space="preserve"> geoengineering. Seaweed aquaculture at present levels produces approximately 3 million tonnes dry weight seaweed production (Duarte et al</w:t>
      </w:r>
      <w:r w:rsidR="00B92115" w:rsidRPr="007C6F51">
        <w:rPr>
          <w:rFonts w:asciiTheme="minorHAnsi" w:eastAsia="Cambria" w:hAnsiTheme="minorHAnsi"/>
          <w:lang w:val="en-GB"/>
        </w:rPr>
        <w:t>.,</w:t>
      </w:r>
      <w:r w:rsidRPr="007C6F51">
        <w:rPr>
          <w:rFonts w:asciiTheme="minorHAnsi" w:eastAsia="Cambria" w:hAnsiTheme="minorHAnsi"/>
          <w:lang w:val="en-GB"/>
        </w:rPr>
        <w:t xml:space="preserve"> 2017</w:t>
      </w:r>
      <w:r w:rsidR="00B92115" w:rsidRPr="007C6F51">
        <w:rPr>
          <w:rFonts w:asciiTheme="minorHAnsi" w:eastAsia="Cambria" w:hAnsiTheme="minorHAnsi"/>
          <w:lang w:val="en-GB"/>
        </w:rPr>
        <w:t>)</w:t>
      </w:r>
      <w:r w:rsidRPr="007C6F51">
        <w:rPr>
          <w:rFonts w:asciiTheme="minorHAnsi" w:eastAsia="Cambria" w:hAnsiTheme="minorHAnsi"/>
          <w:lang w:val="en-GB"/>
        </w:rPr>
        <w:t xml:space="preserve">, so to reach this assumed upper limit </w:t>
      </w:r>
      <w:r w:rsidR="0031035E" w:rsidRPr="007C6F51">
        <w:rPr>
          <w:rFonts w:asciiTheme="minorHAnsi" w:eastAsia="Cambria" w:hAnsiTheme="minorHAnsi"/>
          <w:lang w:val="en-GB"/>
        </w:rPr>
        <w:t>represent</w:t>
      </w:r>
      <w:r w:rsidR="00B92115" w:rsidRPr="007C6F51">
        <w:rPr>
          <w:rFonts w:asciiTheme="minorHAnsi" w:eastAsia="Cambria" w:hAnsiTheme="minorHAnsi"/>
          <w:lang w:val="en-GB"/>
        </w:rPr>
        <w:t>s</w:t>
      </w:r>
      <w:r w:rsidRPr="007C6F51">
        <w:rPr>
          <w:rFonts w:asciiTheme="minorHAnsi" w:eastAsia="Cambria" w:hAnsiTheme="minorHAnsi"/>
          <w:lang w:val="en-GB"/>
        </w:rPr>
        <w:t xml:space="preserve"> a 1</w:t>
      </w:r>
      <w:r w:rsidR="001F0AF9" w:rsidRPr="007C6F51">
        <w:rPr>
          <w:rFonts w:asciiTheme="minorHAnsi" w:eastAsia="Cambria" w:hAnsiTheme="minorHAnsi"/>
          <w:lang w:val="en-GB"/>
        </w:rPr>
        <w:t>,</w:t>
      </w:r>
      <w:r w:rsidRPr="007C6F51">
        <w:rPr>
          <w:rFonts w:asciiTheme="minorHAnsi" w:eastAsia="Cambria" w:hAnsiTheme="minorHAnsi"/>
          <w:lang w:val="en-GB"/>
        </w:rPr>
        <w:t>000-fold increase in macroalgal production. The seaweeds produced would need to be securely stored away from the atmosphere by</w:t>
      </w:r>
      <w:r w:rsidR="001F0AF9" w:rsidRPr="007C6F51">
        <w:rPr>
          <w:rFonts w:asciiTheme="minorHAnsi" w:eastAsia="Cambria" w:hAnsiTheme="minorHAnsi"/>
          <w:lang w:val="en-GB"/>
        </w:rPr>
        <w:t>,</w:t>
      </w:r>
      <w:r w:rsidRPr="007C6F51">
        <w:rPr>
          <w:rFonts w:asciiTheme="minorHAnsi" w:eastAsia="Cambria" w:hAnsiTheme="minorHAnsi"/>
          <w:lang w:val="en-GB"/>
        </w:rPr>
        <w:t xml:space="preserve"> </w:t>
      </w:r>
      <w:r w:rsidR="0031035E" w:rsidRPr="007C6F51">
        <w:rPr>
          <w:rFonts w:asciiTheme="minorHAnsi" w:eastAsia="Cambria" w:hAnsiTheme="minorHAnsi"/>
          <w:lang w:val="en-GB"/>
        </w:rPr>
        <w:t>e.g.,</w:t>
      </w:r>
      <w:r w:rsidRPr="007C6F51">
        <w:rPr>
          <w:rFonts w:asciiTheme="minorHAnsi" w:eastAsia="Cambria" w:hAnsiTheme="minorHAnsi"/>
          <w:lang w:val="en-GB"/>
        </w:rPr>
        <w:t xml:space="preserve"> burial in the deep ocean or charring </w:t>
      </w:r>
      <w:r w:rsidR="00B92115" w:rsidRPr="007C6F51">
        <w:rPr>
          <w:rFonts w:asciiTheme="minorHAnsi" w:eastAsia="Cambria" w:hAnsiTheme="minorHAnsi"/>
          <w:lang w:val="en-GB"/>
        </w:rPr>
        <w:t>for</w:t>
      </w:r>
      <w:r w:rsidRPr="007C6F51">
        <w:rPr>
          <w:rFonts w:asciiTheme="minorHAnsi" w:eastAsia="Cambria" w:hAnsiTheme="minorHAnsi"/>
          <w:lang w:val="en-GB"/>
        </w:rPr>
        <w:t xml:space="preserve"> addition to soils</w:t>
      </w:r>
      <w:r w:rsidR="00B92115" w:rsidRPr="007C6F51">
        <w:rPr>
          <w:rFonts w:asciiTheme="minorHAnsi" w:eastAsia="Cambria" w:hAnsiTheme="minorHAnsi"/>
          <w:lang w:val="en-GB"/>
        </w:rPr>
        <w:t xml:space="preserve"> as biochar</w:t>
      </w:r>
      <w:r w:rsidRPr="007C6F51">
        <w:rPr>
          <w:rFonts w:asciiTheme="minorHAnsi" w:eastAsia="Cambria" w:hAnsiTheme="minorHAnsi"/>
          <w:lang w:val="en-GB"/>
        </w:rPr>
        <w:t xml:space="preserve">. </w:t>
      </w:r>
    </w:p>
    <w:p w14:paraId="75313BE0" w14:textId="6C0F5568" w:rsidR="007A2027" w:rsidRPr="007C6F51" w:rsidRDefault="00014728">
      <w:pPr>
        <w:spacing w:before="180" w:after="180"/>
        <w:rPr>
          <w:rFonts w:asciiTheme="minorHAnsi" w:eastAsia="Cambria" w:hAnsiTheme="minorHAnsi"/>
          <w:lang w:val="en-GB"/>
        </w:rPr>
      </w:pPr>
      <w:r w:rsidRPr="007C6F51">
        <w:rPr>
          <w:rFonts w:asciiTheme="minorHAnsi" w:eastAsia="Cambria" w:hAnsiTheme="minorHAnsi"/>
          <w:lang w:val="en-GB"/>
        </w:rPr>
        <w:lastRenderedPageBreak/>
        <w:t xml:space="preserve">de </w:t>
      </w:r>
      <w:r w:rsidR="00973424" w:rsidRPr="007C6F51">
        <w:rPr>
          <w:rFonts w:asciiTheme="minorHAnsi" w:eastAsia="Cambria" w:hAnsiTheme="minorHAnsi"/>
          <w:lang w:val="en-GB"/>
        </w:rPr>
        <w:t xml:space="preserve">Ramon </w:t>
      </w:r>
      <w:proofErr w:type="spellStart"/>
      <w:r w:rsidR="00973424" w:rsidRPr="007C6F51">
        <w:rPr>
          <w:rFonts w:asciiTheme="minorHAnsi" w:eastAsia="Cambria" w:hAnsiTheme="minorHAnsi"/>
          <w:lang w:val="en-GB"/>
        </w:rPr>
        <w:t>N’Yeurt</w:t>
      </w:r>
      <w:proofErr w:type="spellEnd"/>
      <w:r w:rsidR="00973424" w:rsidRPr="007C6F51">
        <w:rPr>
          <w:rFonts w:asciiTheme="minorHAnsi" w:eastAsia="Cambria" w:hAnsiTheme="minorHAnsi"/>
          <w:lang w:val="en-GB"/>
        </w:rPr>
        <w:t xml:space="preserve"> et al</w:t>
      </w:r>
      <w:r w:rsidR="00BE0FD0" w:rsidRPr="007C6F51">
        <w:rPr>
          <w:rFonts w:asciiTheme="minorHAnsi" w:eastAsia="Cambria" w:hAnsiTheme="minorHAnsi"/>
          <w:lang w:val="en-GB"/>
        </w:rPr>
        <w:t>. (</w:t>
      </w:r>
      <w:r w:rsidRPr="007C6F51">
        <w:rPr>
          <w:rFonts w:asciiTheme="minorHAnsi" w:eastAsia="Cambria" w:hAnsiTheme="minorHAnsi"/>
          <w:lang w:val="en-GB"/>
        </w:rPr>
        <w:t>2012</w:t>
      </w:r>
      <w:r w:rsidR="00BE0FD0" w:rsidRPr="007C6F51">
        <w:rPr>
          <w:rFonts w:asciiTheme="minorHAnsi" w:eastAsia="Cambria" w:hAnsiTheme="minorHAnsi"/>
          <w:lang w:val="en-GB"/>
        </w:rPr>
        <w:t>)</w:t>
      </w:r>
      <w:r w:rsidR="00973424" w:rsidRPr="007C6F51">
        <w:rPr>
          <w:rFonts w:asciiTheme="minorHAnsi" w:eastAsia="Cambria" w:hAnsiTheme="minorHAnsi"/>
          <w:lang w:val="en-GB"/>
        </w:rPr>
        <w:t xml:space="preserve"> claim that utilisation of 9% of the ocean surface could sequester 53 Gt C per year whilst also producing biomethane for energy and other side-products. They achieve this by in-situ processing and nutrient recovery. Using this </w:t>
      </w:r>
      <w:r w:rsidR="0031035E" w:rsidRPr="007C6F51">
        <w:rPr>
          <w:rFonts w:asciiTheme="minorHAnsi" w:eastAsia="Cambria" w:hAnsiTheme="minorHAnsi"/>
          <w:lang w:val="en-GB"/>
        </w:rPr>
        <w:t>approach,</w:t>
      </w:r>
      <w:r w:rsidR="00973424" w:rsidRPr="007C6F51">
        <w:rPr>
          <w:rFonts w:asciiTheme="minorHAnsi" w:eastAsia="Cambria" w:hAnsiTheme="minorHAnsi"/>
          <w:lang w:val="en-GB"/>
        </w:rPr>
        <w:t xml:space="preserve"> they assume maximum yields (average of 1800</w:t>
      </w:r>
      <w:r w:rsidR="001F0AF9" w:rsidRPr="007C6F51">
        <w:rPr>
          <w:rFonts w:asciiTheme="minorHAnsi" w:eastAsia="Cambria" w:hAnsiTheme="minorHAnsi"/>
          <w:lang w:val="en-GB"/>
        </w:rPr>
        <w:t xml:space="preserve"> </w:t>
      </w:r>
      <w:r w:rsidR="00973424" w:rsidRPr="007C6F51">
        <w:rPr>
          <w:rFonts w:asciiTheme="minorHAnsi" w:eastAsia="Cambria" w:hAnsiTheme="minorHAnsi"/>
          <w:lang w:val="en-GB"/>
        </w:rPr>
        <w:t>g C m</w:t>
      </w:r>
      <w:r w:rsidR="00973424" w:rsidRPr="007C6F51">
        <w:rPr>
          <w:rFonts w:asciiTheme="minorHAnsi" w:eastAsia="Cambria" w:hAnsiTheme="minorHAnsi"/>
          <w:vertAlign w:val="superscript"/>
          <w:lang w:val="en-GB"/>
        </w:rPr>
        <w:t>-2</w:t>
      </w:r>
      <w:r w:rsidR="00973424" w:rsidRPr="007C6F51">
        <w:rPr>
          <w:rFonts w:asciiTheme="minorHAnsi" w:eastAsia="Cambria" w:hAnsiTheme="minorHAnsi"/>
          <w:lang w:val="en-GB"/>
        </w:rPr>
        <w:t xml:space="preserve"> yr</w:t>
      </w:r>
      <w:r w:rsidR="00973424" w:rsidRPr="007C6F51">
        <w:rPr>
          <w:rFonts w:asciiTheme="minorHAnsi" w:eastAsia="Cambria" w:hAnsiTheme="minorHAnsi"/>
          <w:vertAlign w:val="superscript"/>
          <w:lang w:val="en-GB"/>
        </w:rPr>
        <w:t>-1</w:t>
      </w:r>
      <w:r w:rsidR="00973424" w:rsidRPr="007C6F51">
        <w:rPr>
          <w:rFonts w:asciiTheme="minorHAnsi" w:eastAsia="Cambria" w:hAnsiTheme="minorHAnsi"/>
          <w:lang w:val="en-GB"/>
        </w:rPr>
        <w:t>) could be achievable anywhere in the ocean. This would require massive engineering – floating cities farming kelp and nutrient pipes bringing nutrients up from depth</w:t>
      </w:r>
      <w:r w:rsidR="0031035E" w:rsidRPr="007C6F51">
        <w:rPr>
          <w:rFonts w:asciiTheme="minorHAnsi" w:eastAsia="Cambria" w:hAnsiTheme="minorHAnsi"/>
          <w:lang w:val="en-GB"/>
        </w:rPr>
        <w:t>,</w:t>
      </w:r>
      <w:r w:rsidR="00973424" w:rsidRPr="007C6F51">
        <w:rPr>
          <w:rFonts w:asciiTheme="minorHAnsi" w:eastAsia="Cambria" w:hAnsiTheme="minorHAnsi"/>
          <w:lang w:val="en-GB"/>
        </w:rPr>
        <w:t xml:space="preserve"> etc. We use this figure, downscaled by a factor of 10 as with </w:t>
      </w:r>
      <w:proofErr w:type="spellStart"/>
      <w:r w:rsidR="00973424" w:rsidRPr="007C6F51">
        <w:rPr>
          <w:rFonts w:asciiTheme="minorHAnsi" w:eastAsia="Cambria" w:hAnsiTheme="minorHAnsi"/>
          <w:lang w:val="en-GB"/>
        </w:rPr>
        <w:t>Lehahn</w:t>
      </w:r>
      <w:proofErr w:type="spellEnd"/>
      <w:r w:rsidR="00973424" w:rsidRPr="007C6F51">
        <w:rPr>
          <w:rFonts w:asciiTheme="minorHAnsi" w:eastAsia="Cambria" w:hAnsiTheme="minorHAnsi"/>
          <w:lang w:val="en-GB"/>
        </w:rPr>
        <w:t xml:space="preserve"> et al</w:t>
      </w:r>
      <w:r w:rsidR="0037599A" w:rsidRPr="007C6F51">
        <w:rPr>
          <w:rFonts w:asciiTheme="minorHAnsi" w:eastAsia="Cambria" w:hAnsiTheme="minorHAnsi"/>
          <w:lang w:val="en-GB"/>
        </w:rPr>
        <w:t>.</w:t>
      </w:r>
      <w:r w:rsidR="00973424" w:rsidRPr="007C6F51">
        <w:rPr>
          <w:rFonts w:asciiTheme="minorHAnsi" w:eastAsia="Cambria" w:hAnsiTheme="minorHAnsi"/>
          <w:lang w:val="en-GB"/>
        </w:rPr>
        <w:t xml:space="preserve"> </w:t>
      </w:r>
      <w:r w:rsidR="0037599A" w:rsidRPr="007C6F51">
        <w:rPr>
          <w:rFonts w:asciiTheme="minorHAnsi" w:eastAsia="Cambria" w:hAnsiTheme="minorHAnsi"/>
          <w:lang w:val="en-GB"/>
        </w:rPr>
        <w:t>(</w:t>
      </w:r>
      <w:r w:rsidR="00973424" w:rsidRPr="007C6F51">
        <w:rPr>
          <w:rFonts w:asciiTheme="minorHAnsi" w:eastAsia="Cambria" w:hAnsiTheme="minorHAnsi"/>
          <w:lang w:val="en-GB"/>
        </w:rPr>
        <w:t>2016</w:t>
      </w:r>
      <w:r w:rsidR="0037599A" w:rsidRPr="007C6F51">
        <w:rPr>
          <w:rFonts w:asciiTheme="minorHAnsi" w:eastAsia="Cambria" w:hAnsiTheme="minorHAnsi"/>
          <w:lang w:val="en-GB"/>
        </w:rPr>
        <w:t>)</w:t>
      </w:r>
      <w:r w:rsidR="00973424" w:rsidRPr="007C6F51">
        <w:rPr>
          <w:rFonts w:asciiTheme="minorHAnsi" w:eastAsia="Cambria" w:hAnsiTheme="minorHAnsi"/>
          <w:lang w:val="en-GB"/>
        </w:rPr>
        <w:t xml:space="preserve">, to give the </w:t>
      </w:r>
      <w:r w:rsidR="008F45BA" w:rsidRPr="007C6F51">
        <w:rPr>
          <w:rFonts w:asciiTheme="minorHAnsi" w:eastAsia="Cambria" w:hAnsiTheme="minorHAnsi"/>
          <w:lang w:val="en-GB"/>
        </w:rPr>
        <w:t xml:space="preserve">potential </w:t>
      </w:r>
      <w:r w:rsidR="00973424" w:rsidRPr="007C6F51">
        <w:rPr>
          <w:rFonts w:asciiTheme="minorHAnsi" w:eastAsia="Cambria" w:hAnsiTheme="minorHAnsi"/>
          <w:lang w:val="en-GB"/>
        </w:rPr>
        <w:t xml:space="preserve">upper limit of productivity. </w:t>
      </w:r>
    </w:p>
    <w:p w14:paraId="7CD307C4" w14:textId="4518E5E4"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If seaweed is grown for other purposes (food, bioproducts</w:t>
      </w:r>
      <w:r w:rsidR="0031035E" w:rsidRPr="007C6F51">
        <w:rPr>
          <w:rFonts w:asciiTheme="minorHAnsi" w:eastAsia="Cambria" w:hAnsiTheme="minorHAnsi"/>
          <w:lang w:val="en-GB"/>
        </w:rPr>
        <w:t>,</w:t>
      </w:r>
      <w:r w:rsidRPr="007C6F51">
        <w:rPr>
          <w:rFonts w:asciiTheme="minorHAnsi" w:eastAsia="Cambria" w:hAnsiTheme="minorHAnsi"/>
          <w:lang w:val="en-GB"/>
        </w:rPr>
        <w:t xml:space="preserve"> etc) then only </w:t>
      </w:r>
      <w:r w:rsidR="0031035E" w:rsidRPr="007C6F51">
        <w:rPr>
          <w:rFonts w:asciiTheme="minorHAnsi" w:eastAsia="Cambria" w:hAnsiTheme="minorHAnsi"/>
          <w:lang w:val="en-GB"/>
        </w:rPr>
        <w:t>by-product</w:t>
      </w:r>
      <w:r w:rsidRPr="007C6F51">
        <w:rPr>
          <w:rFonts w:asciiTheme="minorHAnsi" w:eastAsia="Cambria" w:hAnsiTheme="minorHAnsi"/>
          <w:lang w:val="en-GB"/>
        </w:rPr>
        <w:t xml:space="preserve"> C sequestration can be counted (about 10% of net primary productivity according to Krause-Jensen and Duarte </w:t>
      </w:r>
      <w:r w:rsidR="00EB2E01" w:rsidRPr="007C6F51">
        <w:rPr>
          <w:rFonts w:asciiTheme="minorHAnsi" w:eastAsia="Cambria" w:hAnsiTheme="minorHAnsi"/>
          <w:lang w:val="en-GB"/>
        </w:rPr>
        <w:t>2016</w:t>
      </w:r>
      <w:r w:rsidRPr="007C6F51">
        <w:rPr>
          <w:rFonts w:asciiTheme="minorHAnsi" w:eastAsia="Cambria" w:hAnsiTheme="minorHAnsi"/>
          <w:lang w:val="en-GB"/>
        </w:rPr>
        <w:t xml:space="preserve">). </w:t>
      </w:r>
      <w:r w:rsidR="0031035E" w:rsidRPr="007C6F51">
        <w:rPr>
          <w:rFonts w:asciiTheme="minorHAnsi" w:eastAsia="Cambria" w:hAnsiTheme="minorHAnsi"/>
          <w:lang w:val="en-GB"/>
        </w:rPr>
        <w:t>Therefore,</w:t>
      </w:r>
      <w:r w:rsidRPr="007C6F51">
        <w:rPr>
          <w:rFonts w:asciiTheme="minorHAnsi" w:eastAsia="Cambria" w:hAnsiTheme="minorHAnsi"/>
          <w:lang w:val="en-GB"/>
        </w:rPr>
        <w:t xml:space="preserve"> a minimum scenario of utilising 50% of produced seaweed for other purposes yields a C storage of 55% of the total potential. </w:t>
      </w:r>
    </w:p>
    <w:p w14:paraId="46DDF319" w14:textId="22767CEA" w:rsidR="007A2027" w:rsidRPr="007C6F51" w:rsidRDefault="005E7AE2">
      <w:pPr>
        <w:spacing w:before="180" w:after="180"/>
        <w:rPr>
          <w:rFonts w:asciiTheme="minorHAnsi" w:eastAsia="Cambria" w:hAnsiTheme="minorHAnsi"/>
          <w:lang w:val="en-GB"/>
        </w:rPr>
      </w:pPr>
      <w:r w:rsidRPr="007C6F51">
        <w:rPr>
          <w:rFonts w:asciiTheme="minorHAnsi" w:eastAsia="Cambria" w:hAnsiTheme="minorHAnsi"/>
          <w:lang w:val="en-GB"/>
        </w:rPr>
        <w:t xml:space="preserve">Table S4: </w:t>
      </w:r>
      <w:r w:rsidR="00973424" w:rsidRPr="007C6F51">
        <w:rPr>
          <w:rFonts w:asciiTheme="minorHAnsi" w:eastAsia="Cambria" w:hAnsiTheme="minorHAnsi"/>
          <w:lang w:val="en-GB"/>
        </w:rPr>
        <w:t>Macroalgal geoengineering maximum storage rates:</w:t>
      </w:r>
    </w:p>
    <w:tbl>
      <w:tblPr>
        <w:tblStyle w:val="TableGrid"/>
        <w:tblW w:w="9019" w:type="dxa"/>
        <w:tblInd w:w="113" w:type="dxa"/>
        <w:tblLayout w:type="fixed"/>
        <w:tblLook w:val="04A0" w:firstRow="1" w:lastRow="0" w:firstColumn="1" w:lastColumn="0" w:noHBand="0" w:noVBand="1"/>
      </w:tblPr>
      <w:tblGrid>
        <w:gridCol w:w="1803"/>
        <w:gridCol w:w="1878"/>
        <w:gridCol w:w="1730"/>
        <w:gridCol w:w="1804"/>
        <w:gridCol w:w="1804"/>
      </w:tblGrid>
      <w:tr w:rsidR="007A2027" w:rsidRPr="001B3152" w14:paraId="1BC8C13A" w14:textId="77777777" w:rsidTr="007C6F51">
        <w:tc>
          <w:tcPr>
            <w:tcW w:w="1803" w:type="dxa"/>
          </w:tcPr>
          <w:p w14:paraId="4BC3DA87" w14:textId="77777777" w:rsidR="007A2027" w:rsidRPr="007C6F51" w:rsidRDefault="00973424">
            <w:pPr>
              <w:rPr>
                <w:rFonts w:asciiTheme="minorHAnsi" w:hAnsiTheme="minorHAnsi"/>
                <w:b/>
                <w:bCs/>
                <w:lang w:val="en-GB"/>
              </w:rPr>
            </w:pPr>
            <w:bookmarkStart w:id="10" w:name="_ja6l2mu7ml2a"/>
            <w:bookmarkEnd w:id="10"/>
            <w:r w:rsidRPr="007C6F51">
              <w:rPr>
                <w:rFonts w:asciiTheme="minorHAnsi" w:hAnsiTheme="minorHAnsi"/>
                <w:b/>
                <w:bCs/>
                <w:lang w:val="en-GB"/>
              </w:rPr>
              <w:t>Scenario</w:t>
            </w:r>
          </w:p>
        </w:tc>
        <w:tc>
          <w:tcPr>
            <w:tcW w:w="1878" w:type="dxa"/>
          </w:tcPr>
          <w:p w14:paraId="33A33BB8" w14:textId="77777777" w:rsidR="007A2027" w:rsidRPr="007C6F51" w:rsidRDefault="00973424">
            <w:pPr>
              <w:rPr>
                <w:rFonts w:asciiTheme="minorHAnsi" w:hAnsiTheme="minorHAnsi"/>
                <w:b/>
                <w:bCs/>
                <w:lang w:val="en-GB"/>
              </w:rPr>
            </w:pPr>
            <w:r w:rsidRPr="007C6F51">
              <w:rPr>
                <w:rFonts w:asciiTheme="minorHAnsi" w:hAnsiTheme="minorHAnsi"/>
                <w:b/>
                <w:bCs/>
                <w:lang w:val="en-GB"/>
              </w:rPr>
              <w:t xml:space="preserve">Max production figure (source) </w:t>
            </w:r>
          </w:p>
        </w:tc>
        <w:tc>
          <w:tcPr>
            <w:tcW w:w="1730" w:type="dxa"/>
          </w:tcPr>
          <w:p w14:paraId="1836D10C" w14:textId="77777777" w:rsidR="007A2027" w:rsidRPr="007C6F51" w:rsidRDefault="00973424">
            <w:pPr>
              <w:rPr>
                <w:rFonts w:asciiTheme="minorHAnsi" w:hAnsiTheme="minorHAnsi"/>
                <w:b/>
                <w:bCs/>
                <w:lang w:val="en-GB"/>
              </w:rPr>
            </w:pPr>
            <w:r w:rsidRPr="007C6F51">
              <w:rPr>
                <w:rFonts w:asciiTheme="minorHAnsi" w:hAnsiTheme="minorHAnsi"/>
                <w:b/>
                <w:bCs/>
                <w:lang w:val="en-GB"/>
              </w:rPr>
              <w:t>Downscaling factor</w:t>
            </w:r>
          </w:p>
        </w:tc>
        <w:tc>
          <w:tcPr>
            <w:tcW w:w="1804" w:type="dxa"/>
          </w:tcPr>
          <w:p w14:paraId="09FE6C9D" w14:textId="2C7F8DA9" w:rsidR="007A2027" w:rsidRPr="007C6F51" w:rsidRDefault="001F0AF9">
            <w:pPr>
              <w:rPr>
                <w:rFonts w:asciiTheme="minorHAnsi" w:hAnsiTheme="minorHAnsi"/>
                <w:b/>
                <w:bCs/>
                <w:lang w:val="en-GB"/>
              </w:rPr>
            </w:pPr>
            <w:r w:rsidRPr="007C6F51">
              <w:rPr>
                <w:rFonts w:asciiTheme="minorHAnsi" w:hAnsiTheme="minorHAnsi"/>
                <w:b/>
                <w:bCs/>
                <w:lang w:val="en-GB"/>
              </w:rPr>
              <w:t>S</w:t>
            </w:r>
            <w:r w:rsidR="00973424" w:rsidRPr="007C6F51">
              <w:rPr>
                <w:rFonts w:asciiTheme="minorHAnsi" w:hAnsiTheme="minorHAnsi"/>
                <w:b/>
                <w:bCs/>
                <w:lang w:val="en-GB"/>
              </w:rPr>
              <w:t>eaweed harvest used directly for C storage</w:t>
            </w:r>
            <w:r w:rsidRPr="007C6F51">
              <w:rPr>
                <w:rFonts w:asciiTheme="minorHAnsi" w:hAnsiTheme="minorHAnsi"/>
                <w:b/>
                <w:bCs/>
                <w:lang w:val="en-GB"/>
              </w:rPr>
              <w:t xml:space="preserve"> (%)</w:t>
            </w:r>
          </w:p>
        </w:tc>
        <w:tc>
          <w:tcPr>
            <w:tcW w:w="1804" w:type="dxa"/>
          </w:tcPr>
          <w:p w14:paraId="00997FCE" w14:textId="51B80B30" w:rsidR="007A2027" w:rsidRPr="007C6F51" w:rsidRDefault="00973424">
            <w:pPr>
              <w:rPr>
                <w:rFonts w:asciiTheme="minorHAnsi" w:hAnsiTheme="minorHAnsi"/>
                <w:b/>
                <w:bCs/>
                <w:lang w:val="en-GB"/>
              </w:rPr>
            </w:pPr>
            <w:r w:rsidRPr="007C6F51">
              <w:rPr>
                <w:rFonts w:asciiTheme="minorHAnsi" w:hAnsiTheme="minorHAnsi"/>
                <w:b/>
                <w:bCs/>
                <w:lang w:val="en-GB"/>
              </w:rPr>
              <w:t xml:space="preserve">Max storage rate </w:t>
            </w:r>
            <w:r w:rsidR="001F0AF9" w:rsidRPr="007C6F51">
              <w:rPr>
                <w:rFonts w:asciiTheme="minorHAnsi" w:hAnsiTheme="minorHAnsi"/>
                <w:b/>
                <w:bCs/>
                <w:lang w:val="en-GB"/>
              </w:rPr>
              <w:t>(</w:t>
            </w:r>
            <w:r w:rsidRPr="007C6F51">
              <w:rPr>
                <w:rFonts w:asciiTheme="minorHAnsi" w:hAnsiTheme="minorHAnsi"/>
                <w:b/>
                <w:bCs/>
                <w:lang w:val="en-GB"/>
              </w:rPr>
              <w:t>Gt C yr</w:t>
            </w:r>
            <w:r w:rsidRPr="007C6F51">
              <w:rPr>
                <w:rFonts w:asciiTheme="minorHAnsi" w:hAnsiTheme="minorHAnsi"/>
                <w:b/>
                <w:bCs/>
                <w:vertAlign w:val="superscript"/>
                <w:lang w:val="en-GB"/>
              </w:rPr>
              <w:t>-1</w:t>
            </w:r>
            <w:r w:rsidR="001F0AF9" w:rsidRPr="007C6F51">
              <w:rPr>
                <w:rFonts w:asciiTheme="minorHAnsi" w:hAnsiTheme="minorHAnsi"/>
                <w:b/>
                <w:bCs/>
                <w:lang w:val="en-GB"/>
              </w:rPr>
              <w:t>)</w:t>
            </w:r>
          </w:p>
        </w:tc>
      </w:tr>
      <w:tr w:rsidR="007A2027" w:rsidRPr="001B3152" w14:paraId="154E209A" w14:textId="77777777" w:rsidTr="007C6F51">
        <w:tc>
          <w:tcPr>
            <w:tcW w:w="1803" w:type="dxa"/>
          </w:tcPr>
          <w:p w14:paraId="7FA99B2B" w14:textId="77777777" w:rsidR="007A2027" w:rsidRPr="007C6F51" w:rsidRDefault="00973424">
            <w:pPr>
              <w:rPr>
                <w:rFonts w:asciiTheme="minorHAnsi" w:hAnsiTheme="minorHAnsi"/>
                <w:lang w:val="en-GB"/>
              </w:rPr>
            </w:pPr>
            <w:r w:rsidRPr="007C6F51">
              <w:rPr>
                <w:rFonts w:asciiTheme="minorHAnsi" w:hAnsiTheme="minorHAnsi"/>
                <w:lang w:val="en-GB"/>
              </w:rPr>
              <w:t>Low</w:t>
            </w:r>
          </w:p>
        </w:tc>
        <w:tc>
          <w:tcPr>
            <w:tcW w:w="1878" w:type="dxa"/>
          </w:tcPr>
          <w:p w14:paraId="28B2C8CE" w14:textId="6823782D" w:rsidR="007A2027" w:rsidRPr="007C6F51" w:rsidRDefault="00973424">
            <w:pPr>
              <w:rPr>
                <w:rFonts w:asciiTheme="minorHAnsi" w:hAnsiTheme="minorHAnsi"/>
                <w:lang w:val="en-GB"/>
              </w:rPr>
            </w:pPr>
            <w:r w:rsidRPr="007C6F51">
              <w:rPr>
                <w:rFonts w:asciiTheme="minorHAnsi" w:hAnsiTheme="minorHAnsi"/>
                <w:lang w:val="en-GB"/>
              </w:rPr>
              <w:t>100 Gt DW year</w:t>
            </w:r>
            <w:r w:rsidRPr="007C6F51">
              <w:rPr>
                <w:rFonts w:asciiTheme="minorHAnsi" w:hAnsiTheme="minorHAnsi"/>
                <w:vertAlign w:val="superscript"/>
                <w:lang w:val="en-GB"/>
              </w:rPr>
              <w:t>-1</w:t>
            </w:r>
            <w:r w:rsidRPr="007C6F51">
              <w:rPr>
                <w:rFonts w:asciiTheme="minorHAnsi" w:hAnsiTheme="minorHAnsi"/>
                <w:lang w:val="en-GB"/>
              </w:rPr>
              <w:t xml:space="preserve"> (</w:t>
            </w:r>
            <w:proofErr w:type="spellStart"/>
            <w:r w:rsidRPr="007C6F51">
              <w:rPr>
                <w:rFonts w:asciiTheme="minorHAnsi" w:hAnsiTheme="minorHAnsi"/>
                <w:lang w:val="en-GB"/>
              </w:rPr>
              <w:t>Lehahn</w:t>
            </w:r>
            <w:proofErr w:type="spellEnd"/>
            <w:r w:rsidRPr="007C6F51">
              <w:rPr>
                <w:rFonts w:asciiTheme="minorHAnsi" w:hAnsiTheme="minorHAnsi"/>
                <w:lang w:val="en-GB"/>
              </w:rPr>
              <w:t xml:space="preserve"> et al</w:t>
            </w:r>
            <w:r w:rsidR="001F0AF9" w:rsidRPr="007C6F51">
              <w:rPr>
                <w:rFonts w:asciiTheme="minorHAnsi" w:hAnsiTheme="minorHAnsi"/>
                <w:lang w:val="en-GB"/>
              </w:rPr>
              <w:t>.,</w:t>
            </w:r>
            <w:r w:rsidRPr="007C6F51">
              <w:rPr>
                <w:rFonts w:asciiTheme="minorHAnsi" w:hAnsiTheme="minorHAnsi"/>
                <w:lang w:val="en-GB"/>
              </w:rPr>
              <w:t xml:space="preserve"> 2016) * 25% Carbon</w:t>
            </w:r>
          </w:p>
        </w:tc>
        <w:tc>
          <w:tcPr>
            <w:tcW w:w="1730" w:type="dxa"/>
          </w:tcPr>
          <w:p w14:paraId="6DCE5296" w14:textId="77777777" w:rsidR="007A2027" w:rsidRPr="007C6F51" w:rsidRDefault="00973424">
            <w:pPr>
              <w:rPr>
                <w:rFonts w:asciiTheme="minorHAnsi" w:hAnsiTheme="minorHAnsi"/>
                <w:lang w:val="en-GB"/>
              </w:rPr>
            </w:pPr>
            <w:r w:rsidRPr="007C6F51">
              <w:rPr>
                <w:rFonts w:asciiTheme="minorHAnsi" w:hAnsiTheme="minorHAnsi"/>
                <w:lang w:val="en-GB"/>
              </w:rPr>
              <w:t>0.1</w:t>
            </w:r>
          </w:p>
        </w:tc>
        <w:tc>
          <w:tcPr>
            <w:tcW w:w="1804" w:type="dxa"/>
          </w:tcPr>
          <w:p w14:paraId="1F4336D6" w14:textId="77777777" w:rsidR="007A2027" w:rsidRPr="007C6F51" w:rsidRDefault="00973424">
            <w:pPr>
              <w:rPr>
                <w:rFonts w:asciiTheme="minorHAnsi" w:hAnsiTheme="minorHAnsi"/>
                <w:lang w:val="en-GB"/>
              </w:rPr>
            </w:pPr>
            <w:r w:rsidRPr="007C6F51">
              <w:rPr>
                <w:rFonts w:asciiTheme="minorHAnsi" w:hAnsiTheme="minorHAnsi"/>
                <w:lang w:val="en-GB"/>
              </w:rPr>
              <w:t>50</w:t>
            </w:r>
          </w:p>
        </w:tc>
        <w:tc>
          <w:tcPr>
            <w:tcW w:w="1804" w:type="dxa"/>
          </w:tcPr>
          <w:p w14:paraId="709B6A69" w14:textId="77777777" w:rsidR="007A2027" w:rsidRPr="007C6F51" w:rsidRDefault="00973424">
            <w:pPr>
              <w:rPr>
                <w:rFonts w:asciiTheme="minorHAnsi" w:hAnsiTheme="minorHAnsi"/>
                <w:lang w:val="en-GB"/>
              </w:rPr>
            </w:pPr>
            <w:r w:rsidRPr="007C6F51">
              <w:rPr>
                <w:rFonts w:asciiTheme="minorHAnsi" w:hAnsiTheme="minorHAnsi"/>
                <w:lang w:val="en-GB"/>
              </w:rPr>
              <w:t>1.375</w:t>
            </w:r>
          </w:p>
        </w:tc>
      </w:tr>
      <w:tr w:rsidR="007A2027" w:rsidRPr="001B3152" w14:paraId="5B9397D6" w14:textId="77777777" w:rsidTr="007C6F51">
        <w:tc>
          <w:tcPr>
            <w:tcW w:w="1803" w:type="dxa"/>
          </w:tcPr>
          <w:p w14:paraId="7145817E" w14:textId="2D210C3C" w:rsidR="007A2027" w:rsidRPr="007C6F51" w:rsidRDefault="00973424">
            <w:pPr>
              <w:rPr>
                <w:rFonts w:asciiTheme="minorHAnsi" w:hAnsiTheme="minorHAnsi"/>
                <w:lang w:val="en-GB"/>
              </w:rPr>
            </w:pPr>
            <w:r w:rsidRPr="007C6F51">
              <w:rPr>
                <w:rFonts w:asciiTheme="minorHAnsi" w:hAnsiTheme="minorHAnsi"/>
                <w:lang w:val="en-GB"/>
              </w:rPr>
              <w:t>Med</w:t>
            </w:r>
            <w:r w:rsidR="001F0AF9" w:rsidRPr="007C6F51">
              <w:rPr>
                <w:rFonts w:asciiTheme="minorHAnsi" w:hAnsiTheme="minorHAnsi"/>
                <w:lang w:val="en-GB"/>
              </w:rPr>
              <w:t>ium</w:t>
            </w:r>
          </w:p>
        </w:tc>
        <w:tc>
          <w:tcPr>
            <w:tcW w:w="1878" w:type="dxa"/>
          </w:tcPr>
          <w:p w14:paraId="1285BEE7" w14:textId="288C0142" w:rsidR="007A2027" w:rsidRPr="007C6F51" w:rsidRDefault="00973424">
            <w:pPr>
              <w:rPr>
                <w:rFonts w:asciiTheme="minorHAnsi" w:hAnsiTheme="minorHAnsi"/>
                <w:lang w:val="en-GB"/>
              </w:rPr>
            </w:pPr>
            <w:r w:rsidRPr="007C6F51">
              <w:rPr>
                <w:rFonts w:asciiTheme="minorHAnsi" w:hAnsiTheme="minorHAnsi"/>
                <w:lang w:val="en-GB"/>
              </w:rPr>
              <w:t>100 Gt DW year</w:t>
            </w:r>
            <w:r w:rsidRPr="007C6F51">
              <w:rPr>
                <w:rFonts w:asciiTheme="minorHAnsi" w:hAnsiTheme="minorHAnsi"/>
                <w:vertAlign w:val="superscript"/>
                <w:lang w:val="en-GB"/>
              </w:rPr>
              <w:t>-1</w:t>
            </w:r>
            <w:r w:rsidRPr="007C6F51">
              <w:rPr>
                <w:rFonts w:asciiTheme="minorHAnsi" w:hAnsiTheme="minorHAnsi"/>
                <w:lang w:val="en-GB"/>
              </w:rPr>
              <w:t xml:space="preserve"> (</w:t>
            </w:r>
            <w:proofErr w:type="spellStart"/>
            <w:r w:rsidRPr="007C6F51">
              <w:rPr>
                <w:rFonts w:asciiTheme="minorHAnsi" w:hAnsiTheme="minorHAnsi"/>
                <w:lang w:val="en-GB"/>
              </w:rPr>
              <w:t>Lehahn</w:t>
            </w:r>
            <w:proofErr w:type="spellEnd"/>
            <w:r w:rsidRPr="007C6F51">
              <w:rPr>
                <w:rFonts w:asciiTheme="minorHAnsi" w:hAnsiTheme="minorHAnsi"/>
                <w:lang w:val="en-GB"/>
              </w:rPr>
              <w:t xml:space="preserve"> et al</w:t>
            </w:r>
            <w:r w:rsidR="001F0AF9" w:rsidRPr="007C6F51">
              <w:rPr>
                <w:rFonts w:asciiTheme="minorHAnsi" w:hAnsiTheme="minorHAnsi"/>
                <w:lang w:val="en-GB"/>
              </w:rPr>
              <w:t>.,</w:t>
            </w:r>
            <w:r w:rsidRPr="007C6F51">
              <w:rPr>
                <w:rFonts w:asciiTheme="minorHAnsi" w:hAnsiTheme="minorHAnsi"/>
                <w:lang w:val="en-GB"/>
              </w:rPr>
              <w:t xml:space="preserve"> 2016) * 25% Carbon</w:t>
            </w:r>
          </w:p>
        </w:tc>
        <w:tc>
          <w:tcPr>
            <w:tcW w:w="1730" w:type="dxa"/>
          </w:tcPr>
          <w:p w14:paraId="2FF96EC6" w14:textId="77777777" w:rsidR="007A2027" w:rsidRPr="007C6F51" w:rsidRDefault="00973424">
            <w:pPr>
              <w:rPr>
                <w:rFonts w:asciiTheme="minorHAnsi" w:hAnsiTheme="minorHAnsi"/>
                <w:lang w:val="en-GB"/>
              </w:rPr>
            </w:pPr>
            <w:r w:rsidRPr="007C6F51">
              <w:rPr>
                <w:rFonts w:asciiTheme="minorHAnsi" w:hAnsiTheme="minorHAnsi"/>
                <w:lang w:val="en-GB"/>
              </w:rPr>
              <w:t>0.1</w:t>
            </w:r>
          </w:p>
        </w:tc>
        <w:tc>
          <w:tcPr>
            <w:tcW w:w="1804" w:type="dxa"/>
          </w:tcPr>
          <w:p w14:paraId="0F1B6704" w14:textId="77777777" w:rsidR="007A2027" w:rsidRPr="007C6F51" w:rsidRDefault="00973424">
            <w:pPr>
              <w:rPr>
                <w:rFonts w:asciiTheme="minorHAnsi" w:hAnsiTheme="minorHAnsi"/>
                <w:lang w:val="en-GB"/>
              </w:rPr>
            </w:pPr>
            <w:r w:rsidRPr="007C6F51">
              <w:rPr>
                <w:rFonts w:asciiTheme="minorHAnsi" w:hAnsiTheme="minorHAnsi"/>
                <w:lang w:val="en-GB"/>
              </w:rPr>
              <w:t>100</w:t>
            </w:r>
          </w:p>
        </w:tc>
        <w:tc>
          <w:tcPr>
            <w:tcW w:w="1804" w:type="dxa"/>
          </w:tcPr>
          <w:p w14:paraId="294BCA10" w14:textId="77777777" w:rsidR="007A2027" w:rsidRPr="007C6F51" w:rsidRDefault="00973424">
            <w:pPr>
              <w:rPr>
                <w:rFonts w:asciiTheme="minorHAnsi" w:hAnsiTheme="minorHAnsi"/>
                <w:lang w:val="en-GB"/>
              </w:rPr>
            </w:pPr>
            <w:r w:rsidRPr="007C6F51">
              <w:rPr>
                <w:rFonts w:asciiTheme="minorHAnsi" w:hAnsiTheme="minorHAnsi"/>
                <w:lang w:val="en-GB"/>
              </w:rPr>
              <w:t>2.5</w:t>
            </w:r>
          </w:p>
        </w:tc>
      </w:tr>
      <w:tr w:rsidR="007A2027" w:rsidRPr="001B3152" w14:paraId="24BA2D53" w14:textId="77777777" w:rsidTr="007C6F51">
        <w:tc>
          <w:tcPr>
            <w:tcW w:w="1803" w:type="dxa"/>
          </w:tcPr>
          <w:p w14:paraId="4834C648" w14:textId="77777777" w:rsidR="007A2027" w:rsidRPr="007C6F51" w:rsidRDefault="00973424">
            <w:pPr>
              <w:rPr>
                <w:rFonts w:asciiTheme="minorHAnsi" w:hAnsiTheme="minorHAnsi"/>
                <w:lang w:val="en-GB"/>
              </w:rPr>
            </w:pPr>
            <w:r w:rsidRPr="007C6F51">
              <w:rPr>
                <w:rFonts w:asciiTheme="minorHAnsi" w:hAnsiTheme="minorHAnsi"/>
                <w:lang w:val="en-GB"/>
              </w:rPr>
              <w:t>High</w:t>
            </w:r>
          </w:p>
        </w:tc>
        <w:tc>
          <w:tcPr>
            <w:tcW w:w="1878" w:type="dxa"/>
          </w:tcPr>
          <w:p w14:paraId="2BA79452" w14:textId="74C4EB53" w:rsidR="007A2027" w:rsidRPr="007C6F51" w:rsidRDefault="00973424">
            <w:pPr>
              <w:rPr>
                <w:rFonts w:asciiTheme="minorHAnsi" w:hAnsiTheme="minorHAnsi"/>
                <w:lang w:val="en-GB"/>
              </w:rPr>
            </w:pPr>
            <w:r w:rsidRPr="007C6F51">
              <w:rPr>
                <w:rFonts w:asciiTheme="minorHAnsi" w:hAnsiTheme="minorHAnsi"/>
                <w:lang w:val="en-GB"/>
              </w:rPr>
              <w:t>53</w:t>
            </w:r>
            <w:r w:rsidR="001F0AF9" w:rsidRPr="007C6F51">
              <w:rPr>
                <w:rFonts w:asciiTheme="minorHAnsi" w:hAnsiTheme="minorHAnsi"/>
                <w:lang w:val="en-GB"/>
              </w:rPr>
              <w:t xml:space="preserve"> </w:t>
            </w:r>
            <w:r w:rsidRPr="007C6F51">
              <w:rPr>
                <w:rFonts w:asciiTheme="minorHAnsi" w:hAnsiTheme="minorHAnsi"/>
                <w:lang w:val="en-GB"/>
              </w:rPr>
              <w:t>Gt C year</w:t>
            </w:r>
            <w:r w:rsidRPr="007C6F51">
              <w:rPr>
                <w:rFonts w:asciiTheme="minorHAnsi" w:hAnsiTheme="minorHAnsi"/>
                <w:vertAlign w:val="superscript"/>
                <w:lang w:val="en-GB"/>
              </w:rPr>
              <w:t xml:space="preserve">-1 </w:t>
            </w:r>
            <w:r w:rsidRPr="007C6F51">
              <w:rPr>
                <w:rFonts w:asciiTheme="minorHAnsi" w:hAnsiTheme="minorHAnsi"/>
                <w:lang w:val="en-GB"/>
              </w:rPr>
              <w:t>(</w:t>
            </w:r>
            <w:r w:rsidR="00EB2E01" w:rsidRPr="007C6F51">
              <w:rPr>
                <w:rFonts w:asciiTheme="minorHAnsi" w:hAnsiTheme="minorHAnsi"/>
                <w:lang w:val="en-GB"/>
              </w:rPr>
              <w:t xml:space="preserve">de Ramon </w:t>
            </w:r>
            <w:proofErr w:type="spellStart"/>
            <w:r w:rsidRPr="007C6F51">
              <w:rPr>
                <w:rFonts w:asciiTheme="minorHAnsi" w:hAnsiTheme="minorHAnsi"/>
                <w:lang w:val="en-GB"/>
              </w:rPr>
              <w:t>N’Yeurt</w:t>
            </w:r>
            <w:proofErr w:type="spellEnd"/>
            <w:r w:rsidRPr="007C6F51">
              <w:rPr>
                <w:rFonts w:asciiTheme="minorHAnsi" w:hAnsiTheme="minorHAnsi"/>
                <w:lang w:val="en-GB"/>
              </w:rPr>
              <w:t xml:space="preserve"> et al.</w:t>
            </w:r>
            <w:r w:rsidR="001F0AF9" w:rsidRPr="007C6F51">
              <w:rPr>
                <w:rFonts w:asciiTheme="minorHAnsi" w:hAnsiTheme="minorHAnsi"/>
                <w:lang w:val="en-GB"/>
              </w:rPr>
              <w:t>,</w:t>
            </w:r>
            <w:r w:rsidRPr="007C6F51">
              <w:rPr>
                <w:rFonts w:asciiTheme="minorHAnsi" w:hAnsiTheme="minorHAnsi"/>
                <w:lang w:val="en-GB"/>
              </w:rPr>
              <w:t xml:space="preserve"> </w:t>
            </w:r>
            <w:r w:rsidR="00EB2E01" w:rsidRPr="007C6F51">
              <w:rPr>
                <w:rFonts w:asciiTheme="minorHAnsi" w:hAnsiTheme="minorHAnsi"/>
                <w:lang w:val="en-GB"/>
              </w:rPr>
              <w:t>2012</w:t>
            </w:r>
            <w:r w:rsidRPr="007C6F51">
              <w:rPr>
                <w:rFonts w:asciiTheme="minorHAnsi" w:hAnsiTheme="minorHAnsi"/>
                <w:lang w:val="en-GB"/>
              </w:rPr>
              <w:t>)</w:t>
            </w:r>
          </w:p>
        </w:tc>
        <w:tc>
          <w:tcPr>
            <w:tcW w:w="1730" w:type="dxa"/>
          </w:tcPr>
          <w:p w14:paraId="56F1D14C" w14:textId="77777777" w:rsidR="007A2027" w:rsidRPr="007C6F51" w:rsidRDefault="00973424">
            <w:pPr>
              <w:rPr>
                <w:rFonts w:asciiTheme="minorHAnsi" w:hAnsiTheme="minorHAnsi"/>
                <w:lang w:val="en-GB"/>
              </w:rPr>
            </w:pPr>
            <w:r w:rsidRPr="007C6F51">
              <w:rPr>
                <w:rFonts w:asciiTheme="minorHAnsi" w:hAnsiTheme="minorHAnsi"/>
                <w:lang w:val="en-GB"/>
              </w:rPr>
              <w:t>0.1</w:t>
            </w:r>
          </w:p>
        </w:tc>
        <w:tc>
          <w:tcPr>
            <w:tcW w:w="1804" w:type="dxa"/>
          </w:tcPr>
          <w:p w14:paraId="15F743B4" w14:textId="77777777" w:rsidR="007A2027" w:rsidRPr="007C6F51" w:rsidRDefault="00973424">
            <w:pPr>
              <w:rPr>
                <w:rFonts w:asciiTheme="minorHAnsi" w:hAnsiTheme="minorHAnsi"/>
                <w:lang w:val="en-GB"/>
              </w:rPr>
            </w:pPr>
            <w:r w:rsidRPr="007C6F51">
              <w:rPr>
                <w:rFonts w:asciiTheme="minorHAnsi" w:hAnsiTheme="minorHAnsi"/>
                <w:lang w:val="en-GB"/>
              </w:rPr>
              <w:t>100</w:t>
            </w:r>
          </w:p>
        </w:tc>
        <w:tc>
          <w:tcPr>
            <w:tcW w:w="1804" w:type="dxa"/>
          </w:tcPr>
          <w:p w14:paraId="49ED03DE" w14:textId="77777777" w:rsidR="007A2027" w:rsidRPr="007C6F51" w:rsidRDefault="00973424">
            <w:pPr>
              <w:rPr>
                <w:rFonts w:asciiTheme="minorHAnsi" w:hAnsiTheme="minorHAnsi"/>
                <w:lang w:val="en-GB"/>
              </w:rPr>
            </w:pPr>
            <w:r w:rsidRPr="007C6F51">
              <w:rPr>
                <w:rFonts w:asciiTheme="minorHAnsi" w:hAnsiTheme="minorHAnsi"/>
                <w:lang w:val="en-GB"/>
              </w:rPr>
              <w:t>5.3</w:t>
            </w:r>
          </w:p>
        </w:tc>
      </w:tr>
    </w:tbl>
    <w:p w14:paraId="15697C2E" w14:textId="77777777" w:rsidR="007A2027" w:rsidRPr="007C6F51" w:rsidRDefault="007A2027">
      <w:pPr>
        <w:pStyle w:val="Heading3"/>
        <w:keepNext w:val="0"/>
        <w:keepLines w:val="0"/>
        <w:spacing w:before="200" w:after="0"/>
        <w:rPr>
          <w:rFonts w:asciiTheme="minorHAnsi" w:eastAsia="Calibri" w:hAnsiTheme="minorHAnsi"/>
          <w:b/>
          <w:color w:val="4F81BD"/>
        </w:rPr>
      </w:pPr>
    </w:p>
    <w:p w14:paraId="1222C8F1" w14:textId="42AB2E98" w:rsidR="007A2027" w:rsidRPr="007C6F51" w:rsidRDefault="00973424" w:rsidP="000E04FF">
      <w:pPr>
        <w:rPr>
          <w:rFonts w:asciiTheme="minorHAnsi" w:eastAsia="Calibri" w:hAnsiTheme="minorHAnsi"/>
        </w:rPr>
      </w:pPr>
      <w:r w:rsidRPr="007C6F51">
        <w:rPr>
          <w:rFonts w:asciiTheme="minorHAnsi" w:hAnsiTheme="minorHAnsi"/>
          <w:lang w:val="en-GB"/>
        </w:rPr>
        <w:t xml:space="preserve">It is important to note that we have applied here a somewhat subjective limit of 10% of the stated potential values from the de Ramon </w:t>
      </w:r>
      <w:proofErr w:type="spellStart"/>
      <w:r w:rsidRPr="007C6F51">
        <w:rPr>
          <w:rFonts w:asciiTheme="minorHAnsi" w:hAnsiTheme="minorHAnsi"/>
          <w:lang w:val="en-GB"/>
        </w:rPr>
        <w:t>N’Yeurt</w:t>
      </w:r>
      <w:proofErr w:type="spellEnd"/>
      <w:r w:rsidR="00EB2E01" w:rsidRPr="007C6F51">
        <w:rPr>
          <w:rFonts w:asciiTheme="minorHAnsi" w:hAnsiTheme="minorHAnsi"/>
          <w:lang w:val="en-GB"/>
        </w:rPr>
        <w:t xml:space="preserve"> et al.</w:t>
      </w:r>
      <w:r w:rsidRPr="007C6F51">
        <w:rPr>
          <w:rFonts w:asciiTheme="minorHAnsi" w:hAnsiTheme="minorHAnsi"/>
          <w:lang w:val="en-GB"/>
        </w:rPr>
        <w:t xml:space="preserve"> </w:t>
      </w:r>
      <w:r w:rsidR="00EB2E01" w:rsidRPr="007C6F51">
        <w:rPr>
          <w:rFonts w:asciiTheme="minorHAnsi" w:hAnsiTheme="minorHAnsi"/>
          <w:lang w:val="en-GB"/>
        </w:rPr>
        <w:t xml:space="preserve">(2012) </w:t>
      </w:r>
      <w:r w:rsidRPr="007C6F51">
        <w:rPr>
          <w:rFonts w:asciiTheme="minorHAnsi" w:hAnsiTheme="minorHAnsi"/>
          <w:lang w:val="en-GB"/>
        </w:rPr>
        <w:t xml:space="preserve">and </w:t>
      </w:r>
      <w:proofErr w:type="spellStart"/>
      <w:r w:rsidRPr="007C6F51">
        <w:rPr>
          <w:rFonts w:asciiTheme="minorHAnsi" w:hAnsiTheme="minorHAnsi"/>
          <w:lang w:val="en-GB"/>
        </w:rPr>
        <w:t>Lehahn</w:t>
      </w:r>
      <w:proofErr w:type="spellEnd"/>
      <w:r w:rsidRPr="007C6F51">
        <w:rPr>
          <w:rFonts w:asciiTheme="minorHAnsi" w:hAnsiTheme="minorHAnsi"/>
          <w:lang w:val="en-GB"/>
        </w:rPr>
        <w:t xml:space="preserve"> et al.</w:t>
      </w:r>
      <w:r w:rsidR="00EB2E01" w:rsidRPr="007C6F51">
        <w:rPr>
          <w:rFonts w:asciiTheme="minorHAnsi" w:hAnsiTheme="minorHAnsi"/>
          <w:lang w:val="en-GB"/>
        </w:rPr>
        <w:t xml:space="preserve"> (2016)</w:t>
      </w:r>
      <w:r w:rsidRPr="007C6F51">
        <w:rPr>
          <w:rFonts w:asciiTheme="minorHAnsi" w:hAnsiTheme="minorHAnsi"/>
          <w:lang w:val="en-GB"/>
        </w:rPr>
        <w:t xml:space="preserve"> papers</w:t>
      </w:r>
      <w:r w:rsidR="00EB2E01" w:rsidRPr="007C6F51">
        <w:rPr>
          <w:rFonts w:asciiTheme="minorHAnsi" w:hAnsiTheme="minorHAnsi"/>
          <w:lang w:val="en-GB"/>
        </w:rPr>
        <w:t>.</w:t>
      </w:r>
      <w:r w:rsidRPr="007C6F51">
        <w:rPr>
          <w:rFonts w:asciiTheme="minorHAnsi" w:hAnsiTheme="minorHAnsi"/>
          <w:lang w:val="en-GB"/>
        </w:rPr>
        <w:t xml:space="preserve"> If their</w:t>
      </w:r>
      <w:r w:rsidR="004F584C" w:rsidRPr="007C6F51">
        <w:rPr>
          <w:rFonts w:asciiTheme="minorHAnsi" w:hAnsiTheme="minorHAnsi"/>
          <w:lang w:val="en-GB"/>
        </w:rPr>
        <w:t xml:space="preserve"> quoted</w:t>
      </w:r>
      <w:r w:rsidRPr="007C6F51">
        <w:rPr>
          <w:rFonts w:asciiTheme="minorHAnsi" w:hAnsiTheme="minorHAnsi"/>
          <w:lang w:val="en-GB"/>
        </w:rPr>
        <w:t xml:space="preserve"> uptakes were achievable, </w:t>
      </w:r>
      <w:r w:rsidR="0031035E" w:rsidRPr="007C6F51">
        <w:rPr>
          <w:rFonts w:asciiTheme="minorHAnsi" w:hAnsiTheme="minorHAnsi"/>
          <w:lang w:val="en-GB"/>
        </w:rPr>
        <w:t>large-scale</w:t>
      </w:r>
      <w:r w:rsidRPr="007C6F51">
        <w:rPr>
          <w:rFonts w:asciiTheme="minorHAnsi" w:hAnsiTheme="minorHAnsi"/>
          <w:lang w:val="en-GB"/>
        </w:rPr>
        <w:t xml:space="preserve"> macroalgal aquaculture coupled </w:t>
      </w:r>
      <w:r w:rsidR="0031035E" w:rsidRPr="007C6F51">
        <w:rPr>
          <w:rFonts w:asciiTheme="minorHAnsi" w:hAnsiTheme="minorHAnsi"/>
          <w:lang w:val="en-GB"/>
        </w:rPr>
        <w:t>with</w:t>
      </w:r>
      <w:r w:rsidRPr="007C6F51">
        <w:rPr>
          <w:rFonts w:asciiTheme="minorHAnsi" w:hAnsiTheme="minorHAnsi"/>
          <w:lang w:val="en-GB"/>
        </w:rPr>
        <w:t xml:space="preserve"> some kind of carbon storage could on its own meet the negative emissions requirement under most future climate scenarios, notwithstanding any side effects of such </w:t>
      </w:r>
      <w:proofErr w:type="gramStart"/>
      <w:r w:rsidRPr="007C6F51">
        <w:rPr>
          <w:rFonts w:asciiTheme="minorHAnsi" w:hAnsiTheme="minorHAnsi"/>
          <w:lang w:val="en-GB"/>
        </w:rPr>
        <w:t>large scale</w:t>
      </w:r>
      <w:proofErr w:type="gramEnd"/>
      <w:r w:rsidRPr="007C6F51">
        <w:rPr>
          <w:rFonts w:asciiTheme="minorHAnsi" w:hAnsiTheme="minorHAnsi"/>
          <w:lang w:val="en-GB"/>
        </w:rPr>
        <w:t xml:space="preserve"> farming, or the huge logistical issues associated with such an undertaking.</w:t>
      </w:r>
      <w:r w:rsidR="00134A82" w:rsidRPr="007C6F51" w:rsidDel="00134A82">
        <w:rPr>
          <w:rFonts w:asciiTheme="minorHAnsi" w:hAnsiTheme="minorHAnsi"/>
          <w:lang w:val="en-GB"/>
        </w:rPr>
        <w:t xml:space="preserve"> </w:t>
      </w:r>
      <w:r w:rsidRPr="007C6F51">
        <w:rPr>
          <w:rFonts w:asciiTheme="minorHAnsi" w:hAnsiTheme="minorHAnsi"/>
          <w:lang w:val="en-GB"/>
        </w:rPr>
        <w:t xml:space="preserve">As seen in the discussion of growth rates below, the time to achieve such enormous levels of macroalgal aquaculture would also likely be far too long to reach such levels by 2100. </w:t>
      </w:r>
    </w:p>
    <w:p w14:paraId="5B839187" w14:textId="77777777" w:rsidR="007A2027" w:rsidRPr="007C6F51" w:rsidRDefault="00973424">
      <w:pPr>
        <w:pStyle w:val="Heading3"/>
        <w:keepNext w:val="0"/>
        <w:keepLines w:val="0"/>
        <w:spacing w:before="200" w:after="0"/>
        <w:rPr>
          <w:rFonts w:asciiTheme="minorHAnsi" w:eastAsia="Calibri" w:hAnsiTheme="minorHAnsi"/>
          <w:b/>
          <w:color w:val="4F81BD"/>
        </w:rPr>
      </w:pPr>
      <w:r w:rsidRPr="007C6F51">
        <w:rPr>
          <w:rFonts w:asciiTheme="minorHAnsi" w:eastAsia="Calibri" w:hAnsiTheme="minorHAnsi"/>
          <w:b/>
          <w:color w:val="4F81BD"/>
        </w:rPr>
        <w:t>Other whole ocean solutions</w:t>
      </w:r>
    </w:p>
    <w:p w14:paraId="6172C8EC" w14:textId="7B3A27C2" w:rsidR="007A2027" w:rsidRPr="007C6F51" w:rsidRDefault="00973424">
      <w:pPr>
        <w:rPr>
          <w:rFonts w:asciiTheme="minorHAnsi" w:hAnsiTheme="minorHAnsi"/>
          <w:lang w:val="en-GB"/>
        </w:rPr>
      </w:pPr>
      <w:r w:rsidRPr="007C6F51">
        <w:rPr>
          <w:rFonts w:asciiTheme="minorHAnsi" w:hAnsiTheme="minorHAnsi"/>
          <w:lang w:val="en-GB"/>
        </w:rPr>
        <w:t xml:space="preserve">Also considered are ocean alkalinity </w:t>
      </w:r>
      <w:r w:rsidR="0031035E" w:rsidRPr="007C6F51">
        <w:rPr>
          <w:rFonts w:asciiTheme="minorHAnsi" w:hAnsiTheme="minorHAnsi"/>
          <w:lang w:val="en-GB"/>
        </w:rPr>
        <w:t>enhancement</w:t>
      </w:r>
      <w:r w:rsidRPr="007C6F51">
        <w:rPr>
          <w:rFonts w:asciiTheme="minorHAnsi" w:hAnsiTheme="minorHAnsi"/>
          <w:lang w:val="en-GB"/>
        </w:rPr>
        <w:t xml:space="preserve">, and fertilisation by </w:t>
      </w:r>
      <w:r w:rsidR="001F0AF9" w:rsidRPr="007C6F51">
        <w:rPr>
          <w:rFonts w:asciiTheme="minorHAnsi" w:hAnsiTheme="minorHAnsi"/>
          <w:lang w:val="en-GB"/>
        </w:rPr>
        <w:t>i</w:t>
      </w:r>
      <w:r w:rsidRPr="007C6F51">
        <w:rPr>
          <w:rFonts w:asciiTheme="minorHAnsi" w:hAnsiTheme="minorHAnsi"/>
          <w:lang w:val="en-GB"/>
        </w:rPr>
        <w:t>ron or macronutrient addition or through artificial upwelling. The potential maximum values for a low, medium</w:t>
      </w:r>
      <w:r w:rsidR="0031035E" w:rsidRPr="007C6F51">
        <w:rPr>
          <w:rFonts w:asciiTheme="minorHAnsi" w:hAnsiTheme="minorHAnsi"/>
          <w:lang w:val="en-GB"/>
        </w:rPr>
        <w:t>,</w:t>
      </w:r>
      <w:r w:rsidRPr="007C6F51">
        <w:rPr>
          <w:rFonts w:asciiTheme="minorHAnsi" w:hAnsiTheme="minorHAnsi"/>
          <w:lang w:val="en-GB"/>
        </w:rPr>
        <w:t xml:space="preserve"> or high scenario are given in Table </w:t>
      </w:r>
      <w:r w:rsidR="00627668" w:rsidRPr="007C6F51">
        <w:rPr>
          <w:rFonts w:asciiTheme="minorHAnsi" w:hAnsiTheme="minorHAnsi"/>
          <w:lang w:val="en-GB"/>
        </w:rPr>
        <w:t>S4</w:t>
      </w:r>
      <w:r w:rsidRPr="007C6F51">
        <w:rPr>
          <w:rFonts w:asciiTheme="minorHAnsi" w:hAnsiTheme="minorHAnsi"/>
          <w:lang w:val="en-GB"/>
        </w:rPr>
        <w:t xml:space="preserve">. </w:t>
      </w:r>
    </w:p>
    <w:p w14:paraId="0B93009F" w14:textId="77777777" w:rsidR="007A2027" w:rsidRPr="007C6F51" w:rsidRDefault="007A2027">
      <w:pPr>
        <w:rPr>
          <w:rFonts w:asciiTheme="minorHAnsi" w:hAnsiTheme="minorHAnsi"/>
          <w:lang w:val="en-GB"/>
        </w:rPr>
      </w:pPr>
    </w:p>
    <w:p w14:paraId="1D71159E" w14:textId="664E063D" w:rsidR="001F0AF9" w:rsidRPr="007C6F51" w:rsidRDefault="001F0AF9">
      <w:pPr>
        <w:rPr>
          <w:rFonts w:asciiTheme="minorHAnsi" w:hAnsiTheme="minorHAnsi"/>
          <w:b/>
          <w:lang w:val="en-GB"/>
        </w:rPr>
      </w:pPr>
      <w:r w:rsidRPr="007C6F51">
        <w:rPr>
          <w:rFonts w:asciiTheme="minorHAnsi" w:hAnsiTheme="minorHAnsi"/>
          <w:b/>
          <w:lang w:val="en-GB"/>
        </w:rPr>
        <w:t>Table S</w:t>
      </w:r>
      <w:r w:rsidR="00FF0A82" w:rsidRPr="007C6F51">
        <w:rPr>
          <w:rFonts w:asciiTheme="minorHAnsi" w:hAnsiTheme="minorHAnsi"/>
          <w:b/>
          <w:lang w:val="en-GB"/>
        </w:rPr>
        <w:t>5</w:t>
      </w:r>
      <w:r w:rsidRPr="007C6F51">
        <w:rPr>
          <w:rFonts w:asciiTheme="minorHAnsi" w:hAnsiTheme="minorHAnsi"/>
          <w:b/>
          <w:lang w:val="en-GB"/>
        </w:rPr>
        <w:t xml:space="preserve"> </w:t>
      </w:r>
      <w:proofErr w:type="gramStart"/>
      <w:r w:rsidR="005B0E74" w:rsidRPr="007C6F51">
        <w:rPr>
          <w:rFonts w:asciiTheme="minorHAnsi" w:hAnsiTheme="minorHAnsi"/>
          <w:b/>
          <w:lang w:val="en-GB"/>
        </w:rPr>
        <w:t>Open ocean</w:t>
      </w:r>
      <w:proofErr w:type="gramEnd"/>
      <w:r w:rsidR="005B0E74" w:rsidRPr="007C6F51">
        <w:rPr>
          <w:rFonts w:asciiTheme="minorHAnsi" w:hAnsiTheme="minorHAnsi"/>
          <w:b/>
          <w:lang w:val="en-GB"/>
        </w:rPr>
        <w:t xml:space="preserve"> </w:t>
      </w:r>
      <w:proofErr w:type="spellStart"/>
      <w:r w:rsidR="005B0E74" w:rsidRPr="007C6F51">
        <w:rPr>
          <w:rFonts w:asciiTheme="minorHAnsi" w:hAnsiTheme="minorHAnsi"/>
          <w:b/>
          <w:lang w:val="en-GB"/>
        </w:rPr>
        <w:t>mCDR</w:t>
      </w:r>
      <w:proofErr w:type="spellEnd"/>
      <w:r w:rsidR="005B0E74" w:rsidRPr="007C6F51">
        <w:rPr>
          <w:rFonts w:asciiTheme="minorHAnsi" w:hAnsiTheme="minorHAnsi"/>
          <w:b/>
          <w:lang w:val="en-GB"/>
        </w:rPr>
        <w:t xml:space="preserve"> scenario calculation details</w:t>
      </w:r>
    </w:p>
    <w:tbl>
      <w:tblPr>
        <w:tblStyle w:val="TableGrid"/>
        <w:tblW w:w="9019" w:type="dxa"/>
        <w:tblInd w:w="113" w:type="dxa"/>
        <w:tblLayout w:type="fixed"/>
        <w:tblLook w:val="04A0" w:firstRow="1" w:lastRow="0" w:firstColumn="1" w:lastColumn="0" w:noHBand="0" w:noVBand="1"/>
      </w:tblPr>
      <w:tblGrid>
        <w:gridCol w:w="1803"/>
        <w:gridCol w:w="1168"/>
        <w:gridCol w:w="1135"/>
        <w:gridCol w:w="1134"/>
        <w:gridCol w:w="3779"/>
      </w:tblGrid>
      <w:tr w:rsidR="007A2027" w:rsidRPr="001B3152" w14:paraId="28FA3FAF" w14:textId="77777777">
        <w:tc>
          <w:tcPr>
            <w:tcW w:w="1803" w:type="dxa"/>
          </w:tcPr>
          <w:p w14:paraId="218B830B" w14:textId="77777777" w:rsidR="007A2027" w:rsidRPr="007C6F51" w:rsidRDefault="00973424">
            <w:pPr>
              <w:rPr>
                <w:rFonts w:asciiTheme="minorHAnsi" w:hAnsiTheme="minorHAnsi"/>
                <w:b/>
                <w:lang w:val="en-GB"/>
              </w:rPr>
            </w:pPr>
            <w:proofErr w:type="spellStart"/>
            <w:r w:rsidRPr="007C6F51">
              <w:rPr>
                <w:rFonts w:asciiTheme="minorHAnsi" w:hAnsiTheme="minorHAnsi"/>
                <w:b/>
                <w:lang w:val="en-GB"/>
              </w:rPr>
              <w:lastRenderedPageBreak/>
              <w:t>mCDR</w:t>
            </w:r>
            <w:proofErr w:type="spellEnd"/>
            <w:r w:rsidRPr="007C6F51">
              <w:rPr>
                <w:rFonts w:asciiTheme="minorHAnsi" w:hAnsiTheme="minorHAnsi"/>
                <w:b/>
                <w:lang w:val="en-GB"/>
              </w:rPr>
              <w:t xml:space="preserve"> technique</w:t>
            </w:r>
          </w:p>
        </w:tc>
        <w:tc>
          <w:tcPr>
            <w:tcW w:w="1168" w:type="dxa"/>
          </w:tcPr>
          <w:p w14:paraId="27559AE5" w14:textId="51B04B9E" w:rsidR="007A2027" w:rsidRPr="007C6F51" w:rsidRDefault="00973424">
            <w:pPr>
              <w:rPr>
                <w:rFonts w:asciiTheme="minorHAnsi" w:hAnsiTheme="minorHAnsi"/>
                <w:b/>
                <w:lang w:val="en-GB"/>
              </w:rPr>
            </w:pPr>
            <w:r w:rsidRPr="007C6F51">
              <w:rPr>
                <w:rFonts w:asciiTheme="minorHAnsi" w:hAnsiTheme="minorHAnsi"/>
                <w:b/>
                <w:lang w:val="en-GB"/>
              </w:rPr>
              <w:t>Low scenario</w:t>
            </w:r>
            <w:r w:rsidR="008805E2" w:rsidRPr="007C6F51">
              <w:rPr>
                <w:rFonts w:asciiTheme="minorHAnsi" w:hAnsiTheme="minorHAnsi"/>
                <w:b/>
                <w:lang w:val="en-GB"/>
              </w:rPr>
              <w:t xml:space="preserve"> (</w:t>
            </w:r>
            <w:r w:rsidRPr="007C6F51">
              <w:rPr>
                <w:rFonts w:asciiTheme="minorHAnsi" w:hAnsiTheme="minorHAnsi"/>
                <w:b/>
                <w:lang w:val="en-GB"/>
              </w:rPr>
              <w:t>Gt C yr</w:t>
            </w:r>
            <w:r w:rsidRPr="007C6F51">
              <w:rPr>
                <w:rFonts w:asciiTheme="minorHAnsi" w:hAnsiTheme="minorHAnsi"/>
                <w:b/>
                <w:vertAlign w:val="superscript"/>
                <w:lang w:val="en-GB"/>
              </w:rPr>
              <w:t>-1</w:t>
            </w:r>
            <w:r w:rsidR="008805E2" w:rsidRPr="007C6F51">
              <w:rPr>
                <w:rFonts w:asciiTheme="minorHAnsi" w:hAnsiTheme="minorHAnsi"/>
                <w:b/>
                <w:lang w:val="en-GB"/>
              </w:rPr>
              <w:t>)</w:t>
            </w:r>
          </w:p>
        </w:tc>
        <w:tc>
          <w:tcPr>
            <w:tcW w:w="1135" w:type="dxa"/>
          </w:tcPr>
          <w:p w14:paraId="71983438" w14:textId="0844C0CF" w:rsidR="007A2027" w:rsidRPr="007C6F51" w:rsidRDefault="00973424">
            <w:pPr>
              <w:rPr>
                <w:rFonts w:asciiTheme="minorHAnsi" w:hAnsiTheme="minorHAnsi"/>
                <w:b/>
                <w:lang w:val="en-GB"/>
              </w:rPr>
            </w:pPr>
            <w:r w:rsidRPr="007C6F51">
              <w:rPr>
                <w:rFonts w:asciiTheme="minorHAnsi" w:hAnsiTheme="minorHAnsi"/>
                <w:b/>
                <w:lang w:val="en-GB"/>
              </w:rPr>
              <w:t>Med scenario</w:t>
            </w:r>
            <w:r w:rsidR="008805E2" w:rsidRPr="007C6F51">
              <w:rPr>
                <w:rFonts w:asciiTheme="minorHAnsi" w:hAnsiTheme="minorHAnsi"/>
                <w:b/>
                <w:lang w:val="en-GB"/>
              </w:rPr>
              <w:t xml:space="preserve"> (</w:t>
            </w:r>
            <w:r w:rsidRPr="007C6F51">
              <w:rPr>
                <w:rFonts w:asciiTheme="minorHAnsi" w:hAnsiTheme="minorHAnsi"/>
                <w:b/>
                <w:lang w:val="en-GB"/>
              </w:rPr>
              <w:t>Gt C yr</w:t>
            </w:r>
            <w:r w:rsidRPr="007C6F51">
              <w:rPr>
                <w:rFonts w:asciiTheme="minorHAnsi" w:hAnsiTheme="minorHAnsi"/>
                <w:b/>
                <w:vertAlign w:val="superscript"/>
                <w:lang w:val="en-GB"/>
              </w:rPr>
              <w:t>-1</w:t>
            </w:r>
            <w:r w:rsidR="008805E2" w:rsidRPr="007C6F51">
              <w:rPr>
                <w:rFonts w:asciiTheme="minorHAnsi" w:hAnsiTheme="minorHAnsi"/>
                <w:b/>
                <w:lang w:val="en-GB"/>
              </w:rPr>
              <w:t>)</w:t>
            </w:r>
          </w:p>
        </w:tc>
        <w:tc>
          <w:tcPr>
            <w:tcW w:w="1134" w:type="dxa"/>
          </w:tcPr>
          <w:p w14:paraId="774B2FB5" w14:textId="6DC0061F" w:rsidR="007A2027" w:rsidRPr="007C6F51" w:rsidRDefault="00973424">
            <w:pPr>
              <w:rPr>
                <w:rFonts w:asciiTheme="minorHAnsi" w:hAnsiTheme="minorHAnsi"/>
                <w:b/>
                <w:lang w:val="en-GB"/>
              </w:rPr>
            </w:pPr>
            <w:r w:rsidRPr="007C6F51">
              <w:rPr>
                <w:rFonts w:asciiTheme="minorHAnsi" w:hAnsiTheme="minorHAnsi"/>
                <w:b/>
                <w:lang w:val="en-GB"/>
              </w:rPr>
              <w:t>High scenario</w:t>
            </w:r>
            <w:r w:rsidR="008805E2" w:rsidRPr="007C6F51">
              <w:rPr>
                <w:rFonts w:asciiTheme="minorHAnsi" w:hAnsiTheme="minorHAnsi"/>
                <w:b/>
                <w:lang w:val="en-GB"/>
              </w:rPr>
              <w:t xml:space="preserve"> (</w:t>
            </w:r>
            <w:r w:rsidRPr="007C6F51">
              <w:rPr>
                <w:rFonts w:asciiTheme="minorHAnsi" w:hAnsiTheme="minorHAnsi"/>
                <w:b/>
                <w:lang w:val="en-GB"/>
              </w:rPr>
              <w:t>Gt C yr</w:t>
            </w:r>
            <w:r w:rsidRPr="007C6F51">
              <w:rPr>
                <w:rFonts w:asciiTheme="minorHAnsi" w:hAnsiTheme="minorHAnsi"/>
                <w:b/>
                <w:vertAlign w:val="superscript"/>
                <w:lang w:val="en-GB"/>
              </w:rPr>
              <w:t>-1</w:t>
            </w:r>
            <w:r w:rsidR="008805E2" w:rsidRPr="007C6F51">
              <w:rPr>
                <w:rFonts w:asciiTheme="minorHAnsi" w:hAnsiTheme="minorHAnsi"/>
                <w:b/>
                <w:lang w:val="en-GB"/>
              </w:rPr>
              <w:t>)</w:t>
            </w:r>
          </w:p>
        </w:tc>
        <w:tc>
          <w:tcPr>
            <w:tcW w:w="3779" w:type="dxa"/>
          </w:tcPr>
          <w:p w14:paraId="1A722B77" w14:textId="77777777" w:rsidR="007A2027" w:rsidRPr="007C6F51" w:rsidRDefault="00973424">
            <w:pPr>
              <w:rPr>
                <w:rFonts w:asciiTheme="minorHAnsi" w:hAnsiTheme="minorHAnsi"/>
                <w:b/>
                <w:lang w:val="en-GB"/>
              </w:rPr>
            </w:pPr>
            <w:r w:rsidRPr="007C6F51">
              <w:rPr>
                <w:rFonts w:asciiTheme="minorHAnsi" w:hAnsiTheme="minorHAnsi"/>
                <w:b/>
                <w:lang w:val="en-GB"/>
              </w:rPr>
              <w:t>Notes</w:t>
            </w:r>
          </w:p>
        </w:tc>
      </w:tr>
      <w:tr w:rsidR="007A2027" w:rsidRPr="001B3152" w14:paraId="237D2A5A" w14:textId="77777777">
        <w:tc>
          <w:tcPr>
            <w:tcW w:w="1803" w:type="dxa"/>
          </w:tcPr>
          <w:p w14:paraId="2369F30B" w14:textId="3D991165" w:rsidR="007A2027" w:rsidRPr="007C6F51" w:rsidRDefault="0031035E">
            <w:pPr>
              <w:rPr>
                <w:rFonts w:asciiTheme="minorHAnsi" w:hAnsiTheme="minorHAnsi"/>
                <w:lang w:val="en-GB"/>
              </w:rPr>
            </w:pPr>
            <w:r w:rsidRPr="007C6F51">
              <w:rPr>
                <w:rFonts w:asciiTheme="minorHAnsi" w:hAnsiTheme="minorHAnsi"/>
                <w:lang w:val="en-GB"/>
              </w:rPr>
              <w:t>O</w:t>
            </w:r>
            <w:r w:rsidR="00973424" w:rsidRPr="007C6F51">
              <w:rPr>
                <w:rFonts w:asciiTheme="minorHAnsi" w:hAnsiTheme="minorHAnsi"/>
                <w:lang w:val="en-GB"/>
              </w:rPr>
              <w:t>cean alkalin</w:t>
            </w:r>
            <w:r w:rsidRPr="007C6F51">
              <w:rPr>
                <w:rFonts w:asciiTheme="minorHAnsi" w:hAnsiTheme="minorHAnsi"/>
                <w:lang w:val="en-GB"/>
              </w:rPr>
              <w:t>ity enhancement</w:t>
            </w:r>
          </w:p>
        </w:tc>
        <w:tc>
          <w:tcPr>
            <w:tcW w:w="1168" w:type="dxa"/>
          </w:tcPr>
          <w:p w14:paraId="329DB800" w14:textId="77777777" w:rsidR="007A2027" w:rsidRPr="007C6F51" w:rsidRDefault="00973424">
            <w:pPr>
              <w:rPr>
                <w:rFonts w:asciiTheme="minorHAnsi" w:hAnsiTheme="minorHAnsi"/>
                <w:lang w:val="en-GB"/>
              </w:rPr>
            </w:pPr>
            <w:r w:rsidRPr="007C6F51">
              <w:rPr>
                <w:rFonts w:asciiTheme="minorHAnsi" w:hAnsiTheme="minorHAnsi"/>
                <w:lang w:val="en-GB"/>
              </w:rPr>
              <w:t>2</w:t>
            </w:r>
          </w:p>
        </w:tc>
        <w:tc>
          <w:tcPr>
            <w:tcW w:w="1135" w:type="dxa"/>
          </w:tcPr>
          <w:p w14:paraId="67A8AB05" w14:textId="77777777" w:rsidR="007A2027" w:rsidRPr="007C6F51" w:rsidRDefault="00973424">
            <w:pPr>
              <w:rPr>
                <w:rFonts w:asciiTheme="minorHAnsi" w:hAnsiTheme="minorHAnsi"/>
                <w:lang w:val="en-GB"/>
              </w:rPr>
            </w:pPr>
            <w:r w:rsidRPr="007C6F51">
              <w:rPr>
                <w:rFonts w:asciiTheme="minorHAnsi" w:hAnsiTheme="minorHAnsi"/>
                <w:lang w:val="en-GB"/>
              </w:rPr>
              <w:t>3.8</w:t>
            </w:r>
          </w:p>
        </w:tc>
        <w:tc>
          <w:tcPr>
            <w:tcW w:w="1134" w:type="dxa"/>
          </w:tcPr>
          <w:p w14:paraId="4CB5C28C" w14:textId="77777777" w:rsidR="007A2027" w:rsidRPr="007C6F51" w:rsidRDefault="00973424">
            <w:pPr>
              <w:rPr>
                <w:rFonts w:asciiTheme="minorHAnsi" w:hAnsiTheme="minorHAnsi"/>
                <w:lang w:val="en-GB"/>
              </w:rPr>
            </w:pPr>
            <w:r w:rsidRPr="007C6F51">
              <w:rPr>
                <w:rFonts w:asciiTheme="minorHAnsi" w:hAnsiTheme="minorHAnsi"/>
                <w:lang w:val="en-GB"/>
              </w:rPr>
              <w:t>10</w:t>
            </w:r>
          </w:p>
        </w:tc>
        <w:tc>
          <w:tcPr>
            <w:tcW w:w="3779" w:type="dxa"/>
          </w:tcPr>
          <w:p w14:paraId="73F545A1" w14:textId="73B7FE95" w:rsidR="007A2027" w:rsidRPr="007C6F51" w:rsidRDefault="00973424">
            <w:pPr>
              <w:rPr>
                <w:rFonts w:asciiTheme="minorHAnsi" w:hAnsiTheme="minorHAnsi"/>
                <w:lang w:val="en-GB"/>
              </w:rPr>
            </w:pPr>
            <w:r w:rsidRPr="007C6F51">
              <w:rPr>
                <w:rFonts w:asciiTheme="minorHAnsi" w:hAnsiTheme="minorHAnsi"/>
                <w:lang w:val="en-GB"/>
              </w:rPr>
              <w:t xml:space="preserve">Low: Ilyina et al. </w:t>
            </w:r>
            <w:r w:rsidR="008805E2" w:rsidRPr="007C6F51">
              <w:rPr>
                <w:rFonts w:asciiTheme="minorHAnsi" w:hAnsiTheme="minorHAnsi"/>
                <w:lang w:val="en-GB"/>
              </w:rPr>
              <w:t>(</w:t>
            </w:r>
            <w:r w:rsidRPr="007C6F51">
              <w:rPr>
                <w:rFonts w:asciiTheme="minorHAnsi" w:hAnsiTheme="minorHAnsi"/>
                <w:lang w:val="en-GB"/>
              </w:rPr>
              <w:t>2013</w:t>
            </w:r>
            <w:r w:rsidR="008805E2" w:rsidRPr="007C6F51">
              <w:rPr>
                <w:rFonts w:asciiTheme="minorHAnsi" w:hAnsiTheme="minorHAnsi"/>
                <w:lang w:val="en-GB"/>
              </w:rPr>
              <w:t>)</w:t>
            </w:r>
            <w:r w:rsidRPr="007C6F51">
              <w:rPr>
                <w:rFonts w:asciiTheme="minorHAnsi" w:hAnsiTheme="minorHAnsi"/>
                <w:lang w:val="en-GB"/>
              </w:rPr>
              <w:t xml:space="preserve"> 2.4 </w:t>
            </w:r>
            <w:proofErr w:type="spellStart"/>
            <w:r w:rsidRPr="007C6F51">
              <w:rPr>
                <w:rFonts w:asciiTheme="minorHAnsi" w:hAnsiTheme="minorHAnsi"/>
                <w:lang w:val="en-GB"/>
              </w:rPr>
              <w:t>Pmol</w:t>
            </w:r>
            <w:proofErr w:type="spellEnd"/>
            <w:r w:rsidRPr="007C6F51">
              <w:rPr>
                <w:rFonts w:asciiTheme="minorHAnsi" w:hAnsiTheme="minorHAnsi"/>
                <w:lang w:val="en-GB"/>
              </w:rPr>
              <w:t xml:space="preserve"> yr</w:t>
            </w:r>
            <w:r w:rsidRPr="007C6F51">
              <w:rPr>
                <w:rFonts w:asciiTheme="minorHAnsi" w:hAnsiTheme="minorHAnsi"/>
                <w:vertAlign w:val="superscript"/>
                <w:lang w:val="en-GB"/>
              </w:rPr>
              <w:t>-1</w:t>
            </w:r>
            <w:r w:rsidRPr="007C6F51">
              <w:rPr>
                <w:rFonts w:asciiTheme="minorHAnsi" w:hAnsiTheme="minorHAnsi"/>
                <w:lang w:val="en-GB"/>
              </w:rPr>
              <w:t xml:space="preserve"> total alkalinity addition * 0.83 moles CO</w:t>
            </w:r>
            <w:r w:rsidRPr="007C6F51">
              <w:rPr>
                <w:rFonts w:asciiTheme="minorHAnsi" w:hAnsiTheme="minorHAnsi"/>
                <w:vertAlign w:val="subscript"/>
                <w:lang w:val="en-GB"/>
              </w:rPr>
              <w:t>2</w:t>
            </w:r>
            <w:r w:rsidRPr="007C6F51">
              <w:rPr>
                <w:rFonts w:asciiTheme="minorHAnsi" w:hAnsiTheme="minorHAnsi"/>
                <w:lang w:val="en-GB"/>
              </w:rPr>
              <w:t xml:space="preserve"> uptake per unit alkalinity (Renforth and Henderson</w:t>
            </w:r>
            <w:r w:rsidR="00F332BF" w:rsidRPr="007C6F51">
              <w:rPr>
                <w:rFonts w:asciiTheme="minorHAnsi" w:hAnsiTheme="minorHAnsi"/>
                <w:lang w:val="en-GB"/>
              </w:rPr>
              <w:t>,</w:t>
            </w:r>
            <w:r w:rsidRPr="007C6F51">
              <w:rPr>
                <w:rFonts w:asciiTheme="minorHAnsi" w:hAnsiTheme="minorHAnsi"/>
                <w:lang w:val="en-GB"/>
              </w:rPr>
              <w:t xml:space="preserve"> 2017). Med</w:t>
            </w:r>
            <w:r w:rsidR="008805E2" w:rsidRPr="007C6F51">
              <w:rPr>
                <w:rFonts w:asciiTheme="minorHAnsi" w:hAnsiTheme="minorHAnsi"/>
                <w:lang w:val="en-GB"/>
              </w:rPr>
              <w:t>ium</w:t>
            </w:r>
            <w:r w:rsidRPr="007C6F51">
              <w:rPr>
                <w:rFonts w:asciiTheme="minorHAnsi" w:hAnsiTheme="minorHAnsi"/>
                <w:lang w:val="en-GB"/>
              </w:rPr>
              <w:t xml:space="preserve">: Keller et al. </w:t>
            </w:r>
            <w:r w:rsidR="003A3447" w:rsidRPr="007C6F51">
              <w:rPr>
                <w:rFonts w:asciiTheme="minorHAnsi" w:hAnsiTheme="minorHAnsi"/>
                <w:lang w:val="en-GB"/>
              </w:rPr>
              <w:t>(</w:t>
            </w:r>
            <w:r w:rsidRPr="007C6F51">
              <w:rPr>
                <w:rFonts w:asciiTheme="minorHAnsi" w:hAnsiTheme="minorHAnsi"/>
                <w:lang w:val="en-GB"/>
              </w:rPr>
              <w:t>2014</w:t>
            </w:r>
            <w:r w:rsidR="003A3447" w:rsidRPr="007C6F51">
              <w:rPr>
                <w:rFonts w:asciiTheme="minorHAnsi" w:hAnsiTheme="minorHAnsi"/>
                <w:lang w:val="en-GB"/>
              </w:rPr>
              <w:t>)</w:t>
            </w:r>
            <w:r w:rsidRPr="007C6F51">
              <w:rPr>
                <w:rFonts w:asciiTheme="minorHAnsi" w:hAnsiTheme="minorHAnsi"/>
                <w:lang w:val="en-GB"/>
              </w:rPr>
              <w:t xml:space="preserve"> total atmospheric CO</w:t>
            </w:r>
            <w:r w:rsidRPr="007C6F51">
              <w:rPr>
                <w:rFonts w:asciiTheme="minorHAnsi" w:hAnsiTheme="minorHAnsi"/>
                <w:vertAlign w:val="subscript"/>
                <w:lang w:val="en-GB"/>
              </w:rPr>
              <w:t>2</w:t>
            </w:r>
            <w:r w:rsidRPr="007C6F51">
              <w:rPr>
                <w:rFonts w:asciiTheme="minorHAnsi" w:hAnsiTheme="minorHAnsi"/>
                <w:lang w:val="en-GB"/>
              </w:rPr>
              <w:t xml:space="preserve"> uptake in simulation to 2100 averaged over their integration time (2020</w:t>
            </w:r>
            <w:r w:rsidR="008805E2" w:rsidRPr="007C6F51">
              <w:rPr>
                <w:rFonts w:asciiTheme="minorHAnsi" w:hAnsiTheme="minorHAnsi"/>
                <w:lang w:val="en-GB"/>
              </w:rPr>
              <w:t>–</w:t>
            </w:r>
            <w:r w:rsidRPr="007C6F51">
              <w:rPr>
                <w:rFonts w:asciiTheme="minorHAnsi" w:hAnsiTheme="minorHAnsi"/>
                <w:lang w:val="en-GB"/>
              </w:rPr>
              <w:t>2100). High: Max capacity from Renforth and Henderson (2017)</w:t>
            </w:r>
            <w:r w:rsidR="003A3447" w:rsidRPr="007C6F51">
              <w:rPr>
                <w:rFonts w:asciiTheme="minorHAnsi" w:hAnsiTheme="minorHAnsi"/>
                <w:lang w:val="en-GB"/>
              </w:rPr>
              <w:t>.</w:t>
            </w:r>
            <w:r w:rsidRPr="007C6F51">
              <w:rPr>
                <w:rFonts w:asciiTheme="minorHAnsi" w:hAnsiTheme="minorHAnsi"/>
                <w:lang w:val="en-GB"/>
              </w:rPr>
              <w:t xml:space="preserve"> Note in all studies the limit to this technique is related to the capacity of shipping to deliver alkaline mineral materials to the open ocean. </w:t>
            </w:r>
          </w:p>
        </w:tc>
      </w:tr>
      <w:tr w:rsidR="007A2027" w:rsidRPr="001B3152" w14:paraId="511CD031" w14:textId="77777777">
        <w:tc>
          <w:tcPr>
            <w:tcW w:w="1803" w:type="dxa"/>
          </w:tcPr>
          <w:p w14:paraId="13CE71B9" w14:textId="1F2C59A1" w:rsidR="007A2027" w:rsidRPr="007C6F51" w:rsidRDefault="00973424">
            <w:pPr>
              <w:rPr>
                <w:rFonts w:asciiTheme="minorHAnsi" w:hAnsiTheme="minorHAnsi"/>
                <w:lang w:val="en-GB"/>
              </w:rPr>
            </w:pPr>
            <w:r w:rsidRPr="007C6F51">
              <w:rPr>
                <w:rFonts w:asciiTheme="minorHAnsi" w:hAnsiTheme="minorHAnsi"/>
                <w:lang w:val="en-GB"/>
              </w:rPr>
              <w:t xml:space="preserve">Ocean </w:t>
            </w:r>
            <w:r w:rsidR="008805E2" w:rsidRPr="007C6F51">
              <w:rPr>
                <w:rFonts w:asciiTheme="minorHAnsi" w:hAnsiTheme="minorHAnsi"/>
                <w:lang w:val="en-GB"/>
              </w:rPr>
              <w:t>i</w:t>
            </w:r>
            <w:r w:rsidRPr="007C6F51">
              <w:rPr>
                <w:rFonts w:asciiTheme="minorHAnsi" w:hAnsiTheme="minorHAnsi"/>
                <w:lang w:val="en-GB"/>
              </w:rPr>
              <w:t xml:space="preserve">ron </w:t>
            </w:r>
            <w:r w:rsidR="008805E2" w:rsidRPr="007C6F51">
              <w:rPr>
                <w:rFonts w:asciiTheme="minorHAnsi" w:hAnsiTheme="minorHAnsi"/>
                <w:lang w:val="en-GB"/>
              </w:rPr>
              <w:t>f</w:t>
            </w:r>
            <w:r w:rsidRPr="007C6F51">
              <w:rPr>
                <w:rFonts w:asciiTheme="minorHAnsi" w:hAnsiTheme="minorHAnsi"/>
                <w:lang w:val="en-GB"/>
              </w:rPr>
              <w:t>ertilisation</w:t>
            </w:r>
          </w:p>
        </w:tc>
        <w:tc>
          <w:tcPr>
            <w:tcW w:w="1168" w:type="dxa"/>
          </w:tcPr>
          <w:p w14:paraId="71ED946E" w14:textId="77777777" w:rsidR="007A2027" w:rsidRPr="007C6F51" w:rsidRDefault="00973424">
            <w:pPr>
              <w:rPr>
                <w:rFonts w:asciiTheme="minorHAnsi" w:hAnsiTheme="minorHAnsi"/>
                <w:lang w:val="en-GB"/>
              </w:rPr>
            </w:pPr>
            <w:r w:rsidRPr="007C6F51">
              <w:rPr>
                <w:rFonts w:asciiTheme="minorHAnsi" w:hAnsiTheme="minorHAnsi"/>
                <w:lang w:val="en-GB"/>
              </w:rPr>
              <w:t>1.04</w:t>
            </w:r>
          </w:p>
        </w:tc>
        <w:tc>
          <w:tcPr>
            <w:tcW w:w="1135" w:type="dxa"/>
          </w:tcPr>
          <w:p w14:paraId="42643214" w14:textId="77777777" w:rsidR="007A2027" w:rsidRPr="007C6F51" w:rsidRDefault="00973424">
            <w:pPr>
              <w:rPr>
                <w:rFonts w:asciiTheme="minorHAnsi" w:hAnsiTheme="minorHAnsi"/>
                <w:lang w:val="en-GB"/>
              </w:rPr>
            </w:pPr>
            <w:r w:rsidRPr="007C6F51">
              <w:rPr>
                <w:rFonts w:asciiTheme="minorHAnsi" w:hAnsiTheme="minorHAnsi"/>
                <w:lang w:val="en-GB"/>
              </w:rPr>
              <w:t>2.07</w:t>
            </w:r>
          </w:p>
        </w:tc>
        <w:tc>
          <w:tcPr>
            <w:tcW w:w="1134" w:type="dxa"/>
          </w:tcPr>
          <w:p w14:paraId="18E1F552" w14:textId="77777777" w:rsidR="007A2027" w:rsidRPr="007C6F51" w:rsidRDefault="00973424">
            <w:pPr>
              <w:rPr>
                <w:rFonts w:asciiTheme="minorHAnsi" w:hAnsiTheme="minorHAnsi"/>
                <w:lang w:val="en-GB"/>
              </w:rPr>
            </w:pPr>
            <w:r w:rsidRPr="007C6F51">
              <w:rPr>
                <w:rFonts w:asciiTheme="minorHAnsi" w:hAnsiTheme="minorHAnsi"/>
                <w:lang w:val="en-GB"/>
              </w:rPr>
              <w:t>3.1</w:t>
            </w:r>
          </w:p>
        </w:tc>
        <w:tc>
          <w:tcPr>
            <w:tcW w:w="3779" w:type="dxa"/>
          </w:tcPr>
          <w:p w14:paraId="2F8D0C47" w14:textId="037735EE" w:rsidR="007A2027" w:rsidRPr="007C6F51" w:rsidRDefault="00973424" w:rsidP="008805E2">
            <w:pPr>
              <w:rPr>
                <w:rFonts w:asciiTheme="minorHAnsi" w:hAnsiTheme="minorHAnsi"/>
                <w:lang w:val="en-GB"/>
              </w:rPr>
            </w:pPr>
            <w:r w:rsidRPr="007C6F51">
              <w:rPr>
                <w:rFonts w:asciiTheme="minorHAnsi" w:hAnsiTheme="minorHAnsi"/>
                <w:lang w:val="en-GB"/>
              </w:rPr>
              <w:t>2.07 Gt C yr</w:t>
            </w:r>
            <w:r w:rsidRPr="007C6F51">
              <w:rPr>
                <w:rFonts w:asciiTheme="minorHAnsi" w:hAnsiTheme="minorHAnsi"/>
                <w:vertAlign w:val="superscript"/>
                <w:lang w:val="en-GB"/>
              </w:rPr>
              <w:t>-1</w:t>
            </w:r>
            <w:r w:rsidRPr="007C6F51">
              <w:rPr>
                <w:rFonts w:asciiTheme="minorHAnsi" w:hAnsiTheme="minorHAnsi"/>
                <w:lang w:val="en-GB"/>
              </w:rPr>
              <w:t xml:space="preserve"> from Keller et al.</w:t>
            </w:r>
            <w:r w:rsidR="008805E2" w:rsidRPr="007C6F51">
              <w:rPr>
                <w:rFonts w:asciiTheme="minorHAnsi" w:hAnsiTheme="minorHAnsi"/>
                <w:lang w:val="en-GB"/>
              </w:rPr>
              <w:t xml:space="preserve"> (</w:t>
            </w:r>
            <w:r w:rsidRPr="007C6F51">
              <w:rPr>
                <w:rFonts w:asciiTheme="minorHAnsi" w:hAnsiTheme="minorHAnsi"/>
                <w:lang w:val="en-GB"/>
              </w:rPr>
              <w:t>2014</w:t>
            </w:r>
            <w:r w:rsidR="008805E2" w:rsidRPr="007C6F51">
              <w:rPr>
                <w:rFonts w:asciiTheme="minorHAnsi" w:hAnsiTheme="minorHAnsi"/>
                <w:lang w:val="en-GB"/>
              </w:rPr>
              <w:t>)</w:t>
            </w:r>
            <w:r w:rsidRPr="007C6F51">
              <w:rPr>
                <w:rFonts w:asciiTheme="minorHAnsi" w:hAnsiTheme="minorHAnsi"/>
                <w:lang w:val="en-GB"/>
              </w:rPr>
              <w:t xml:space="preserve"> +/- 50% for low and high scenarios. </w:t>
            </w:r>
          </w:p>
        </w:tc>
      </w:tr>
      <w:tr w:rsidR="007A2027" w:rsidRPr="001B3152" w14:paraId="39BFE962" w14:textId="77777777">
        <w:tc>
          <w:tcPr>
            <w:tcW w:w="1803" w:type="dxa"/>
          </w:tcPr>
          <w:p w14:paraId="596BBDD1" w14:textId="77777777" w:rsidR="007A2027" w:rsidRPr="007C6F51" w:rsidRDefault="00973424">
            <w:pPr>
              <w:rPr>
                <w:rFonts w:asciiTheme="minorHAnsi" w:hAnsiTheme="minorHAnsi"/>
                <w:lang w:val="en-GB"/>
              </w:rPr>
            </w:pPr>
            <w:r w:rsidRPr="007C6F51">
              <w:rPr>
                <w:rFonts w:asciiTheme="minorHAnsi" w:hAnsiTheme="minorHAnsi"/>
                <w:lang w:val="en-GB"/>
              </w:rPr>
              <w:t>Ocean macronutrient fertilisation</w:t>
            </w:r>
          </w:p>
        </w:tc>
        <w:tc>
          <w:tcPr>
            <w:tcW w:w="1168" w:type="dxa"/>
          </w:tcPr>
          <w:p w14:paraId="155DE8D9" w14:textId="77777777" w:rsidR="007A2027" w:rsidRPr="007C6F51" w:rsidRDefault="00973424">
            <w:pPr>
              <w:rPr>
                <w:rFonts w:asciiTheme="minorHAnsi" w:hAnsiTheme="minorHAnsi"/>
                <w:lang w:val="en-GB"/>
              </w:rPr>
            </w:pPr>
            <w:r w:rsidRPr="007C6F51">
              <w:rPr>
                <w:rFonts w:asciiTheme="minorHAnsi" w:hAnsiTheme="minorHAnsi"/>
                <w:lang w:val="en-GB"/>
              </w:rPr>
              <w:t>0.75</w:t>
            </w:r>
          </w:p>
        </w:tc>
        <w:tc>
          <w:tcPr>
            <w:tcW w:w="1135" w:type="dxa"/>
          </w:tcPr>
          <w:p w14:paraId="4EBA9237" w14:textId="77777777" w:rsidR="007A2027" w:rsidRPr="007C6F51" w:rsidRDefault="00973424">
            <w:pPr>
              <w:rPr>
                <w:rFonts w:asciiTheme="minorHAnsi" w:hAnsiTheme="minorHAnsi"/>
                <w:lang w:val="en-GB"/>
              </w:rPr>
            </w:pPr>
            <w:r w:rsidRPr="007C6F51">
              <w:rPr>
                <w:rFonts w:asciiTheme="minorHAnsi" w:hAnsiTheme="minorHAnsi"/>
                <w:lang w:val="en-GB"/>
              </w:rPr>
              <w:t>1.5</w:t>
            </w:r>
          </w:p>
        </w:tc>
        <w:tc>
          <w:tcPr>
            <w:tcW w:w="1134" w:type="dxa"/>
          </w:tcPr>
          <w:p w14:paraId="66882976" w14:textId="77777777" w:rsidR="007A2027" w:rsidRPr="007C6F51" w:rsidRDefault="00973424">
            <w:pPr>
              <w:rPr>
                <w:rFonts w:asciiTheme="minorHAnsi" w:hAnsiTheme="minorHAnsi"/>
                <w:lang w:val="en-GB"/>
              </w:rPr>
            </w:pPr>
            <w:r w:rsidRPr="007C6F51">
              <w:rPr>
                <w:rFonts w:asciiTheme="minorHAnsi" w:hAnsiTheme="minorHAnsi"/>
                <w:lang w:val="en-GB"/>
              </w:rPr>
              <w:t>2.25</w:t>
            </w:r>
          </w:p>
        </w:tc>
        <w:tc>
          <w:tcPr>
            <w:tcW w:w="3779" w:type="dxa"/>
          </w:tcPr>
          <w:p w14:paraId="10AB79C6" w14:textId="7080A0E4"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Harrison et al</w:t>
            </w:r>
            <w:r w:rsidR="008805E2" w:rsidRPr="007C6F51">
              <w:rPr>
                <w:rFonts w:asciiTheme="minorHAnsi" w:eastAsia="Cambria" w:hAnsiTheme="minorHAnsi"/>
                <w:lang w:val="en-GB"/>
              </w:rPr>
              <w:t>. (</w:t>
            </w:r>
            <w:r w:rsidRPr="007C6F51">
              <w:rPr>
                <w:rFonts w:asciiTheme="minorHAnsi" w:eastAsia="Cambria" w:hAnsiTheme="minorHAnsi"/>
                <w:lang w:val="en-GB"/>
              </w:rPr>
              <w:t>2017</w:t>
            </w:r>
            <w:r w:rsidR="008805E2" w:rsidRPr="007C6F51">
              <w:rPr>
                <w:rFonts w:asciiTheme="minorHAnsi" w:eastAsia="Cambria" w:hAnsiTheme="minorHAnsi"/>
                <w:lang w:val="en-GB"/>
              </w:rPr>
              <w:t>)</w:t>
            </w:r>
            <w:r w:rsidRPr="007C6F51">
              <w:rPr>
                <w:rFonts w:asciiTheme="minorHAnsi" w:eastAsia="Cambria" w:hAnsiTheme="minorHAnsi"/>
                <w:lang w:val="en-GB"/>
              </w:rPr>
              <w:t xml:space="preserve"> 1.5 Pg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+/- 50%</w:t>
            </w:r>
          </w:p>
          <w:p w14:paraId="1D6B559B" w14:textId="77777777" w:rsidR="007A2027" w:rsidRPr="007C6F51" w:rsidRDefault="007A2027">
            <w:pPr>
              <w:rPr>
                <w:rFonts w:asciiTheme="minorHAnsi" w:hAnsiTheme="minorHAnsi"/>
                <w:lang w:val="en-GB"/>
              </w:rPr>
            </w:pPr>
          </w:p>
        </w:tc>
      </w:tr>
      <w:tr w:rsidR="007A2027" w:rsidRPr="001B3152" w14:paraId="73B8F698" w14:textId="77777777">
        <w:tc>
          <w:tcPr>
            <w:tcW w:w="1803" w:type="dxa"/>
          </w:tcPr>
          <w:p w14:paraId="126938C9" w14:textId="77777777" w:rsidR="007A2027" w:rsidRPr="007C6F51" w:rsidRDefault="00973424">
            <w:pPr>
              <w:rPr>
                <w:rFonts w:asciiTheme="minorHAnsi" w:hAnsiTheme="minorHAnsi"/>
                <w:lang w:val="en-GB"/>
              </w:rPr>
            </w:pPr>
            <w:r w:rsidRPr="007C6F51">
              <w:rPr>
                <w:rFonts w:asciiTheme="minorHAnsi" w:hAnsiTheme="minorHAnsi"/>
                <w:lang w:val="en-GB"/>
              </w:rPr>
              <w:t>Artificial ocean upwelling</w:t>
            </w:r>
          </w:p>
        </w:tc>
        <w:tc>
          <w:tcPr>
            <w:tcW w:w="1168" w:type="dxa"/>
          </w:tcPr>
          <w:p w14:paraId="69B424E0" w14:textId="77777777" w:rsidR="007A2027" w:rsidRPr="007C6F51" w:rsidRDefault="00973424">
            <w:pPr>
              <w:rPr>
                <w:rFonts w:asciiTheme="minorHAnsi" w:hAnsiTheme="minorHAnsi"/>
                <w:lang w:val="en-GB"/>
              </w:rPr>
            </w:pPr>
            <w:r w:rsidRPr="007C6F51">
              <w:rPr>
                <w:rFonts w:asciiTheme="minorHAnsi" w:hAnsiTheme="minorHAnsi"/>
                <w:lang w:val="en-GB"/>
              </w:rPr>
              <w:t>1.6</w:t>
            </w:r>
          </w:p>
        </w:tc>
        <w:tc>
          <w:tcPr>
            <w:tcW w:w="1135" w:type="dxa"/>
          </w:tcPr>
          <w:p w14:paraId="3EF78582" w14:textId="77777777" w:rsidR="007A2027" w:rsidRPr="007C6F51" w:rsidRDefault="00973424">
            <w:pPr>
              <w:rPr>
                <w:rFonts w:asciiTheme="minorHAnsi" w:hAnsiTheme="minorHAnsi"/>
                <w:lang w:val="en-GB"/>
              </w:rPr>
            </w:pPr>
            <w:r w:rsidRPr="007C6F51">
              <w:rPr>
                <w:rFonts w:asciiTheme="minorHAnsi" w:hAnsiTheme="minorHAnsi"/>
                <w:lang w:val="en-GB"/>
              </w:rPr>
              <w:t>3.2</w:t>
            </w:r>
          </w:p>
        </w:tc>
        <w:tc>
          <w:tcPr>
            <w:tcW w:w="1134" w:type="dxa"/>
          </w:tcPr>
          <w:p w14:paraId="38C9A7CA" w14:textId="77777777" w:rsidR="007A2027" w:rsidRPr="007C6F51" w:rsidRDefault="00973424">
            <w:pPr>
              <w:rPr>
                <w:rFonts w:asciiTheme="minorHAnsi" w:hAnsiTheme="minorHAnsi"/>
                <w:lang w:val="en-GB"/>
              </w:rPr>
            </w:pPr>
            <w:r w:rsidRPr="007C6F51">
              <w:rPr>
                <w:rFonts w:asciiTheme="minorHAnsi" w:hAnsiTheme="minorHAnsi"/>
                <w:lang w:val="en-GB"/>
              </w:rPr>
              <w:t>4.8</w:t>
            </w:r>
          </w:p>
        </w:tc>
        <w:tc>
          <w:tcPr>
            <w:tcW w:w="3779" w:type="dxa"/>
          </w:tcPr>
          <w:p w14:paraId="2B36C8E0" w14:textId="11A93382"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3.17 Gt C yr</w:t>
            </w:r>
            <w:r w:rsidRPr="007C6F51">
              <w:rPr>
                <w:rFonts w:asciiTheme="minorHAnsi" w:eastAsia="Cambria" w:hAnsiTheme="minorHAnsi"/>
                <w:vertAlign w:val="superscript"/>
                <w:lang w:val="en-GB"/>
              </w:rPr>
              <w:t>-1</w:t>
            </w:r>
            <w:r w:rsidRPr="007C6F51">
              <w:rPr>
                <w:rFonts w:asciiTheme="minorHAnsi" w:eastAsia="Cambria" w:hAnsiTheme="minorHAnsi"/>
                <w:lang w:val="en-GB"/>
              </w:rPr>
              <w:t xml:space="preserve"> as per Keller et al</w:t>
            </w:r>
            <w:r w:rsidR="008805E2" w:rsidRPr="007C6F51">
              <w:rPr>
                <w:rFonts w:asciiTheme="minorHAnsi" w:eastAsia="Cambria" w:hAnsiTheme="minorHAnsi"/>
                <w:lang w:val="en-GB"/>
              </w:rPr>
              <w:t>. (</w:t>
            </w:r>
            <w:r w:rsidRPr="007C6F51">
              <w:rPr>
                <w:rFonts w:asciiTheme="minorHAnsi" w:eastAsia="Cambria" w:hAnsiTheme="minorHAnsi"/>
                <w:lang w:val="en-GB"/>
              </w:rPr>
              <w:t>2014</w:t>
            </w:r>
            <w:r w:rsidR="008805E2" w:rsidRPr="007C6F51">
              <w:rPr>
                <w:rFonts w:asciiTheme="minorHAnsi" w:eastAsia="Cambria" w:hAnsiTheme="minorHAnsi"/>
                <w:lang w:val="en-GB"/>
              </w:rPr>
              <w:t>)</w:t>
            </w:r>
            <w:r w:rsidRPr="007C6F51">
              <w:rPr>
                <w:rFonts w:asciiTheme="minorHAnsi" w:eastAsia="Cambria" w:hAnsiTheme="minorHAnsi"/>
                <w:lang w:val="en-GB"/>
              </w:rPr>
              <w:t xml:space="preserve"> +/- 50%</w:t>
            </w:r>
          </w:p>
          <w:p w14:paraId="6FC500B4" w14:textId="77777777" w:rsidR="007A2027" w:rsidRPr="007C6F51" w:rsidRDefault="007A2027">
            <w:pPr>
              <w:rPr>
                <w:rFonts w:asciiTheme="minorHAnsi" w:hAnsiTheme="minorHAnsi"/>
                <w:lang w:val="en-GB"/>
              </w:rPr>
            </w:pPr>
          </w:p>
        </w:tc>
      </w:tr>
    </w:tbl>
    <w:p w14:paraId="19D91324" w14:textId="77777777" w:rsidR="007A2027" w:rsidRPr="007C6F51" w:rsidRDefault="007A2027">
      <w:pPr>
        <w:rPr>
          <w:rFonts w:asciiTheme="minorHAnsi" w:hAnsiTheme="minorHAnsi"/>
          <w:lang w:val="en-GB"/>
        </w:rPr>
      </w:pPr>
    </w:p>
    <w:p w14:paraId="37C0118A" w14:textId="77777777" w:rsidR="007A2027" w:rsidRPr="007C6F51" w:rsidRDefault="007A2027">
      <w:pPr>
        <w:rPr>
          <w:rFonts w:asciiTheme="minorHAnsi" w:hAnsiTheme="minorHAnsi"/>
          <w:lang w:val="en-GB"/>
        </w:rPr>
      </w:pPr>
    </w:p>
    <w:p w14:paraId="5E6D9D38" w14:textId="77777777" w:rsidR="007A2027" w:rsidRPr="007C6F51" w:rsidRDefault="00973424">
      <w:pPr>
        <w:rPr>
          <w:rFonts w:asciiTheme="minorHAnsi" w:hAnsiTheme="minorHAnsi"/>
          <w:lang w:val="en-GB"/>
        </w:rPr>
      </w:pPr>
      <w:r w:rsidRPr="007C6F51">
        <w:rPr>
          <w:rFonts w:asciiTheme="minorHAnsi" w:hAnsiTheme="minorHAnsi"/>
          <w:lang w:val="en-GB"/>
        </w:rPr>
        <w:t xml:space="preserve"> </w:t>
      </w:r>
    </w:p>
    <w:p w14:paraId="2E354F20" w14:textId="77777777" w:rsidR="007A2027" w:rsidRPr="007C6F51" w:rsidRDefault="007A2027">
      <w:pPr>
        <w:pStyle w:val="Heading3"/>
        <w:keepNext w:val="0"/>
        <w:keepLines w:val="0"/>
        <w:spacing w:before="200" w:after="0"/>
        <w:rPr>
          <w:rFonts w:asciiTheme="minorHAnsi" w:eastAsia="Calibri" w:hAnsiTheme="minorHAnsi"/>
          <w:b/>
          <w:color w:val="4F81BD"/>
        </w:rPr>
      </w:pPr>
    </w:p>
    <w:p w14:paraId="4E295A09" w14:textId="77777777" w:rsidR="007A2027" w:rsidRPr="007C6F51" w:rsidRDefault="007A2027">
      <w:pPr>
        <w:pStyle w:val="Heading3"/>
        <w:keepNext w:val="0"/>
        <w:keepLines w:val="0"/>
        <w:spacing w:before="200" w:after="0"/>
        <w:rPr>
          <w:rFonts w:asciiTheme="minorHAnsi" w:eastAsia="Calibri" w:hAnsiTheme="minorHAnsi"/>
          <w:b/>
          <w:color w:val="4F81BD"/>
        </w:rPr>
      </w:pPr>
    </w:p>
    <w:p w14:paraId="236FFC30" w14:textId="2329AC43" w:rsidR="007A2027" w:rsidRPr="007C6F51" w:rsidRDefault="00597797">
      <w:pPr>
        <w:pStyle w:val="Heading2"/>
        <w:keepNext w:val="0"/>
        <w:keepLines w:val="0"/>
        <w:spacing w:before="200" w:after="0"/>
        <w:rPr>
          <w:rFonts w:asciiTheme="minorHAnsi" w:eastAsia="Calibri" w:hAnsiTheme="minorHAnsi"/>
          <w:b/>
          <w:color w:val="4F81BD"/>
        </w:rPr>
      </w:pPr>
      <w:bookmarkStart w:id="11" w:name="_wocjrv88gi5i"/>
      <w:bookmarkStart w:id="12" w:name="_3ga8gb93u09"/>
      <w:bookmarkStart w:id="13" w:name="_naqwx1n1tan7"/>
      <w:bookmarkStart w:id="14" w:name="_z70iyk7fm2o9"/>
      <w:bookmarkEnd w:id="11"/>
      <w:bookmarkEnd w:id="12"/>
      <w:bookmarkEnd w:id="13"/>
      <w:bookmarkEnd w:id="14"/>
      <w:r w:rsidRPr="007C6F51">
        <w:rPr>
          <w:rFonts w:asciiTheme="minorHAnsi" w:eastAsia="Calibri" w:hAnsiTheme="minorHAnsi"/>
          <w:b/>
          <w:color w:val="4F81BD"/>
        </w:rPr>
        <w:t>Text S5</w:t>
      </w:r>
      <w:r w:rsidR="00973424" w:rsidRPr="007C6F51">
        <w:rPr>
          <w:rFonts w:asciiTheme="minorHAnsi" w:eastAsia="Calibri" w:hAnsiTheme="minorHAnsi"/>
          <w:b/>
          <w:color w:val="4F81BD"/>
        </w:rPr>
        <w:t xml:space="preserve">. Growth rate of open ocean CDR technologies. </w:t>
      </w:r>
    </w:p>
    <w:p w14:paraId="1A2A8D04" w14:textId="001DEB01"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Given the high tech, high infrastructure </w:t>
      </w:r>
      <w:r w:rsidR="005D08F6" w:rsidRPr="007C6F51">
        <w:rPr>
          <w:rFonts w:asciiTheme="minorHAnsi" w:eastAsia="Cambria" w:hAnsiTheme="minorHAnsi"/>
          <w:lang w:val="en-GB"/>
        </w:rPr>
        <w:t>needs</w:t>
      </w:r>
      <w:r w:rsidRPr="007C6F51">
        <w:rPr>
          <w:rFonts w:asciiTheme="minorHAnsi" w:eastAsia="Cambria" w:hAnsiTheme="minorHAnsi"/>
          <w:lang w:val="en-GB"/>
        </w:rPr>
        <w:t xml:space="preserve"> and </w:t>
      </w:r>
      <w:r w:rsidR="005D08F6" w:rsidRPr="007C6F51">
        <w:rPr>
          <w:rFonts w:asciiTheme="minorHAnsi" w:eastAsia="Cambria" w:hAnsiTheme="minorHAnsi"/>
          <w:lang w:val="en-GB"/>
        </w:rPr>
        <w:t>high-risk</w:t>
      </w:r>
      <w:r w:rsidRPr="007C6F51">
        <w:rPr>
          <w:rFonts w:asciiTheme="minorHAnsi" w:eastAsia="Cambria" w:hAnsiTheme="minorHAnsi"/>
          <w:lang w:val="en-GB"/>
        </w:rPr>
        <w:t xml:space="preserve"> nature of open ocean CDRs we consider here the likely maximum growth rates of such technologies and therefore the achievable impacts of such technologies through time.</w:t>
      </w:r>
    </w:p>
    <w:p w14:paraId="6D70822E" w14:textId="51014876"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Examples of </w:t>
      </w:r>
      <w:r w:rsidR="005D08F6" w:rsidRPr="007C6F51">
        <w:rPr>
          <w:rFonts w:asciiTheme="minorHAnsi" w:eastAsia="Cambria" w:hAnsiTheme="minorHAnsi"/>
          <w:lang w:val="en-GB"/>
        </w:rPr>
        <w:t xml:space="preserve">the </w:t>
      </w:r>
      <w:r w:rsidRPr="007C6F51">
        <w:rPr>
          <w:rFonts w:asciiTheme="minorHAnsi" w:eastAsia="Cambria" w:hAnsiTheme="minorHAnsi"/>
          <w:lang w:val="en-GB"/>
        </w:rPr>
        <w:t>highest known rates of industrial output growth are associated with military production in WWII and the mobilization of resources for that war has been used as an analogy for the action needed to mitigate climate change (e.g.</w:t>
      </w:r>
      <w:r w:rsidR="005D08F6" w:rsidRPr="007C6F51">
        <w:rPr>
          <w:rFonts w:asciiTheme="minorHAnsi" w:eastAsia="Cambria" w:hAnsiTheme="minorHAnsi"/>
          <w:lang w:val="en-GB"/>
        </w:rPr>
        <w:t>,</w:t>
      </w:r>
      <w:r w:rsidRPr="007C6F51">
        <w:rPr>
          <w:rFonts w:asciiTheme="minorHAnsi" w:eastAsia="Cambria" w:hAnsiTheme="minorHAnsi"/>
          <w:lang w:val="en-GB"/>
        </w:rPr>
        <w:t xml:space="preserve"> </w:t>
      </w:r>
      <w:proofErr w:type="spellStart"/>
      <w:r w:rsidRPr="007C6F51">
        <w:rPr>
          <w:rFonts w:asciiTheme="minorHAnsi" w:eastAsia="Cambria" w:hAnsiTheme="minorHAnsi"/>
          <w:lang w:val="en-GB"/>
        </w:rPr>
        <w:t>Delina</w:t>
      </w:r>
      <w:proofErr w:type="spellEnd"/>
      <w:r w:rsidRPr="007C6F51">
        <w:rPr>
          <w:rFonts w:asciiTheme="minorHAnsi" w:eastAsia="Cambria" w:hAnsiTheme="minorHAnsi"/>
          <w:lang w:val="en-GB"/>
        </w:rPr>
        <w:t xml:space="preserve"> and </w:t>
      </w:r>
      <w:proofErr w:type="spellStart"/>
      <w:r w:rsidRPr="007C6F51">
        <w:rPr>
          <w:rFonts w:asciiTheme="minorHAnsi" w:eastAsia="Cambria" w:hAnsiTheme="minorHAnsi"/>
          <w:lang w:val="en-GB"/>
        </w:rPr>
        <w:t>Diesendorf</w:t>
      </w:r>
      <w:proofErr w:type="spellEnd"/>
      <w:r w:rsidRPr="007C6F51">
        <w:rPr>
          <w:rFonts w:asciiTheme="minorHAnsi" w:eastAsia="Cambria" w:hAnsiTheme="minorHAnsi"/>
          <w:lang w:val="en-GB"/>
        </w:rPr>
        <w:t>, 2013</w:t>
      </w:r>
      <w:r w:rsidR="00EF4438" w:rsidRPr="007C6F51">
        <w:rPr>
          <w:rFonts w:asciiTheme="minorHAnsi" w:eastAsia="Cambria" w:hAnsiTheme="minorHAnsi"/>
          <w:lang w:val="en-GB"/>
        </w:rPr>
        <w:t>)</w:t>
      </w:r>
      <w:r w:rsidR="008B561C" w:rsidRPr="007C6F51">
        <w:rPr>
          <w:rFonts w:asciiTheme="minorHAnsi" w:eastAsia="Cambria" w:hAnsiTheme="minorHAnsi"/>
          <w:lang w:val="en-GB"/>
        </w:rPr>
        <w:t>.</w:t>
      </w:r>
      <w:r w:rsidRPr="007C6F51">
        <w:rPr>
          <w:rFonts w:asciiTheme="minorHAnsi" w:eastAsia="Cambria" w:hAnsiTheme="minorHAnsi"/>
          <w:lang w:val="en-GB"/>
        </w:rPr>
        <w:t xml:space="preserve"> Mobilization of US industry enabled roughly a </w:t>
      </w:r>
      <w:proofErr w:type="gramStart"/>
      <w:r w:rsidRPr="007C6F51">
        <w:rPr>
          <w:rFonts w:asciiTheme="minorHAnsi" w:eastAsia="Cambria" w:hAnsiTheme="minorHAnsi"/>
          <w:lang w:val="en-GB"/>
        </w:rPr>
        <w:t>year on year</w:t>
      </w:r>
      <w:proofErr w:type="gramEnd"/>
      <w:r w:rsidRPr="007C6F51">
        <w:rPr>
          <w:rFonts w:asciiTheme="minorHAnsi" w:eastAsia="Cambria" w:hAnsiTheme="minorHAnsi"/>
          <w:lang w:val="en-GB"/>
        </w:rPr>
        <w:t xml:space="preserve"> doubling of aeroplane and tank production between 1939 and 1944, but towards the end of this </w:t>
      </w:r>
      <w:r w:rsidRPr="007C6F51">
        <w:rPr>
          <w:rFonts w:asciiTheme="minorHAnsi" w:eastAsia="Cambria" w:hAnsiTheme="minorHAnsi"/>
          <w:lang w:val="en-GB"/>
        </w:rPr>
        <w:lastRenderedPageBreak/>
        <w:t>period</w:t>
      </w:r>
      <w:r w:rsidR="005D08F6" w:rsidRPr="007C6F51">
        <w:rPr>
          <w:rFonts w:asciiTheme="minorHAnsi" w:eastAsia="Cambria" w:hAnsiTheme="minorHAnsi"/>
          <w:lang w:val="en-GB"/>
        </w:rPr>
        <w:t>,</w:t>
      </w:r>
      <w:r w:rsidRPr="007C6F51">
        <w:rPr>
          <w:rFonts w:asciiTheme="minorHAnsi" w:eastAsia="Cambria" w:hAnsiTheme="minorHAnsi"/>
          <w:lang w:val="en-GB"/>
        </w:rPr>
        <w:t xml:space="preserve"> capacity limits were being reached even before production was scaled down to avoid overproduction as the conflict started to reach a conclusion, suggesting that such a rate of production would not be sustainable over longer periods (Morgan, 1994).</w:t>
      </w:r>
    </w:p>
    <w:p w14:paraId="103F139A" w14:textId="16E613E1"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A more recent example of rapid industrial output capacity increase is the growth of motor vehicle manufacture in China, which roughly doubled every three years between 2000 and 2009 </w:t>
      </w:r>
      <w:r w:rsidR="00F6708A" w:rsidRPr="007C6F51">
        <w:rPr>
          <w:rFonts w:asciiTheme="minorHAnsi" w:eastAsia="Cambria" w:hAnsiTheme="minorHAnsi"/>
          <w:lang w:val="en-GB"/>
        </w:rPr>
        <w:t>(Lane et al., 2019))</w:t>
      </w:r>
      <w:r w:rsidR="008805E2" w:rsidRPr="007C6F51">
        <w:rPr>
          <w:rFonts w:asciiTheme="minorHAnsi" w:eastAsia="Cambria" w:hAnsiTheme="minorHAnsi"/>
          <w:lang w:val="en-GB"/>
        </w:rPr>
        <w:t>.</w:t>
      </w:r>
      <w:r w:rsidRPr="007C6F51">
        <w:rPr>
          <w:rFonts w:asciiTheme="minorHAnsi" w:eastAsia="Cambria" w:hAnsiTheme="minorHAnsi"/>
          <w:lang w:val="en-GB"/>
        </w:rPr>
        <w:t xml:space="preserve"> Doubling every three years is </w:t>
      </w:r>
      <w:r w:rsidR="005D08F6" w:rsidRPr="007C6F51">
        <w:rPr>
          <w:rFonts w:asciiTheme="minorHAnsi" w:eastAsia="Cambria" w:hAnsiTheme="minorHAnsi"/>
          <w:lang w:val="en-GB"/>
        </w:rPr>
        <w:t xml:space="preserve">an </w:t>
      </w:r>
      <w:r w:rsidRPr="007C6F51">
        <w:rPr>
          <w:rFonts w:asciiTheme="minorHAnsi" w:eastAsia="Cambria" w:hAnsiTheme="minorHAnsi"/>
          <w:lang w:val="en-GB"/>
        </w:rPr>
        <w:t>approximately year-on-year growth of 40%.</w:t>
      </w:r>
    </w:p>
    <w:p w14:paraId="5EDFBC35" w14:textId="43530CF8"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Given the risks associated with open ocean </w:t>
      </w:r>
      <w:proofErr w:type="spellStart"/>
      <w:r w:rsidRPr="007C6F51">
        <w:rPr>
          <w:rFonts w:asciiTheme="minorHAnsi" w:eastAsia="Cambria" w:hAnsiTheme="minorHAnsi"/>
          <w:lang w:val="en-GB"/>
        </w:rPr>
        <w:t>mCDRs</w:t>
      </w:r>
      <w:proofErr w:type="spellEnd"/>
      <w:r w:rsidRPr="007C6F51">
        <w:rPr>
          <w:rFonts w:asciiTheme="minorHAnsi" w:eastAsia="Cambria" w:hAnsiTheme="minorHAnsi"/>
          <w:lang w:val="en-GB"/>
        </w:rPr>
        <w:t xml:space="preserve"> and therefore the need for greater scrutiny and regulation (as well as the fact that the above examples are largely scaling up </w:t>
      </w:r>
      <w:r w:rsidR="005D08F6" w:rsidRPr="007C6F51">
        <w:rPr>
          <w:rFonts w:asciiTheme="minorHAnsi" w:eastAsia="Cambria" w:hAnsiTheme="minorHAnsi"/>
          <w:lang w:val="en-GB"/>
        </w:rPr>
        <w:t xml:space="preserve">the </w:t>
      </w:r>
      <w:r w:rsidRPr="007C6F51">
        <w:rPr>
          <w:rFonts w:asciiTheme="minorHAnsi" w:eastAsia="Cambria" w:hAnsiTheme="minorHAnsi"/>
          <w:lang w:val="en-GB"/>
        </w:rPr>
        <w:t>production of a proven technology rather than developing new ones)</w:t>
      </w:r>
      <w:r w:rsidR="005D08F6" w:rsidRPr="007C6F51">
        <w:rPr>
          <w:rFonts w:asciiTheme="minorHAnsi" w:eastAsia="Cambria" w:hAnsiTheme="minorHAnsi"/>
          <w:lang w:val="en-GB"/>
        </w:rPr>
        <w:t>,</w:t>
      </w:r>
      <w:r w:rsidRPr="007C6F51">
        <w:rPr>
          <w:rFonts w:asciiTheme="minorHAnsi" w:eastAsia="Cambria" w:hAnsiTheme="minorHAnsi"/>
          <w:lang w:val="en-GB"/>
        </w:rPr>
        <w:t xml:space="preserve"> we suggest that doubling carbon uptake capacity by NETs every 5 years (19% per year) is the fastest possible achievable growth rate and doubling every decade (8%) is probably more realistic. These </w:t>
      </w:r>
      <w:r w:rsidR="005D08F6" w:rsidRPr="007C6F51">
        <w:rPr>
          <w:rFonts w:asciiTheme="minorHAnsi" w:eastAsia="Cambria" w:hAnsiTheme="minorHAnsi"/>
          <w:lang w:val="en-GB"/>
        </w:rPr>
        <w:t xml:space="preserve">are </w:t>
      </w:r>
      <w:r w:rsidR="00AE4188" w:rsidRPr="007C6F51">
        <w:rPr>
          <w:rFonts w:asciiTheme="minorHAnsi" w:eastAsia="Cambria" w:hAnsiTheme="minorHAnsi"/>
          <w:lang w:val="en-GB"/>
        </w:rPr>
        <w:t>comparable to</w:t>
      </w:r>
      <w:r w:rsidRPr="007C6F51">
        <w:rPr>
          <w:rFonts w:asciiTheme="minorHAnsi" w:eastAsia="Cambria" w:hAnsiTheme="minorHAnsi"/>
          <w:lang w:val="en-GB"/>
        </w:rPr>
        <w:t xml:space="preserve"> the rollout of nuclear power (11%) or Flue Gas Desulphurisation (15%) and the growth of coal and gas energy globally (5 to 10%) (Iyer et al., 2015).</w:t>
      </w:r>
    </w:p>
    <w:p w14:paraId="48441F1C" w14:textId="0AB536A6"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Nuclear grew on average at about 11% per year after huge </w:t>
      </w:r>
      <w:r w:rsidR="005D08F6" w:rsidRPr="007C6F51">
        <w:rPr>
          <w:rFonts w:asciiTheme="minorHAnsi" w:eastAsia="Cambria" w:hAnsiTheme="minorHAnsi"/>
          <w:lang w:val="en-GB"/>
        </w:rPr>
        <w:t>investments</w:t>
      </w:r>
      <w:r w:rsidRPr="007C6F51">
        <w:rPr>
          <w:rFonts w:asciiTheme="minorHAnsi" w:eastAsia="Cambria" w:hAnsiTheme="minorHAnsi"/>
          <w:lang w:val="en-GB"/>
        </w:rPr>
        <w:t xml:space="preserve"> and some strong regulatory controls (Iyer et al., 2015). We</w:t>
      </w:r>
      <w:r w:rsidR="005D08F6" w:rsidRPr="007C6F51">
        <w:rPr>
          <w:rFonts w:asciiTheme="minorHAnsi" w:eastAsia="Cambria" w:hAnsiTheme="minorHAnsi"/>
          <w:lang w:val="en-GB"/>
        </w:rPr>
        <w:t>, therefore,</w:t>
      </w:r>
      <w:r w:rsidRPr="007C6F51">
        <w:rPr>
          <w:rFonts w:asciiTheme="minorHAnsi" w:eastAsia="Cambria" w:hAnsiTheme="minorHAnsi"/>
          <w:lang w:val="en-GB"/>
        </w:rPr>
        <w:t xml:space="preserve"> suggest </w:t>
      </w:r>
      <w:proofErr w:type="spellStart"/>
      <w:r w:rsidRPr="007C6F51">
        <w:rPr>
          <w:rFonts w:asciiTheme="minorHAnsi" w:eastAsia="Cambria" w:hAnsiTheme="minorHAnsi"/>
          <w:lang w:val="en-GB"/>
        </w:rPr>
        <w:t>mCDRs</w:t>
      </w:r>
      <w:proofErr w:type="spellEnd"/>
      <w:r w:rsidRPr="007C6F51">
        <w:rPr>
          <w:rFonts w:asciiTheme="minorHAnsi" w:eastAsia="Cambria" w:hAnsiTheme="minorHAnsi"/>
          <w:lang w:val="en-GB"/>
        </w:rPr>
        <w:t>, with massive infrastructural challenges, the need for stringent regulation and accounting for false starts is unlikely to surpass 11% per year.</w:t>
      </w:r>
    </w:p>
    <w:p w14:paraId="783115A3" w14:textId="77777777" w:rsidR="007A2027" w:rsidRPr="007C6F51" w:rsidRDefault="007A2027">
      <w:pPr>
        <w:spacing w:before="180" w:after="180"/>
        <w:rPr>
          <w:rFonts w:asciiTheme="minorHAnsi" w:eastAsia="Cambria" w:hAnsiTheme="minorHAnsi"/>
          <w:lang w:val="en-GB"/>
        </w:rPr>
      </w:pPr>
      <w:bookmarkStart w:id="15" w:name="_ekg4ki4fq26h"/>
      <w:bookmarkEnd w:id="15"/>
    </w:p>
    <w:p w14:paraId="0E17FEFC" w14:textId="6A480A95" w:rsidR="007A2027" w:rsidRPr="007C6F51" w:rsidRDefault="00630E84">
      <w:pPr>
        <w:pStyle w:val="Heading2"/>
        <w:keepNext w:val="0"/>
        <w:keepLines w:val="0"/>
        <w:spacing w:before="200" w:after="0"/>
        <w:rPr>
          <w:rFonts w:asciiTheme="minorHAnsi" w:eastAsia="Calibri" w:hAnsiTheme="minorHAnsi"/>
          <w:b/>
          <w:color w:val="4F81BD"/>
        </w:rPr>
      </w:pPr>
      <w:bookmarkStart w:id="16" w:name="_n3ayyqayhd6y"/>
      <w:bookmarkEnd w:id="16"/>
      <w:r w:rsidRPr="007C6F51">
        <w:rPr>
          <w:rFonts w:asciiTheme="minorHAnsi" w:eastAsia="Calibri" w:hAnsiTheme="minorHAnsi"/>
          <w:b/>
          <w:color w:val="4F81BD"/>
        </w:rPr>
        <w:t>Text S6</w:t>
      </w:r>
      <w:r w:rsidR="00973424" w:rsidRPr="007C6F51">
        <w:rPr>
          <w:rFonts w:asciiTheme="minorHAnsi" w:eastAsia="Calibri" w:hAnsiTheme="minorHAnsi"/>
          <w:b/>
          <w:color w:val="4F81BD"/>
        </w:rPr>
        <w:t>. Natural ocean carbon system responses to anthropogenic forcings</w:t>
      </w:r>
    </w:p>
    <w:p w14:paraId="68453C06" w14:textId="77777777" w:rsidR="000D268A" w:rsidRPr="007C6F51" w:rsidRDefault="000D268A" w:rsidP="000D268A">
      <w:pPr>
        <w:rPr>
          <w:rFonts w:asciiTheme="minorHAnsi" w:eastAsia="Calibri" w:hAnsiTheme="minorHAnsi"/>
          <w:lang w:val="en-GB"/>
        </w:rPr>
      </w:pPr>
    </w:p>
    <w:p w14:paraId="1C7269B5" w14:textId="118944D9" w:rsidR="000D268A" w:rsidRPr="007C6F51" w:rsidRDefault="000D268A" w:rsidP="000E04FF">
      <w:pPr>
        <w:rPr>
          <w:rFonts w:asciiTheme="minorHAnsi" w:eastAsia="Calibri" w:hAnsiTheme="minorHAnsi"/>
          <w:lang w:val="en-GB"/>
        </w:rPr>
      </w:pPr>
      <w:r w:rsidRPr="007C6F51">
        <w:rPr>
          <w:rFonts w:asciiTheme="minorHAnsi" w:eastAsia="Calibri" w:hAnsiTheme="minorHAnsi"/>
          <w:lang w:val="en-GB"/>
        </w:rPr>
        <w:t>In this section we consider a selection of natural Earth</w:t>
      </w:r>
      <w:r w:rsidR="009B0E64" w:rsidRPr="007C6F51">
        <w:rPr>
          <w:rFonts w:asciiTheme="minorHAnsi" w:eastAsia="Calibri" w:hAnsiTheme="minorHAnsi"/>
          <w:lang w:val="en-GB"/>
        </w:rPr>
        <w:t xml:space="preserve">-system responses to </w:t>
      </w:r>
      <w:r w:rsidR="00011670" w:rsidRPr="007C6F51">
        <w:rPr>
          <w:rFonts w:asciiTheme="minorHAnsi" w:eastAsia="Calibri" w:hAnsiTheme="minorHAnsi"/>
          <w:lang w:val="en-GB"/>
        </w:rPr>
        <w:t xml:space="preserve">increased CO2 and other anthropogenic forcings which could potentially enhance or confound </w:t>
      </w:r>
      <w:r w:rsidR="00C77931" w:rsidRPr="007C6F51">
        <w:rPr>
          <w:rFonts w:asciiTheme="minorHAnsi" w:eastAsia="Calibri" w:hAnsiTheme="minorHAnsi"/>
          <w:lang w:val="en-GB"/>
        </w:rPr>
        <w:t>attempts to mitigate atmospheric CO</w:t>
      </w:r>
      <w:r w:rsidR="00C77931" w:rsidRPr="007C6F51">
        <w:rPr>
          <w:rFonts w:asciiTheme="minorHAnsi" w:eastAsia="Calibri" w:hAnsiTheme="minorHAnsi"/>
          <w:vertAlign w:val="subscript"/>
          <w:lang w:val="en-GB"/>
        </w:rPr>
        <w:t>2</w:t>
      </w:r>
      <w:r w:rsidR="00C77931" w:rsidRPr="007C6F51">
        <w:rPr>
          <w:rFonts w:asciiTheme="minorHAnsi" w:eastAsia="Calibri" w:hAnsiTheme="minorHAnsi"/>
          <w:lang w:val="en-GB"/>
        </w:rPr>
        <w:t xml:space="preserve"> with CDR approaches. See main text for context.</w:t>
      </w:r>
    </w:p>
    <w:p w14:paraId="458B8848" w14:textId="575D24EC" w:rsidR="007A2027" w:rsidRPr="007C6F51" w:rsidRDefault="00973424" w:rsidP="007C6F51">
      <w:pPr>
        <w:pStyle w:val="Heading3"/>
        <w:keepNext w:val="0"/>
        <w:keepLines w:val="0"/>
        <w:spacing w:before="200" w:after="0"/>
        <w:rPr>
          <w:rFonts w:asciiTheme="minorHAnsi" w:hAnsiTheme="minorHAnsi"/>
        </w:rPr>
      </w:pPr>
      <w:bookmarkStart w:id="17" w:name="_e164m7wvbccb"/>
      <w:bookmarkEnd w:id="17"/>
      <w:r w:rsidRPr="007C6F51">
        <w:rPr>
          <w:rFonts w:asciiTheme="minorHAnsi" w:eastAsia="Calibri" w:hAnsiTheme="minorHAnsi"/>
          <w:b/>
          <w:color w:val="4F81BD"/>
        </w:rPr>
        <w:t xml:space="preserve">Shelf alkalinity pump response </w:t>
      </w:r>
    </w:p>
    <w:p w14:paraId="0884233F" w14:textId="12B4EE6A" w:rsidR="007A2027" w:rsidRPr="007C6F51" w:rsidRDefault="00AE4188">
      <w:pPr>
        <w:spacing w:line="0" w:lineRule="atLeast"/>
        <w:rPr>
          <w:rFonts w:asciiTheme="minorHAnsi" w:eastAsia="Cambria" w:hAnsiTheme="minorHAnsi"/>
          <w:lang w:val="en-GB"/>
        </w:rPr>
      </w:pPr>
      <w:r w:rsidRPr="007C6F51">
        <w:rPr>
          <w:rFonts w:asciiTheme="minorHAnsi" w:hAnsiTheme="minorHAnsi"/>
          <w:kern w:val="2"/>
          <w:lang w:val="en-GB"/>
        </w:rPr>
        <w:t>Denitrification</w:t>
      </w:r>
      <w:r w:rsidR="00973424" w:rsidRPr="007C6F51">
        <w:rPr>
          <w:rFonts w:asciiTheme="minorHAnsi" w:hAnsiTheme="minorHAnsi"/>
          <w:kern w:val="2"/>
          <w:lang w:val="en-GB"/>
        </w:rPr>
        <w:t xml:space="preserve"> releases </w:t>
      </w:r>
      <w:r w:rsidR="00C77931" w:rsidRPr="007C6F51">
        <w:rPr>
          <w:rFonts w:asciiTheme="minorHAnsi" w:hAnsiTheme="minorHAnsi"/>
          <w:kern w:val="2"/>
          <w:lang w:val="en-GB"/>
        </w:rPr>
        <w:t xml:space="preserve">molecular </w:t>
      </w:r>
      <w:r w:rsidR="00973424" w:rsidRPr="007C6F51">
        <w:rPr>
          <w:rFonts w:asciiTheme="minorHAnsi" w:hAnsiTheme="minorHAnsi"/>
          <w:kern w:val="2"/>
          <w:lang w:val="en-GB"/>
        </w:rPr>
        <w:t>nitrogen (N</w:t>
      </w:r>
      <w:r w:rsidR="00973424" w:rsidRPr="007C6F51">
        <w:rPr>
          <w:rFonts w:asciiTheme="minorHAnsi" w:hAnsiTheme="minorHAnsi"/>
          <w:kern w:val="2"/>
          <w:vertAlign w:val="subscript"/>
          <w:lang w:val="en-GB"/>
        </w:rPr>
        <w:t>2</w:t>
      </w:r>
      <w:r w:rsidR="00973424" w:rsidRPr="007C6F51">
        <w:rPr>
          <w:rFonts w:asciiTheme="minorHAnsi" w:hAnsiTheme="minorHAnsi"/>
          <w:kern w:val="2"/>
          <w:lang w:val="en-GB"/>
        </w:rPr>
        <w:t xml:space="preserve">) and alkalinity as products. As such, this constitutes a direct coupling between anthropogenic </w:t>
      </w:r>
      <w:r w:rsidRPr="007C6F51">
        <w:rPr>
          <w:rFonts w:asciiTheme="minorHAnsi" w:hAnsiTheme="minorHAnsi"/>
          <w:kern w:val="2"/>
          <w:lang w:val="en-GB"/>
        </w:rPr>
        <w:t>perturbations</w:t>
      </w:r>
      <w:r w:rsidR="00973424" w:rsidRPr="007C6F51">
        <w:rPr>
          <w:rFonts w:asciiTheme="minorHAnsi" w:hAnsiTheme="minorHAnsi"/>
          <w:kern w:val="2"/>
          <w:lang w:val="en-GB"/>
        </w:rPr>
        <w:t xml:space="preserve"> </w:t>
      </w:r>
      <w:r w:rsidRPr="007C6F51">
        <w:rPr>
          <w:rFonts w:asciiTheme="minorHAnsi" w:hAnsiTheme="minorHAnsi"/>
          <w:kern w:val="2"/>
          <w:lang w:val="en-GB"/>
        </w:rPr>
        <w:t>o</w:t>
      </w:r>
      <w:r w:rsidR="00973424" w:rsidRPr="007C6F51">
        <w:rPr>
          <w:rFonts w:asciiTheme="minorHAnsi" w:hAnsiTheme="minorHAnsi"/>
          <w:kern w:val="2"/>
          <w:lang w:val="en-GB"/>
        </w:rPr>
        <w:t xml:space="preserve">f the </w:t>
      </w:r>
      <w:r w:rsidRPr="007C6F51">
        <w:rPr>
          <w:rFonts w:asciiTheme="minorHAnsi" w:hAnsiTheme="minorHAnsi"/>
          <w:kern w:val="2"/>
          <w:lang w:val="en-GB"/>
        </w:rPr>
        <w:t>nitrogen</w:t>
      </w:r>
      <w:r w:rsidR="00973424" w:rsidRPr="007C6F51">
        <w:rPr>
          <w:rFonts w:asciiTheme="minorHAnsi" w:hAnsiTheme="minorHAnsi"/>
          <w:kern w:val="2"/>
          <w:lang w:val="en-GB"/>
        </w:rPr>
        <w:t xml:space="preserve"> cycle, i.e., </w:t>
      </w:r>
      <w:r w:rsidRPr="007C6F51">
        <w:rPr>
          <w:rFonts w:asciiTheme="minorHAnsi" w:hAnsiTheme="minorHAnsi"/>
          <w:kern w:val="2"/>
          <w:lang w:val="en-GB"/>
        </w:rPr>
        <w:t>fertilizer</w:t>
      </w:r>
      <w:r w:rsidR="00973424" w:rsidRPr="007C6F51">
        <w:rPr>
          <w:rFonts w:asciiTheme="minorHAnsi" w:hAnsiTheme="minorHAnsi"/>
          <w:kern w:val="2"/>
          <w:lang w:val="en-GB"/>
        </w:rPr>
        <w:t xml:space="preserve"> use, and carbon storage of the oceans. In order to shed light </w:t>
      </w:r>
      <w:r w:rsidRPr="007C6F51">
        <w:rPr>
          <w:rFonts w:asciiTheme="minorHAnsi" w:hAnsiTheme="minorHAnsi"/>
          <w:kern w:val="2"/>
          <w:lang w:val="en-GB"/>
        </w:rPr>
        <w:t>on</w:t>
      </w:r>
      <w:r w:rsidR="00973424" w:rsidRPr="007C6F51">
        <w:rPr>
          <w:rFonts w:asciiTheme="minorHAnsi" w:hAnsiTheme="minorHAnsi"/>
          <w:kern w:val="2"/>
          <w:lang w:val="en-GB"/>
        </w:rPr>
        <w:t xml:space="preserve"> the potential scale of that coupling, we here provide a “back-of-the-envelope”, likely upper bound estimate: Under the assumptions that </w:t>
      </w:r>
      <w:r w:rsidR="00973424" w:rsidRPr="007C6F51">
        <w:rPr>
          <w:rFonts w:asciiTheme="minorHAnsi" w:hAnsiTheme="minorHAnsi"/>
          <w:i/>
          <w:kern w:val="2"/>
          <w:lang w:val="en-GB"/>
        </w:rPr>
        <w:t>1:</w:t>
      </w:r>
      <w:r w:rsidR="00973424" w:rsidRPr="007C6F51">
        <w:rPr>
          <w:rFonts w:asciiTheme="minorHAnsi" w:hAnsiTheme="minorHAnsi"/>
          <w:kern w:val="2"/>
          <w:lang w:val="en-GB"/>
        </w:rPr>
        <w:t xml:space="preserve"> 1</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T biologically fixed CO</w:t>
      </w:r>
      <w:r w:rsidRPr="007C6F51">
        <w:rPr>
          <w:rFonts w:asciiTheme="minorHAnsi" w:hAnsiTheme="minorHAnsi"/>
          <w:kern w:val="2"/>
          <w:vertAlign w:val="subscript"/>
          <w:lang w:val="en-GB"/>
        </w:rPr>
        <w:t>2</w:t>
      </w:r>
      <w:r w:rsidR="00973424" w:rsidRPr="007C6F51">
        <w:rPr>
          <w:rFonts w:asciiTheme="minorHAnsi" w:hAnsiTheme="minorHAnsi"/>
          <w:kern w:val="2"/>
          <w:lang w:val="en-GB"/>
        </w:rPr>
        <w:t xml:space="preserve"> (as wheat, for example) requires 0.02T nitrogen supplied as fertilizer (</w:t>
      </w:r>
      <w:proofErr w:type="spellStart"/>
      <w:r w:rsidR="00973424" w:rsidRPr="007C6F51">
        <w:rPr>
          <w:rFonts w:asciiTheme="minorHAnsi" w:hAnsiTheme="minorHAnsi"/>
          <w:color w:val="000000"/>
          <w:spacing w:val="-3"/>
          <w:kern w:val="2"/>
          <w:lang w:val="en-GB"/>
        </w:rPr>
        <w:t>Pallière</w:t>
      </w:r>
      <w:proofErr w:type="spellEnd"/>
      <w:r w:rsidR="00973424" w:rsidRPr="007C6F51">
        <w:rPr>
          <w:rFonts w:asciiTheme="minorHAnsi" w:hAnsiTheme="minorHAnsi"/>
          <w:color w:val="000000"/>
          <w:spacing w:val="-3"/>
          <w:kern w:val="2"/>
          <w:lang w:val="en-GB"/>
        </w:rPr>
        <w:t>, 2004</w:t>
      </w:r>
      <w:r w:rsidR="00973424" w:rsidRPr="007C6F51">
        <w:rPr>
          <w:rFonts w:asciiTheme="minorHAnsi" w:hAnsiTheme="minorHAnsi"/>
          <w:kern w:val="2"/>
          <w:lang w:val="en-GB"/>
        </w:rPr>
        <w:t xml:space="preserve">), that </w:t>
      </w:r>
      <w:r w:rsidR="00973424" w:rsidRPr="007C6F51">
        <w:rPr>
          <w:rFonts w:asciiTheme="minorHAnsi" w:hAnsiTheme="minorHAnsi"/>
          <w:i/>
          <w:kern w:val="2"/>
          <w:lang w:val="en-GB"/>
        </w:rPr>
        <w:t>2:</w:t>
      </w:r>
      <w:r w:rsidR="00973424" w:rsidRPr="007C6F51">
        <w:rPr>
          <w:rFonts w:asciiTheme="minorHAnsi" w:hAnsiTheme="minorHAnsi"/>
          <w:kern w:val="2"/>
          <w:lang w:val="en-GB"/>
        </w:rPr>
        <w:t xml:space="preserve"> SSP5 assumes 50 GT CO</w:t>
      </w:r>
      <w:r w:rsidR="007B69E7" w:rsidRPr="007C6F51">
        <w:rPr>
          <w:rFonts w:asciiTheme="minorHAnsi" w:hAnsiTheme="minorHAnsi"/>
          <w:kern w:val="2"/>
          <w:vertAlign w:val="subscript"/>
          <w:lang w:val="en-GB"/>
        </w:rPr>
        <w:t>2</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cycling per year for bioenergy (after Peters, 2017</w:t>
      </w:r>
      <w:r w:rsidR="007B69E7" w:rsidRPr="007C6F51">
        <w:rPr>
          <w:rFonts w:asciiTheme="minorHAnsi" w:hAnsiTheme="minorHAnsi"/>
          <w:kern w:val="2"/>
          <w:lang w:val="en-GB"/>
        </w:rPr>
        <w:t>,</w:t>
      </w:r>
      <w:r w:rsidR="00973424" w:rsidRPr="007C6F51">
        <w:rPr>
          <w:rFonts w:asciiTheme="minorHAnsi" w:hAnsiTheme="minorHAnsi"/>
          <w:kern w:val="2"/>
          <w:lang w:val="en-GB"/>
        </w:rPr>
        <w:t xml:space="preserve"> and </w:t>
      </w:r>
      <w:proofErr w:type="spellStart"/>
      <w:r w:rsidR="00973424" w:rsidRPr="007C6F51">
        <w:rPr>
          <w:rFonts w:asciiTheme="minorHAnsi" w:hAnsiTheme="minorHAnsi"/>
          <w:kern w:val="2"/>
          <w:lang w:val="en-GB"/>
        </w:rPr>
        <w:t>Riahi</w:t>
      </w:r>
      <w:proofErr w:type="spellEnd"/>
      <w:r w:rsidR="00973424" w:rsidRPr="007C6F51">
        <w:rPr>
          <w:rFonts w:asciiTheme="minorHAnsi" w:hAnsiTheme="minorHAnsi"/>
          <w:kern w:val="2"/>
          <w:lang w:val="en-GB"/>
        </w:rPr>
        <w:t xml:space="preserve"> et al., 2017), which corresponds to 1</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Pg</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 xml:space="preserve">N, that </w:t>
      </w:r>
      <w:r w:rsidR="00973424" w:rsidRPr="007C6F51">
        <w:rPr>
          <w:rFonts w:asciiTheme="minorHAnsi" w:hAnsiTheme="minorHAnsi"/>
          <w:i/>
          <w:kern w:val="2"/>
          <w:lang w:val="en-GB"/>
        </w:rPr>
        <w:t>3:</w:t>
      </w:r>
      <w:r w:rsidR="00973424" w:rsidRPr="007C6F51">
        <w:rPr>
          <w:rFonts w:asciiTheme="minorHAnsi" w:hAnsiTheme="minorHAnsi"/>
          <w:kern w:val="2"/>
          <w:lang w:val="en-GB"/>
        </w:rPr>
        <w:t xml:space="preserve"> approximately 40% of that fertilizer will leach into the coastal ocean (</w:t>
      </w:r>
      <w:proofErr w:type="spellStart"/>
      <w:r w:rsidR="00973424" w:rsidRPr="007C6F51">
        <w:rPr>
          <w:rFonts w:asciiTheme="minorHAnsi" w:hAnsiTheme="minorHAnsi"/>
          <w:kern w:val="2"/>
          <w:lang w:val="en-GB"/>
        </w:rPr>
        <w:t>Nevison</w:t>
      </w:r>
      <w:proofErr w:type="spellEnd"/>
      <w:r w:rsidR="00973424" w:rsidRPr="007C6F51">
        <w:rPr>
          <w:rFonts w:asciiTheme="minorHAnsi" w:hAnsiTheme="minorHAnsi"/>
          <w:kern w:val="2"/>
          <w:lang w:val="en-GB"/>
        </w:rPr>
        <w:t xml:space="preserve"> et al., 2016), and that </w:t>
      </w:r>
      <w:r w:rsidR="00973424" w:rsidRPr="007C6F51">
        <w:rPr>
          <w:rFonts w:asciiTheme="minorHAnsi" w:hAnsiTheme="minorHAnsi"/>
          <w:i/>
          <w:kern w:val="2"/>
          <w:lang w:val="en-GB"/>
        </w:rPr>
        <w:t>4:</w:t>
      </w:r>
      <w:r w:rsidR="00973424" w:rsidRPr="007C6F51">
        <w:rPr>
          <w:rFonts w:asciiTheme="minorHAnsi" w:hAnsiTheme="minorHAnsi"/>
          <w:kern w:val="2"/>
          <w:lang w:val="en-GB"/>
        </w:rPr>
        <w:t xml:space="preserve"> all of that N (0.4</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Pg</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N, 0.03</w:t>
      </w:r>
      <w:r w:rsidR="007B69E7" w:rsidRPr="007C6F51">
        <w:rPr>
          <w:rFonts w:asciiTheme="minorHAnsi" w:hAnsiTheme="minorHAnsi"/>
          <w:kern w:val="2"/>
          <w:lang w:val="en-GB"/>
        </w:rPr>
        <w:t xml:space="preserve"> </w:t>
      </w:r>
      <w:proofErr w:type="spellStart"/>
      <w:r w:rsidR="00973424" w:rsidRPr="007C6F51">
        <w:rPr>
          <w:rFonts w:asciiTheme="minorHAnsi" w:hAnsiTheme="minorHAnsi"/>
          <w:kern w:val="2"/>
          <w:lang w:val="en-GB"/>
        </w:rPr>
        <w:t>Pmol</w:t>
      </w:r>
      <w:proofErr w:type="spellEnd"/>
      <w:r w:rsidR="00973424" w:rsidRPr="007C6F51">
        <w:rPr>
          <w:rFonts w:asciiTheme="minorHAnsi" w:hAnsiTheme="minorHAnsi"/>
          <w:kern w:val="2"/>
          <w:lang w:val="en-GB"/>
        </w:rPr>
        <w:t xml:space="preserve"> N) will be denitrified in the coastal zone, this would yield an additional ocean CO</w:t>
      </w:r>
      <w:r w:rsidRPr="007C6F51">
        <w:rPr>
          <w:rFonts w:asciiTheme="minorHAnsi" w:hAnsiTheme="minorHAnsi"/>
          <w:kern w:val="2"/>
          <w:vertAlign w:val="subscript"/>
          <w:lang w:val="en-GB"/>
        </w:rPr>
        <w:t>2</w:t>
      </w:r>
      <w:r w:rsidR="00973424" w:rsidRPr="007C6F51">
        <w:rPr>
          <w:rFonts w:asciiTheme="minorHAnsi" w:hAnsiTheme="minorHAnsi"/>
          <w:kern w:val="2"/>
          <w:lang w:val="en-GB"/>
        </w:rPr>
        <w:t xml:space="preserve"> uptake of 0.3 Pg</w:t>
      </w:r>
      <w:r w:rsidR="00DE4CED" w:rsidRPr="007C6F51">
        <w:rPr>
          <w:rFonts w:asciiTheme="minorHAnsi" w:hAnsiTheme="minorHAnsi"/>
          <w:kern w:val="2"/>
          <w:lang w:val="en-GB"/>
        </w:rPr>
        <w:t xml:space="preserve"> </w:t>
      </w:r>
      <w:r w:rsidR="00973424" w:rsidRPr="007C6F51">
        <w:rPr>
          <w:rFonts w:asciiTheme="minorHAnsi" w:hAnsiTheme="minorHAnsi"/>
          <w:kern w:val="2"/>
          <w:lang w:val="en-GB"/>
        </w:rPr>
        <w:t xml:space="preserve">C </w:t>
      </w:r>
      <w:proofErr w:type="spellStart"/>
      <w:r w:rsidR="00973424" w:rsidRPr="007C6F51">
        <w:rPr>
          <w:rFonts w:asciiTheme="minorHAnsi" w:hAnsiTheme="minorHAnsi"/>
          <w:kern w:val="2"/>
          <w:lang w:val="en-GB"/>
        </w:rPr>
        <w:t>yr</w:t>
      </w:r>
      <w:proofErr w:type="spellEnd"/>
      <w:r w:rsidR="00973424" w:rsidRPr="007C6F51">
        <w:rPr>
          <w:rFonts w:asciiTheme="minorHAnsi" w:hAnsiTheme="minorHAnsi"/>
          <w:kern w:val="2"/>
          <w:position w:val="6"/>
          <w:lang w:val="en-GB"/>
        </w:rPr>
        <w:t>-1</w:t>
      </w:r>
      <w:r w:rsidR="00973424" w:rsidRPr="007C6F51">
        <w:rPr>
          <w:rFonts w:asciiTheme="minorHAnsi" w:hAnsiTheme="minorHAnsi"/>
          <w:kern w:val="2"/>
          <w:lang w:val="en-GB"/>
        </w:rPr>
        <w:t xml:space="preserve"> through alkalinity generation (after Thomas et al., 2009), i.e., 15% of the overall oceans CO</w:t>
      </w:r>
      <w:r w:rsidR="007B69E7" w:rsidRPr="007C6F51">
        <w:rPr>
          <w:rFonts w:asciiTheme="minorHAnsi" w:hAnsiTheme="minorHAnsi"/>
          <w:kern w:val="2"/>
          <w:vertAlign w:val="subscript"/>
          <w:lang w:val="en-GB"/>
        </w:rPr>
        <w:t>2</w:t>
      </w:r>
      <w:r w:rsidR="007B69E7" w:rsidRPr="007C6F51">
        <w:rPr>
          <w:rFonts w:asciiTheme="minorHAnsi" w:hAnsiTheme="minorHAnsi"/>
          <w:kern w:val="2"/>
          <w:lang w:val="en-GB"/>
        </w:rPr>
        <w:t xml:space="preserve"> </w:t>
      </w:r>
      <w:r w:rsidR="00973424" w:rsidRPr="007C6F51">
        <w:rPr>
          <w:rFonts w:asciiTheme="minorHAnsi" w:hAnsiTheme="minorHAnsi"/>
          <w:kern w:val="2"/>
          <w:lang w:val="en-GB"/>
        </w:rPr>
        <w:t>uptake of assumed 2 Pg C yr</w:t>
      </w:r>
      <w:r w:rsidR="007B69E7" w:rsidRPr="007C6F51">
        <w:rPr>
          <w:rFonts w:asciiTheme="minorHAnsi" w:hAnsiTheme="minorHAnsi"/>
          <w:kern w:val="2"/>
          <w:vertAlign w:val="superscript"/>
          <w:lang w:val="en-GB"/>
        </w:rPr>
        <w:t>-</w:t>
      </w:r>
      <w:r w:rsidR="00973424" w:rsidRPr="007C6F51">
        <w:rPr>
          <w:rFonts w:asciiTheme="minorHAnsi" w:hAnsiTheme="minorHAnsi"/>
          <w:kern w:val="2"/>
          <w:vertAlign w:val="superscript"/>
          <w:lang w:val="en-GB"/>
        </w:rPr>
        <w:t>1</w:t>
      </w:r>
      <w:r w:rsidR="00973424" w:rsidRPr="007C6F51">
        <w:rPr>
          <w:rFonts w:asciiTheme="minorHAnsi" w:hAnsiTheme="minorHAnsi"/>
          <w:kern w:val="2"/>
          <w:lang w:val="en-GB"/>
        </w:rPr>
        <w:t xml:space="preserve"> or in N-terms threefold higher denitrification in the oceans</w:t>
      </w:r>
      <w:r w:rsidR="005C30FC" w:rsidRPr="007C6F51">
        <w:rPr>
          <w:rFonts w:asciiTheme="minorHAnsi" w:hAnsiTheme="minorHAnsi"/>
          <w:kern w:val="2"/>
          <w:lang w:val="en-GB"/>
        </w:rPr>
        <w:t>’</w:t>
      </w:r>
      <w:r w:rsidR="00973424" w:rsidRPr="007C6F51">
        <w:rPr>
          <w:rFonts w:asciiTheme="minorHAnsi" w:hAnsiTheme="minorHAnsi"/>
          <w:kern w:val="2"/>
          <w:lang w:val="en-GB"/>
        </w:rPr>
        <w:t xml:space="preserve"> shelf regions (18</w:t>
      </w:r>
      <w:r w:rsidR="00DE4CED" w:rsidRPr="007C6F51">
        <w:rPr>
          <w:rFonts w:asciiTheme="minorHAnsi" w:hAnsiTheme="minorHAnsi"/>
          <w:kern w:val="2"/>
          <w:lang w:val="en-GB"/>
        </w:rPr>
        <w:t xml:space="preserve"> </w:t>
      </w:r>
      <w:proofErr w:type="spellStart"/>
      <w:r w:rsidR="00973424" w:rsidRPr="007C6F51">
        <w:rPr>
          <w:rFonts w:asciiTheme="minorHAnsi" w:hAnsiTheme="minorHAnsi"/>
          <w:kern w:val="2"/>
          <w:lang w:val="en-GB"/>
        </w:rPr>
        <w:t>Tmol</w:t>
      </w:r>
      <w:proofErr w:type="spellEnd"/>
      <w:r w:rsidR="00973424" w:rsidRPr="007C6F51">
        <w:rPr>
          <w:rFonts w:asciiTheme="minorHAnsi" w:hAnsiTheme="minorHAnsi"/>
          <w:kern w:val="2"/>
          <w:lang w:val="en-GB"/>
        </w:rPr>
        <w:t xml:space="preserve"> N yr</w:t>
      </w:r>
      <w:r w:rsidR="007B69E7" w:rsidRPr="007C6F51">
        <w:rPr>
          <w:rFonts w:asciiTheme="minorHAnsi" w:hAnsiTheme="minorHAnsi"/>
          <w:kern w:val="2"/>
          <w:vertAlign w:val="superscript"/>
          <w:lang w:val="en-GB"/>
        </w:rPr>
        <w:t>-1</w:t>
      </w:r>
      <w:r w:rsidR="00973424" w:rsidRPr="007C6F51">
        <w:rPr>
          <w:rFonts w:asciiTheme="minorHAnsi" w:hAnsiTheme="minorHAnsi"/>
          <w:kern w:val="2"/>
          <w:vertAlign w:val="superscript"/>
          <w:lang w:val="en-GB"/>
        </w:rPr>
        <w:t xml:space="preserve"> </w:t>
      </w:r>
      <w:proofErr w:type="spellStart"/>
      <w:r w:rsidR="00973424" w:rsidRPr="007C6F51">
        <w:rPr>
          <w:rFonts w:asciiTheme="minorHAnsi" w:hAnsiTheme="minorHAnsi"/>
          <w:kern w:val="2"/>
          <w:lang w:val="en-GB"/>
        </w:rPr>
        <w:t>Seitzinger</w:t>
      </w:r>
      <w:proofErr w:type="spellEnd"/>
      <w:r w:rsidR="00973424" w:rsidRPr="007C6F51">
        <w:rPr>
          <w:rFonts w:asciiTheme="minorHAnsi" w:hAnsiTheme="minorHAnsi"/>
          <w:kern w:val="2"/>
          <w:lang w:val="en-GB"/>
        </w:rPr>
        <w:t xml:space="preserve"> et al., 2006). </w:t>
      </w:r>
      <w:r w:rsidRPr="007C6F51">
        <w:rPr>
          <w:rFonts w:asciiTheme="minorHAnsi" w:hAnsiTheme="minorHAnsi"/>
          <w:kern w:val="2"/>
          <w:lang w:val="en-GB"/>
        </w:rPr>
        <w:t>Integra</w:t>
      </w:r>
      <w:r w:rsidR="00DE4CED" w:rsidRPr="007C6F51">
        <w:rPr>
          <w:rFonts w:asciiTheme="minorHAnsi" w:hAnsiTheme="minorHAnsi"/>
          <w:kern w:val="2"/>
          <w:lang w:val="en-GB"/>
        </w:rPr>
        <w:t>t</w:t>
      </w:r>
      <w:r w:rsidRPr="007C6F51">
        <w:rPr>
          <w:rFonts w:asciiTheme="minorHAnsi" w:hAnsiTheme="minorHAnsi"/>
          <w:kern w:val="2"/>
          <w:lang w:val="en-GB"/>
        </w:rPr>
        <w:t>ed</w:t>
      </w:r>
      <w:r w:rsidR="00973424" w:rsidRPr="007C6F51">
        <w:rPr>
          <w:rFonts w:asciiTheme="minorHAnsi" w:hAnsiTheme="minorHAnsi"/>
          <w:kern w:val="2"/>
          <w:lang w:val="en-GB"/>
        </w:rPr>
        <w:t xml:space="preserve"> from </w:t>
      </w:r>
      <w:r w:rsidR="0025495A" w:rsidRPr="007C6F51">
        <w:rPr>
          <w:rFonts w:asciiTheme="minorHAnsi" w:hAnsiTheme="minorHAnsi"/>
          <w:kern w:val="2"/>
          <w:lang w:val="en-GB"/>
        </w:rPr>
        <w:t xml:space="preserve">2024 </w:t>
      </w:r>
      <w:r w:rsidR="00973424" w:rsidRPr="007C6F51">
        <w:rPr>
          <w:rFonts w:asciiTheme="minorHAnsi" w:hAnsiTheme="minorHAnsi"/>
          <w:kern w:val="2"/>
          <w:lang w:val="en-GB"/>
        </w:rPr>
        <w:t xml:space="preserve">until 2100, i.e., over </w:t>
      </w:r>
      <w:r w:rsidR="0025495A" w:rsidRPr="007C6F51">
        <w:rPr>
          <w:rFonts w:asciiTheme="minorHAnsi" w:hAnsiTheme="minorHAnsi"/>
          <w:kern w:val="2"/>
          <w:lang w:val="en-GB"/>
        </w:rPr>
        <w:t xml:space="preserve">74 </w:t>
      </w:r>
      <w:r w:rsidR="00973424" w:rsidRPr="007C6F51">
        <w:rPr>
          <w:rFonts w:asciiTheme="minorHAnsi" w:hAnsiTheme="minorHAnsi"/>
          <w:kern w:val="2"/>
          <w:lang w:val="en-GB"/>
        </w:rPr>
        <w:t>years, this yields an additional CO</w:t>
      </w:r>
      <w:r w:rsidR="00973424" w:rsidRPr="007C6F51">
        <w:rPr>
          <w:rFonts w:asciiTheme="minorHAnsi" w:hAnsiTheme="minorHAnsi"/>
          <w:kern w:val="2"/>
          <w:vertAlign w:val="subscript"/>
          <w:lang w:val="en-GB"/>
        </w:rPr>
        <w:t>2</w:t>
      </w:r>
      <w:r w:rsidR="00973424" w:rsidRPr="007C6F51">
        <w:rPr>
          <w:rFonts w:asciiTheme="minorHAnsi" w:hAnsiTheme="minorHAnsi"/>
          <w:kern w:val="2"/>
          <w:lang w:val="en-GB"/>
        </w:rPr>
        <w:t xml:space="preserve"> uptake </w:t>
      </w:r>
      <w:r w:rsidRPr="007C6F51">
        <w:rPr>
          <w:rFonts w:asciiTheme="minorHAnsi" w:hAnsiTheme="minorHAnsi"/>
          <w:kern w:val="2"/>
          <w:lang w:val="en-GB"/>
        </w:rPr>
        <w:t>potential</w:t>
      </w:r>
      <w:r w:rsidR="00973424" w:rsidRPr="007C6F51">
        <w:rPr>
          <w:rFonts w:asciiTheme="minorHAnsi" w:hAnsiTheme="minorHAnsi"/>
          <w:kern w:val="2"/>
          <w:lang w:val="en-GB"/>
        </w:rPr>
        <w:t xml:space="preserve"> by the oceans of </w:t>
      </w:r>
      <w:r w:rsidR="00973424" w:rsidRPr="007C6F51">
        <w:rPr>
          <w:rFonts w:asciiTheme="minorHAnsi" w:eastAsia="Cambria" w:hAnsiTheme="minorHAnsi"/>
          <w:kern w:val="2"/>
          <w:lang w:val="en-GB"/>
        </w:rPr>
        <w:t>0.3</w:t>
      </w:r>
      <w:r w:rsidR="00894927" w:rsidRPr="007C6F51">
        <w:rPr>
          <w:rFonts w:asciiTheme="minorHAnsi" w:eastAsia="Cambria" w:hAnsiTheme="minorHAnsi"/>
          <w:kern w:val="2"/>
          <w:lang w:val="en-GB"/>
        </w:rPr>
        <w:t xml:space="preserve"> </w:t>
      </w:r>
      <w:r w:rsidR="00973424" w:rsidRPr="007C6F51">
        <w:rPr>
          <w:rFonts w:asciiTheme="minorHAnsi" w:eastAsia="Cambria" w:hAnsiTheme="minorHAnsi"/>
          <w:kern w:val="2"/>
          <w:lang w:val="en-GB"/>
        </w:rPr>
        <w:t>Pg</w:t>
      </w:r>
      <w:r w:rsidR="007B69E7" w:rsidRPr="007C6F51">
        <w:rPr>
          <w:rFonts w:asciiTheme="minorHAnsi" w:eastAsia="Cambria" w:hAnsiTheme="minorHAnsi"/>
          <w:kern w:val="2"/>
          <w:lang w:val="en-GB"/>
        </w:rPr>
        <w:t xml:space="preserve"> </w:t>
      </w:r>
      <w:r w:rsidR="00973424" w:rsidRPr="007C6F51">
        <w:rPr>
          <w:rFonts w:asciiTheme="minorHAnsi" w:eastAsia="Cambria" w:hAnsiTheme="minorHAnsi"/>
          <w:kern w:val="2"/>
          <w:lang w:val="en-GB"/>
        </w:rPr>
        <w:t xml:space="preserve">C * </w:t>
      </w:r>
      <w:r w:rsidR="0025495A" w:rsidRPr="007C6F51">
        <w:rPr>
          <w:rFonts w:asciiTheme="minorHAnsi" w:eastAsia="Cambria" w:hAnsiTheme="minorHAnsi"/>
          <w:kern w:val="2"/>
          <w:lang w:val="en-GB"/>
        </w:rPr>
        <w:t xml:space="preserve">74 </w:t>
      </w:r>
      <w:r w:rsidR="00973424" w:rsidRPr="007C6F51">
        <w:rPr>
          <w:rFonts w:asciiTheme="minorHAnsi" w:eastAsia="Cambria" w:hAnsiTheme="minorHAnsi"/>
          <w:kern w:val="2"/>
          <w:lang w:val="en-GB"/>
        </w:rPr>
        <w:t xml:space="preserve">= </w:t>
      </w:r>
      <w:r w:rsidR="003505D8" w:rsidRPr="007C6F51">
        <w:rPr>
          <w:rFonts w:asciiTheme="minorHAnsi" w:eastAsia="Cambria" w:hAnsiTheme="minorHAnsi"/>
          <w:kern w:val="2"/>
          <w:lang w:val="en-GB"/>
        </w:rPr>
        <w:t>22.2</w:t>
      </w:r>
      <w:r w:rsidR="00973424" w:rsidRPr="007C6F51">
        <w:rPr>
          <w:rFonts w:asciiTheme="minorHAnsi" w:eastAsia="Cambria" w:hAnsiTheme="minorHAnsi"/>
          <w:kern w:val="2"/>
          <w:lang w:val="en-GB"/>
        </w:rPr>
        <w:t xml:space="preserve"> Pg</w:t>
      </w:r>
      <w:r w:rsidR="007B69E7" w:rsidRPr="007C6F51">
        <w:rPr>
          <w:rFonts w:asciiTheme="minorHAnsi" w:eastAsia="Cambria" w:hAnsiTheme="minorHAnsi"/>
          <w:kern w:val="2"/>
          <w:lang w:val="en-GB"/>
        </w:rPr>
        <w:t xml:space="preserve"> </w:t>
      </w:r>
      <w:r w:rsidR="00973424" w:rsidRPr="007C6F51">
        <w:rPr>
          <w:rFonts w:asciiTheme="minorHAnsi" w:eastAsia="Cambria" w:hAnsiTheme="minorHAnsi"/>
          <w:kern w:val="2"/>
          <w:lang w:val="en-GB"/>
        </w:rPr>
        <w:t>C (</w:t>
      </w:r>
      <w:r w:rsidR="00901E22" w:rsidRPr="007C6F51">
        <w:rPr>
          <w:rFonts w:asciiTheme="minorHAnsi" w:eastAsia="Cambria" w:hAnsiTheme="minorHAnsi"/>
          <w:kern w:val="2"/>
          <w:lang w:val="en-GB"/>
        </w:rPr>
        <w:t>81.4</w:t>
      </w:r>
      <w:r w:rsidR="00973424" w:rsidRPr="007C6F51">
        <w:rPr>
          <w:rFonts w:asciiTheme="minorHAnsi" w:eastAsia="Cambria" w:hAnsiTheme="minorHAnsi"/>
          <w:kern w:val="2"/>
          <w:lang w:val="en-GB"/>
        </w:rPr>
        <w:t xml:space="preserve"> Pg</w:t>
      </w:r>
      <w:r w:rsidR="007B69E7" w:rsidRPr="007C6F51">
        <w:rPr>
          <w:rFonts w:asciiTheme="minorHAnsi" w:eastAsia="Cambria" w:hAnsiTheme="minorHAnsi"/>
          <w:kern w:val="2"/>
          <w:lang w:val="en-GB"/>
        </w:rPr>
        <w:t xml:space="preserve"> </w:t>
      </w:r>
      <w:r w:rsidR="00973424" w:rsidRPr="007C6F51">
        <w:rPr>
          <w:rFonts w:asciiTheme="minorHAnsi" w:eastAsia="Cambria" w:hAnsiTheme="minorHAnsi"/>
          <w:kern w:val="2"/>
          <w:lang w:val="en-GB"/>
        </w:rPr>
        <w:t>CO</w:t>
      </w:r>
      <w:r w:rsidR="00973424" w:rsidRPr="007C6F51">
        <w:rPr>
          <w:rFonts w:asciiTheme="minorHAnsi" w:eastAsia="Cambria" w:hAnsiTheme="minorHAnsi"/>
          <w:kern w:val="2"/>
          <w:vertAlign w:val="subscript"/>
          <w:lang w:val="en-GB"/>
        </w:rPr>
        <w:t>2</w:t>
      </w:r>
      <w:r w:rsidR="00973424" w:rsidRPr="007C6F51">
        <w:rPr>
          <w:rFonts w:asciiTheme="minorHAnsi" w:eastAsia="Cambria" w:hAnsiTheme="minorHAnsi"/>
          <w:kern w:val="2"/>
          <w:lang w:val="en-GB"/>
        </w:rPr>
        <w:t xml:space="preserve">, </w:t>
      </w:r>
      <w:r w:rsidR="0073464C" w:rsidRPr="007C6F51">
        <w:rPr>
          <w:rFonts w:asciiTheme="minorHAnsi" w:eastAsia="Cambria" w:hAnsiTheme="minorHAnsi"/>
          <w:kern w:val="2"/>
          <w:lang w:val="en-GB"/>
        </w:rPr>
        <w:t>1.85</w:t>
      </w:r>
      <w:r w:rsidR="00973424" w:rsidRPr="007C6F51">
        <w:rPr>
          <w:rFonts w:asciiTheme="minorHAnsi" w:eastAsia="Cambria" w:hAnsiTheme="minorHAnsi"/>
          <w:kern w:val="2"/>
          <w:lang w:val="en-GB"/>
        </w:rPr>
        <w:t xml:space="preserve"> </w:t>
      </w:r>
      <w:proofErr w:type="spellStart"/>
      <w:r w:rsidR="00973424" w:rsidRPr="007C6F51">
        <w:rPr>
          <w:rFonts w:asciiTheme="minorHAnsi" w:eastAsia="Cambria" w:hAnsiTheme="minorHAnsi"/>
          <w:kern w:val="2"/>
          <w:lang w:val="en-GB"/>
        </w:rPr>
        <w:t>Pmol</w:t>
      </w:r>
      <w:proofErr w:type="spellEnd"/>
      <w:r w:rsidR="007B69E7" w:rsidRPr="007C6F51">
        <w:rPr>
          <w:rFonts w:asciiTheme="minorHAnsi" w:eastAsia="Cambria" w:hAnsiTheme="minorHAnsi"/>
          <w:kern w:val="2"/>
          <w:lang w:val="en-GB"/>
        </w:rPr>
        <w:t xml:space="preserve"> </w:t>
      </w:r>
      <w:r w:rsidR="00973424" w:rsidRPr="007C6F51">
        <w:rPr>
          <w:rFonts w:asciiTheme="minorHAnsi" w:eastAsia="Cambria" w:hAnsiTheme="minorHAnsi"/>
          <w:kern w:val="2"/>
          <w:lang w:val="en-GB"/>
        </w:rPr>
        <w:t>C).</w:t>
      </w:r>
      <w:r w:rsidR="00973424" w:rsidRPr="007C6F51">
        <w:rPr>
          <w:rFonts w:asciiTheme="minorHAnsi" w:hAnsiTheme="minorHAnsi"/>
          <w:kern w:val="2"/>
          <w:lang w:val="en-GB"/>
        </w:rPr>
        <w:t xml:space="preserve"> While SSP5 is a </w:t>
      </w:r>
      <w:r w:rsidRPr="007C6F51">
        <w:rPr>
          <w:rFonts w:asciiTheme="minorHAnsi" w:hAnsiTheme="minorHAnsi"/>
          <w:kern w:val="2"/>
          <w:lang w:val="en-GB"/>
        </w:rPr>
        <w:t>high-energy</w:t>
      </w:r>
      <w:r w:rsidR="00973424" w:rsidRPr="007C6F51">
        <w:rPr>
          <w:rFonts w:asciiTheme="minorHAnsi" w:hAnsiTheme="minorHAnsi"/>
          <w:kern w:val="2"/>
          <w:lang w:val="en-GB"/>
        </w:rPr>
        <w:t xml:space="preserve"> scenario and while admittedly this estimate is subject to large uncertainty and error, it reveals the potentially massive scale of the issue if implemented globally. </w:t>
      </w:r>
      <w:r w:rsidR="00973424" w:rsidRPr="007C6F51">
        <w:rPr>
          <w:rFonts w:asciiTheme="minorHAnsi" w:hAnsiTheme="minorHAnsi"/>
          <w:kern w:val="2"/>
          <w:lang w:val="en-GB"/>
        </w:rPr>
        <w:lastRenderedPageBreak/>
        <w:t>For comparison, the current effect of denitrification</w:t>
      </w:r>
      <w:r w:rsidR="006D1EC1" w:rsidRPr="007C6F51">
        <w:rPr>
          <w:rFonts w:asciiTheme="minorHAnsi" w:hAnsiTheme="minorHAnsi"/>
          <w:kern w:val="2"/>
          <w:lang w:val="en-GB"/>
        </w:rPr>
        <w:t xml:space="preserve"> </w:t>
      </w:r>
      <w:proofErr w:type="gramStart"/>
      <w:r w:rsidR="006D1EC1" w:rsidRPr="007C6F51">
        <w:rPr>
          <w:rFonts w:asciiTheme="minorHAnsi" w:hAnsiTheme="minorHAnsi"/>
          <w:kern w:val="2"/>
          <w:lang w:val="en-GB"/>
        </w:rPr>
        <w:t xml:space="preserve">of </w:t>
      </w:r>
      <w:r w:rsidR="00973424" w:rsidRPr="007C6F51">
        <w:rPr>
          <w:rFonts w:asciiTheme="minorHAnsi" w:hAnsiTheme="minorHAnsi"/>
          <w:kern w:val="2"/>
          <w:lang w:val="en-GB"/>
        </w:rPr>
        <w:t xml:space="preserve"> </w:t>
      </w:r>
      <w:r w:rsidRPr="007C6F51">
        <w:rPr>
          <w:rFonts w:asciiTheme="minorHAnsi" w:hAnsiTheme="minorHAnsi"/>
          <w:kern w:val="2"/>
          <w:lang w:val="en-GB"/>
        </w:rPr>
        <w:t>anthropogenic</w:t>
      </w:r>
      <w:proofErr w:type="gramEnd"/>
      <w:r w:rsidR="00973424" w:rsidRPr="007C6F51">
        <w:rPr>
          <w:rFonts w:asciiTheme="minorHAnsi" w:hAnsiTheme="minorHAnsi"/>
          <w:kern w:val="2"/>
          <w:lang w:val="en-GB"/>
        </w:rPr>
        <w:t xml:space="preserve"> nitrogen in the marine </w:t>
      </w:r>
      <w:r w:rsidRPr="007C6F51">
        <w:rPr>
          <w:rFonts w:asciiTheme="minorHAnsi" w:hAnsiTheme="minorHAnsi"/>
          <w:kern w:val="2"/>
          <w:lang w:val="en-GB"/>
        </w:rPr>
        <w:t>realm</w:t>
      </w:r>
      <w:r w:rsidR="00973424" w:rsidRPr="007C6F51">
        <w:rPr>
          <w:rFonts w:asciiTheme="minorHAnsi" w:hAnsiTheme="minorHAnsi"/>
          <w:kern w:val="2"/>
          <w:lang w:val="en-GB"/>
        </w:rPr>
        <w:t xml:space="preserve">, </w:t>
      </w:r>
      <w:r w:rsidR="00973424" w:rsidRPr="007C6F51">
        <w:rPr>
          <w:rFonts w:asciiTheme="minorHAnsi" w:eastAsia="Cambria" w:hAnsiTheme="minorHAnsi"/>
          <w:kern w:val="2"/>
          <w:lang w:val="en-GB"/>
        </w:rPr>
        <w:t xml:space="preserve">estimated at 250 </w:t>
      </w:r>
      <w:proofErr w:type="spellStart"/>
      <w:r w:rsidR="00973424" w:rsidRPr="007C6F51">
        <w:rPr>
          <w:rFonts w:asciiTheme="minorHAnsi" w:eastAsia="Cambria" w:hAnsiTheme="minorHAnsi"/>
          <w:kern w:val="2"/>
          <w:lang w:val="en-GB"/>
        </w:rPr>
        <w:t>Tg</w:t>
      </w:r>
      <w:proofErr w:type="spellEnd"/>
      <w:r w:rsidR="00973424" w:rsidRPr="007C6F51">
        <w:rPr>
          <w:rFonts w:asciiTheme="minorHAnsi" w:eastAsia="Cambria" w:hAnsiTheme="minorHAnsi"/>
          <w:kern w:val="2"/>
          <w:lang w:val="en-GB"/>
        </w:rPr>
        <w:t xml:space="preserve"> N yr</w:t>
      </w:r>
      <w:r w:rsidR="00973424" w:rsidRPr="007C6F51">
        <w:rPr>
          <w:rFonts w:asciiTheme="minorHAnsi" w:eastAsia="Cambria" w:hAnsiTheme="minorHAnsi"/>
          <w:kern w:val="2"/>
          <w:vertAlign w:val="superscript"/>
          <w:lang w:val="en-GB"/>
        </w:rPr>
        <w:t>−1</w:t>
      </w:r>
      <w:r w:rsidR="00973424" w:rsidRPr="007C6F51">
        <w:rPr>
          <w:rFonts w:asciiTheme="minorHAnsi" w:eastAsia="Cambria" w:hAnsiTheme="minorHAnsi"/>
          <w:kern w:val="2"/>
          <w:lang w:val="en-GB"/>
        </w:rPr>
        <w:t xml:space="preserve"> (18 </w:t>
      </w:r>
      <w:proofErr w:type="spellStart"/>
      <w:r w:rsidR="00973424" w:rsidRPr="007C6F51">
        <w:rPr>
          <w:rFonts w:asciiTheme="minorHAnsi" w:eastAsia="Cambria" w:hAnsiTheme="minorHAnsi"/>
          <w:kern w:val="2"/>
          <w:lang w:val="en-GB"/>
        </w:rPr>
        <w:t>Tmol</w:t>
      </w:r>
      <w:proofErr w:type="spellEnd"/>
      <w:r w:rsidR="00973424" w:rsidRPr="007C6F51">
        <w:rPr>
          <w:rFonts w:asciiTheme="minorHAnsi" w:eastAsia="Cambria" w:hAnsiTheme="minorHAnsi"/>
          <w:kern w:val="2"/>
          <w:lang w:val="en-GB"/>
        </w:rPr>
        <w:t xml:space="preserve"> N yr</w:t>
      </w:r>
      <w:r w:rsidR="00973424" w:rsidRPr="007C6F51">
        <w:rPr>
          <w:rFonts w:asciiTheme="minorHAnsi" w:eastAsia="Cambria" w:hAnsiTheme="minorHAnsi"/>
          <w:kern w:val="2"/>
          <w:vertAlign w:val="superscript"/>
          <w:lang w:val="en-GB"/>
        </w:rPr>
        <w:t>−1</w:t>
      </w:r>
      <w:r w:rsidR="007B69E7" w:rsidRPr="007C6F51">
        <w:rPr>
          <w:rFonts w:asciiTheme="minorHAnsi" w:eastAsia="Cambria" w:hAnsiTheme="minorHAnsi"/>
          <w:kern w:val="2"/>
          <w:lang w:val="en-GB"/>
        </w:rPr>
        <w:t>;</w:t>
      </w:r>
      <w:r w:rsidR="00973424" w:rsidRPr="007C6F51">
        <w:rPr>
          <w:rFonts w:asciiTheme="minorHAnsi" w:eastAsia="Cambria" w:hAnsiTheme="minorHAnsi"/>
          <w:kern w:val="2"/>
          <w:lang w:val="en-GB"/>
        </w:rPr>
        <w:t xml:space="preserve"> </w:t>
      </w:r>
      <w:proofErr w:type="spellStart"/>
      <w:r w:rsidR="00973424" w:rsidRPr="007C6F51">
        <w:rPr>
          <w:rFonts w:asciiTheme="minorHAnsi" w:eastAsia="Cambria" w:hAnsiTheme="minorHAnsi"/>
          <w:kern w:val="2"/>
          <w:lang w:val="en-GB"/>
        </w:rPr>
        <w:t>Seitzinger</w:t>
      </w:r>
      <w:proofErr w:type="spellEnd"/>
      <w:r w:rsidR="00973424" w:rsidRPr="007C6F51">
        <w:rPr>
          <w:rFonts w:asciiTheme="minorHAnsi" w:eastAsia="Cambria" w:hAnsiTheme="minorHAnsi"/>
          <w:kern w:val="2"/>
          <w:lang w:val="en-GB"/>
        </w:rPr>
        <w:t xml:space="preserve"> et al., 2006)</w:t>
      </w:r>
      <w:r w:rsidR="00973424" w:rsidRPr="007C6F51">
        <w:rPr>
          <w:rFonts w:asciiTheme="minorHAnsi" w:hAnsiTheme="minorHAnsi"/>
          <w:kern w:val="2"/>
          <w:lang w:val="en-GB"/>
        </w:rPr>
        <w:t xml:space="preserve"> can be estimated to 15 </w:t>
      </w:r>
      <w:proofErr w:type="spellStart"/>
      <w:r w:rsidR="00973424" w:rsidRPr="007C6F51">
        <w:rPr>
          <w:rFonts w:asciiTheme="minorHAnsi" w:hAnsiTheme="minorHAnsi"/>
          <w:kern w:val="2"/>
          <w:lang w:val="en-GB"/>
        </w:rPr>
        <w:t>Tmol</w:t>
      </w:r>
      <w:proofErr w:type="spellEnd"/>
      <w:r w:rsidR="00973424" w:rsidRPr="007C6F51">
        <w:rPr>
          <w:rFonts w:asciiTheme="minorHAnsi" w:hAnsiTheme="minorHAnsi"/>
          <w:kern w:val="2"/>
          <w:lang w:val="en-GB"/>
        </w:rPr>
        <w:t xml:space="preserve"> CO</w:t>
      </w:r>
      <w:r w:rsidR="00973424" w:rsidRPr="007C6F51">
        <w:rPr>
          <w:rFonts w:asciiTheme="minorHAnsi" w:hAnsiTheme="minorHAnsi"/>
          <w:kern w:val="2"/>
          <w:vertAlign w:val="subscript"/>
          <w:lang w:val="en-GB"/>
        </w:rPr>
        <w:t>2</w:t>
      </w:r>
      <w:r w:rsidR="00973424" w:rsidRPr="007C6F51">
        <w:rPr>
          <w:rFonts w:asciiTheme="minorHAnsi" w:hAnsiTheme="minorHAnsi"/>
          <w:kern w:val="2"/>
          <w:lang w:val="en-GB"/>
        </w:rPr>
        <w:t xml:space="preserve"> (</w:t>
      </w:r>
      <w:r w:rsidR="00973424" w:rsidRPr="007C6F51">
        <w:rPr>
          <w:rFonts w:asciiTheme="minorHAnsi" w:eastAsia="Cambria" w:hAnsiTheme="minorHAnsi"/>
          <w:kern w:val="2"/>
          <w:lang w:val="en-GB"/>
        </w:rPr>
        <w:t>or 0.6 mol CO</w:t>
      </w:r>
      <w:r w:rsidR="00973424" w:rsidRPr="007C6F51">
        <w:rPr>
          <w:rFonts w:asciiTheme="minorHAnsi" w:eastAsia="Cambria" w:hAnsiTheme="minorHAnsi"/>
          <w:kern w:val="2"/>
          <w:vertAlign w:val="subscript"/>
          <w:lang w:val="en-GB"/>
        </w:rPr>
        <w:t>2</w:t>
      </w:r>
      <w:r w:rsidR="00973424" w:rsidRPr="007C6F51">
        <w:rPr>
          <w:rFonts w:asciiTheme="minorHAnsi" w:eastAsia="Cambria" w:hAnsiTheme="minorHAnsi"/>
          <w:kern w:val="2"/>
          <w:lang w:val="en-GB"/>
        </w:rPr>
        <w:t xml:space="preserve"> m</w:t>
      </w:r>
      <w:r w:rsidR="00973424" w:rsidRPr="007C6F51">
        <w:rPr>
          <w:rFonts w:asciiTheme="minorHAnsi" w:eastAsia="Cambria" w:hAnsiTheme="minorHAnsi"/>
          <w:kern w:val="2"/>
          <w:vertAlign w:val="superscript"/>
          <w:lang w:val="en-GB"/>
        </w:rPr>
        <w:t>−2</w:t>
      </w:r>
      <w:r w:rsidR="00973424" w:rsidRPr="007C6F51">
        <w:rPr>
          <w:rFonts w:asciiTheme="minorHAnsi" w:eastAsia="Cambria" w:hAnsiTheme="minorHAnsi"/>
          <w:kern w:val="2"/>
          <w:lang w:val="en-GB"/>
        </w:rPr>
        <w:t xml:space="preserve"> yr</w:t>
      </w:r>
      <w:r w:rsidR="00973424" w:rsidRPr="007C6F51">
        <w:rPr>
          <w:rFonts w:asciiTheme="minorHAnsi" w:eastAsia="Cambria" w:hAnsiTheme="minorHAnsi"/>
          <w:kern w:val="2"/>
          <w:vertAlign w:val="superscript"/>
          <w:lang w:val="en-GB"/>
        </w:rPr>
        <w:t>−1</w:t>
      </w:r>
      <w:r w:rsidR="00973424" w:rsidRPr="007C6F51">
        <w:rPr>
          <w:rFonts w:asciiTheme="minorHAnsi" w:eastAsia="Cambria" w:hAnsiTheme="minorHAnsi"/>
          <w:kern w:val="2"/>
          <w:lang w:val="en-GB"/>
        </w:rPr>
        <w:t xml:space="preserve">, assuming a </w:t>
      </w:r>
      <w:proofErr w:type="spellStart"/>
      <w:r w:rsidR="00973424" w:rsidRPr="007C6F51">
        <w:rPr>
          <w:rFonts w:asciiTheme="minorHAnsi" w:eastAsia="Cambria" w:hAnsiTheme="minorHAnsi"/>
          <w:kern w:val="2"/>
          <w:lang w:val="en-GB"/>
        </w:rPr>
        <w:t>Revelle</w:t>
      </w:r>
      <w:proofErr w:type="spellEnd"/>
      <w:r w:rsidR="00973424" w:rsidRPr="007C6F51">
        <w:rPr>
          <w:rFonts w:asciiTheme="minorHAnsi" w:eastAsia="Cambria" w:hAnsiTheme="minorHAnsi"/>
          <w:kern w:val="2"/>
          <w:lang w:val="en-GB"/>
        </w:rPr>
        <w:t xml:space="preserve"> factor of 11, and an area for shelf seas of 25*10</w:t>
      </w:r>
      <w:r w:rsidR="00973424" w:rsidRPr="007C6F51">
        <w:rPr>
          <w:rFonts w:asciiTheme="minorHAnsi" w:eastAsia="Cambria" w:hAnsiTheme="minorHAnsi"/>
          <w:kern w:val="2"/>
          <w:vertAlign w:val="superscript"/>
          <w:lang w:val="en-GB"/>
        </w:rPr>
        <w:t>6</w:t>
      </w:r>
      <w:r w:rsidR="00973424" w:rsidRPr="007C6F51">
        <w:rPr>
          <w:rFonts w:asciiTheme="minorHAnsi" w:eastAsia="Cambria" w:hAnsiTheme="minorHAnsi"/>
          <w:kern w:val="2"/>
          <w:lang w:val="en-GB"/>
        </w:rPr>
        <w:t xml:space="preserve"> km², 7% of the global ocean area).</w:t>
      </w:r>
    </w:p>
    <w:p w14:paraId="5048E2B4" w14:textId="77777777" w:rsidR="007A2027" w:rsidRPr="007C6F51" w:rsidRDefault="007A2027">
      <w:pPr>
        <w:spacing w:before="180" w:after="180"/>
        <w:rPr>
          <w:rFonts w:asciiTheme="minorHAnsi" w:eastAsia="Cambria" w:hAnsiTheme="minorHAnsi"/>
          <w:lang w:val="en-GB"/>
        </w:rPr>
      </w:pPr>
    </w:p>
    <w:p w14:paraId="172E03C9" w14:textId="358C0ECA"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However, at least two further aspects have to be considered here,</w:t>
      </w:r>
      <w:r w:rsidR="00AE4188" w:rsidRPr="007C6F51">
        <w:rPr>
          <w:rFonts w:asciiTheme="minorHAnsi" w:eastAsia="Cambria" w:hAnsiTheme="minorHAnsi"/>
          <w:lang w:val="en-GB"/>
        </w:rPr>
        <w:t xml:space="preserve"> </w:t>
      </w:r>
      <w:r w:rsidRPr="007C6F51">
        <w:rPr>
          <w:rFonts w:asciiTheme="minorHAnsi" w:eastAsia="Cambria" w:hAnsiTheme="minorHAnsi"/>
          <w:lang w:val="en-GB"/>
        </w:rPr>
        <w:t xml:space="preserve">which might reveal the potential to (partially) outweigh the expected increase in ocean carbon storage. Firstly, the </w:t>
      </w:r>
      <w:r w:rsidR="00AE4188" w:rsidRPr="007C6F51">
        <w:rPr>
          <w:rFonts w:asciiTheme="minorHAnsi" w:eastAsia="Cambria" w:hAnsiTheme="minorHAnsi"/>
          <w:lang w:val="en-GB"/>
        </w:rPr>
        <w:t>eutrophication-driven</w:t>
      </w:r>
      <w:r w:rsidRPr="007C6F51">
        <w:rPr>
          <w:rFonts w:asciiTheme="minorHAnsi" w:eastAsia="Cambria" w:hAnsiTheme="minorHAnsi"/>
          <w:lang w:val="en-GB"/>
        </w:rPr>
        <w:t xml:space="preserve"> release of N</w:t>
      </w:r>
      <w:r w:rsidRPr="007C6F51">
        <w:rPr>
          <w:rFonts w:asciiTheme="minorHAnsi" w:eastAsia="Cambria" w:hAnsiTheme="minorHAnsi"/>
          <w:vertAlign w:val="subscript"/>
          <w:lang w:val="en-GB"/>
        </w:rPr>
        <w:t>2</w:t>
      </w:r>
      <w:r w:rsidRPr="007C6F51">
        <w:rPr>
          <w:rFonts w:asciiTheme="minorHAnsi" w:eastAsia="Cambria" w:hAnsiTheme="minorHAnsi"/>
          <w:lang w:val="en-GB"/>
        </w:rPr>
        <w:t>O and CH</w:t>
      </w:r>
      <w:r w:rsidRPr="007C6F51">
        <w:rPr>
          <w:rFonts w:asciiTheme="minorHAnsi" w:eastAsia="Cambria" w:hAnsiTheme="minorHAnsi"/>
          <w:vertAlign w:val="subscript"/>
          <w:lang w:val="en-GB"/>
        </w:rPr>
        <w:t>4</w:t>
      </w:r>
      <w:r w:rsidRPr="007C6F51">
        <w:rPr>
          <w:rFonts w:asciiTheme="minorHAnsi" w:eastAsia="Cambria" w:hAnsiTheme="minorHAnsi"/>
          <w:lang w:val="en-GB"/>
        </w:rPr>
        <w:t xml:space="preserve"> associated with anoxic sediments counteracts the enhanced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storage effect. Secondly the overall greenhouse gas balance, i.e., the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footprint of the </w:t>
      </w:r>
      <w:r w:rsidR="00AE4188" w:rsidRPr="007C6F51">
        <w:rPr>
          <w:rFonts w:asciiTheme="minorHAnsi" w:eastAsia="Cambria" w:hAnsiTheme="minorHAnsi"/>
          <w:lang w:val="en-GB"/>
        </w:rPr>
        <w:t>fertilizer</w:t>
      </w:r>
      <w:r w:rsidRPr="007C6F51">
        <w:rPr>
          <w:rFonts w:asciiTheme="minorHAnsi" w:eastAsia="Cambria" w:hAnsiTheme="minorHAnsi"/>
          <w:lang w:val="en-GB"/>
        </w:rPr>
        <w:t xml:space="preserve"> production itself, which can be estimated to </w:t>
      </w:r>
      <w:r w:rsidR="006D1EC1" w:rsidRPr="007C6F51">
        <w:rPr>
          <w:rFonts w:asciiTheme="minorHAnsi" w:eastAsia="Cambria" w:hAnsiTheme="minorHAnsi"/>
          <w:lang w:val="en-GB"/>
        </w:rPr>
        <w:t>a</w:t>
      </w:r>
      <w:r w:rsidR="005C30FC" w:rsidRPr="007C6F51">
        <w:rPr>
          <w:rFonts w:asciiTheme="minorHAnsi" w:eastAsia="Cambria" w:hAnsiTheme="minorHAnsi"/>
          <w:lang w:val="en-GB"/>
        </w:rPr>
        <w:t>pprox</w:t>
      </w:r>
      <w:r w:rsidR="007B69E7" w:rsidRPr="007C6F51">
        <w:rPr>
          <w:rFonts w:asciiTheme="minorHAnsi" w:eastAsia="Cambria" w:hAnsiTheme="minorHAnsi"/>
          <w:lang w:val="en-GB"/>
        </w:rPr>
        <w:t>imately</w:t>
      </w:r>
      <w:r w:rsidRPr="007C6F51">
        <w:rPr>
          <w:rFonts w:asciiTheme="minorHAnsi" w:eastAsia="Cambria" w:hAnsiTheme="minorHAnsi"/>
          <w:lang w:val="en-GB"/>
        </w:rPr>
        <w:t xml:space="preserve"> 4</w:t>
      </w:r>
      <w:r w:rsidR="007B69E7" w:rsidRPr="007C6F51">
        <w:rPr>
          <w:rFonts w:asciiTheme="minorHAnsi" w:eastAsia="Cambria" w:hAnsiTheme="minorHAnsi"/>
          <w:lang w:val="en-GB"/>
        </w:rPr>
        <w:t xml:space="preserve"> </w:t>
      </w:r>
      <w:r w:rsidRPr="007C6F51">
        <w:rPr>
          <w:rFonts w:asciiTheme="minorHAnsi" w:eastAsia="Cambria" w:hAnsiTheme="minorHAnsi"/>
          <w:lang w:val="en-GB"/>
        </w:rPr>
        <w:t>t</w:t>
      </w:r>
      <w:r w:rsidR="007B69E7" w:rsidRPr="007C6F51">
        <w:rPr>
          <w:rFonts w:asciiTheme="minorHAnsi" w:eastAsia="Cambria" w:hAnsiTheme="minorHAnsi"/>
          <w:lang w:val="en-GB"/>
        </w:rPr>
        <w:t xml:space="preserve"> </w:t>
      </w:r>
      <w:r w:rsidRPr="007C6F51">
        <w:rPr>
          <w:rFonts w:asciiTheme="minorHAnsi" w:eastAsia="Cambria" w:hAnsiTheme="minorHAnsi"/>
          <w:lang w:val="en-GB"/>
        </w:rPr>
        <w:t>CO</w:t>
      </w:r>
      <w:r w:rsidRPr="007C6F51">
        <w:rPr>
          <w:rFonts w:asciiTheme="minorHAnsi" w:eastAsia="Cambria" w:hAnsiTheme="minorHAnsi"/>
          <w:vertAlign w:val="subscript"/>
          <w:lang w:val="en-GB"/>
        </w:rPr>
        <w:t>2</w:t>
      </w:r>
      <w:r w:rsidRPr="007C6F51">
        <w:rPr>
          <w:rFonts w:asciiTheme="minorHAnsi" w:eastAsia="Cambria" w:hAnsiTheme="minorHAnsi"/>
          <w:lang w:val="en-GB"/>
        </w:rPr>
        <w:t>-eqv per t N (4:1). This approximates the respective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storage effect which in turn could only be realised if fertilizer was produced using regenerative energy sources.</w:t>
      </w:r>
    </w:p>
    <w:p w14:paraId="5B53FB2D" w14:textId="77777777" w:rsidR="007A2027" w:rsidRPr="007C6F51" w:rsidRDefault="007A2027">
      <w:pPr>
        <w:spacing w:before="180" w:after="180"/>
        <w:rPr>
          <w:rFonts w:asciiTheme="minorHAnsi" w:eastAsia="Cambria" w:hAnsiTheme="minorHAnsi"/>
          <w:lang w:val="en-GB"/>
        </w:rPr>
      </w:pPr>
    </w:p>
    <w:p w14:paraId="2E9E9D96" w14:textId="77777777" w:rsidR="007A2027" w:rsidRPr="007C6F51" w:rsidRDefault="007A2027">
      <w:pPr>
        <w:spacing w:before="180" w:after="180"/>
        <w:rPr>
          <w:rFonts w:asciiTheme="minorHAnsi" w:eastAsia="Cambria" w:hAnsiTheme="minorHAnsi"/>
          <w:lang w:val="en-GB"/>
        </w:rPr>
      </w:pPr>
    </w:p>
    <w:p w14:paraId="16103FE3" w14:textId="77777777" w:rsidR="007A2027" w:rsidRPr="007C6F51" w:rsidRDefault="007A2027">
      <w:pPr>
        <w:spacing w:before="180" w:after="180"/>
        <w:rPr>
          <w:rFonts w:asciiTheme="minorHAnsi" w:eastAsia="Cambria" w:hAnsiTheme="minorHAnsi"/>
          <w:lang w:val="en-GB"/>
        </w:rPr>
      </w:pPr>
    </w:p>
    <w:p w14:paraId="158A73B0" w14:textId="0513B8C7" w:rsidR="007A2027" w:rsidRPr="007C6F51" w:rsidRDefault="004C32D9">
      <w:pPr>
        <w:spacing w:before="200"/>
        <w:rPr>
          <w:rFonts w:asciiTheme="minorHAnsi" w:eastAsia="Cambria" w:hAnsiTheme="minorHAnsi"/>
          <w:b/>
          <w:color w:val="4F81BD"/>
          <w:sz w:val="28"/>
          <w:szCs w:val="28"/>
          <w:lang w:val="en-GB"/>
        </w:rPr>
      </w:pPr>
      <w:proofErr w:type="spellStart"/>
      <w:r w:rsidRPr="007C6F51">
        <w:rPr>
          <w:rFonts w:asciiTheme="minorHAnsi" w:eastAsia="Cambria" w:hAnsiTheme="minorHAnsi"/>
          <w:b/>
          <w:color w:val="4F81BD"/>
          <w:sz w:val="28"/>
          <w:szCs w:val="28"/>
          <w:lang w:val="en-GB"/>
        </w:rPr>
        <w:t>Affect</w:t>
      </w:r>
      <w:proofErr w:type="spellEnd"/>
      <w:r w:rsidRPr="007C6F51">
        <w:rPr>
          <w:rFonts w:asciiTheme="minorHAnsi" w:eastAsia="Cambria" w:hAnsiTheme="minorHAnsi"/>
          <w:b/>
          <w:color w:val="4F81BD"/>
          <w:sz w:val="28"/>
          <w:szCs w:val="28"/>
          <w:lang w:val="en-GB"/>
        </w:rPr>
        <w:t xml:space="preserve"> of ocean acidification on calcifying organisms</w:t>
      </w:r>
    </w:p>
    <w:p w14:paraId="4C6F2413" w14:textId="2A7129D1" w:rsidR="007877C7" w:rsidRPr="007C6F51" w:rsidRDefault="002E6D59" w:rsidP="00AC14FC">
      <w:pPr>
        <w:spacing w:before="180" w:after="180"/>
        <w:rPr>
          <w:rFonts w:asciiTheme="minorHAnsi" w:eastAsia="Cambria" w:hAnsiTheme="minorHAnsi"/>
          <w:lang w:val="en-GB"/>
        </w:rPr>
      </w:pPr>
      <w:r w:rsidRPr="007C6F51">
        <w:rPr>
          <w:rFonts w:asciiTheme="minorHAnsi" w:eastAsia="Cambria" w:hAnsiTheme="minorHAnsi"/>
          <w:lang w:val="en-GB"/>
        </w:rPr>
        <w:t>Increasing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leads to ocean</w:t>
      </w:r>
      <w:r w:rsidR="004F69A3" w:rsidRPr="007C6F51">
        <w:rPr>
          <w:rFonts w:asciiTheme="minorHAnsi" w:eastAsia="Cambria" w:hAnsiTheme="minorHAnsi"/>
          <w:lang w:val="en-GB"/>
        </w:rPr>
        <w:t xml:space="preserve"> </w:t>
      </w:r>
      <w:r w:rsidRPr="007C6F51">
        <w:rPr>
          <w:rFonts w:asciiTheme="minorHAnsi" w:eastAsia="Cambria" w:hAnsiTheme="minorHAnsi"/>
          <w:lang w:val="en-GB"/>
        </w:rPr>
        <w:t>acidification and</w:t>
      </w:r>
      <w:r w:rsidR="004F69A3" w:rsidRPr="007C6F51">
        <w:rPr>
          <w:rFonts w:asciiTheme="minorHAnsi" w:eastAsia="Cambria" w:hAnsiTheme="minorHAnsi"/>
          <w:lang w:val="en-GB"/>
        </w:rPr>
        <w:t xml:space="preserve"> a reduction in carbonate ions, </w:t>
      </w:r>
      <w:r w:rsidR="0094714A" w:rsidRPr="007C6F51">
        <w:rPr>
          <w:rFonts w:asciiTheme="minorHAnsi" w:eastAsia="Cambria" w:hAnsiTheme="minorHAnsi"/>
          <w:lang w:val="en-GB"/>
        </w:rPr>
        <w:t>increasing the thermodynamic cost of calc</w:t>
      </w:r>
      <w:r w:rsidR="00CE4657" w:rsidRPr="007C6F51">
        <w:rPr>
          <w:rFonts w:asciiTheme="minorHAnsi" w:eastAsia="Cambria" w:hAnsiTheme="minorHAnsi"/>
          <w:lang w:val="en-GB"/>
        </w:rPr>
        <w:t xml:space="preserve">ification for calcareous </w:t>
      </w:r>
      <w:r w:rsidR="003F5C73" w:rsidRPr="007C6F51">
        <w:rPr>
          <w:rFonts w:asciiTheme="minorHAnsi" w:eastAsia="Cambria" w:hAnsiTheme="minorHAnsi"/>
          <w:lang w:val="en-GB"/>
        </w:rPr>
        <w:t>organisms</w:t>
      </w:r>
      <w:r w:rsidR="005C6262" w:rsidRPr="007C6F51">
        <w:rPr>
          <w:rFonts w:asciiTheme="minorHAnsi" w:eastAsia="Cambria" w:hAnsiTheme="minorHAnsi"/>
          <w:lang w:val="en-GB"/>
        </w:rPr>
        <w:t>.</w:t>
      </w:r>
      <w:r w:rsidR="004C32D9" w:rsidRPr="007C6F51">
        <w:rPr>
          <w:rFonts w:asciiTheme="minorHAnsi" w:eastAsia="Cambria" w:hAnsiTheme="minorHAnsi"/>
          <w:lang w:val="en-GB"/>
        </w:rPr>
        <w:t xml:space="preserve"> </w:t>
      </w:r>
      <w:r w:rsidR="005C6262" w:rsidRPr="007C6F51">
        <w:rPr>
          <w:rFonts w:asciiTheme="minorHAnsi" w:eastAsia="Cambria" w:hAnsiTheme="minorHAnsi"/>
          <w:lang w:val="en-GB"/>
        </w:rPr>
        <w:t>T</w:t>
      </w:r>
      <w:r w:rsidR="004C32D9" w:rsidRPr="007C6F51">
        <w:rPr>
          <w:rFonts w:asciiTheme="minorHAnsi" w:eastAsia="Cambria" w:hAnsiTheme="minorHAnsi"/>
          <w:lang w:val="en-GB"/>
        </w:rPr>
        <w:t xml:space="preserve">here is </w:t>
      </w:r>
      <w:proofErr w:type="gramStart"/>
      <w:r w:rsidR="004C32D9" w:rsidRPr="007C6F51">
        <w:rPr>
          <w:rFonts w:asciiTheme="minorHAnsi" w:eastAsia="Cambria" w:hAnsiTheme="minorHAnsi"/>
          <w:lang w:val="en-GB"/>
        </w:rPr>
        <w:t>a potential</w:t>
      </w:r>
      <w:r w:rsidR="003409F3" w:rsidRPr="007C6F51">
        <w:rPr>
          <w:rFonts w:asciiTheme="minorHAnsi" w:eastAsia="Cambria" w:hAnsiTheme="minorHAnsi"/>
          <w:lang w:val="en-GB"/>
        </w:rPr>
        <w:t xml:space="preserve"> negative fee</w:t>
      </w:r>
      <w:r w:rsidR="003F5C73" w:rsidRPr="007C6F51">
        <w:rPr>
          <w:rFonts w:asciiTheme="minorHAnsi" w:eastAsia="Cambria" w:hAnsiTheme="minorHAnsi"/>
          <w:lang w:val="en-GB"/>
        </w:rPr>
        <w:t>d</w:t>
      </w:r>
      <w:r w:rsidR="003409F3" w:rsidRPr="007C6F51">
        <w:rPr>
          <w:rFonts w:asciiTheme="minorHAnsi" w:eastAsia="Cambria" w:hAnsiTheme="minorHAnsi"/>
          <w:lang w:val="en-GB"/>
        </w:rPr>
        <w:t>back</w:t>
      </w:r>
      <w:proofErr w:type="gramEnd"/>
      <w:r w:rsidR="003409F3" w:rsidRPr="007C6F51">
        <w:rPr>
          <w:rFonts w:asciiTheme="minorHAnsi" w:eastAsia="Cambria" w:hAnsiTheme="minorHAnsi"/>
          <w:lang w:val="en-GB"/>
        </w:rPr>
        <w:t xml:space="preserve"> on increasing atmospheric CO</w:t>
      </w:r>
      <w:r w:rsidR="003409F3" w:rsidRPr="007C6F51">
        <w:rPr>
          <w:rFonts w:asciiTheme="minorHAnsi" w:eastAsia="Cambria" w:hAnsiTheme="minorHAnsi"/>
          <w:vertAlign w:val="subscript"/>
          <w:lang w:val="en-GB"/>
        </w:rPr>
        <w:t>2</w:t>
      </w:r>
      <w:r w:rsidR="003409F3" w:rsidRPr="007C6F51">
        <w:rPr>
          <w:rFonts w:asciiTheme="minorHAnsi" w:eastAsia="Cambria" w:hAnsiTheme="minorHAnsi"/>
          <w:lang w:val="en-GB"/>
        </w:rPr>
        <w:t xml:space="preserve"> as </w:t>
      </w:r>
      <w:r w:rsidR="005A60AB" w:rsidRPr="007C6F51">
        <w:rPr>
          <w:rFonts w:asciiTheme="minorHAnsi" w:eastAsia="Cambria" w:hAnsiTheme="minorHAnsi"/>
          <w:lang w:val="en-GB"/>
        </w:rPr>
        <w:t>alk</w:t>
      </w:r>
      <w:r w:rsidR="005C6262" w:rsidRPr="007C6F51">
        <w:rPr>
          <w:rFonts w:asciiTheme="minorHAnsi" w:eastAsia="Cambria" w:hAnsiTheme="minorHAnsi"/>
          <w:lang w:val="en-GB"/>
        </w:rPr>
        <w:t>al</w:t>
      </w:r>
      <w:r w:rsidR="005A60AB" w:rsidRPr="007C6F51">
        <w:rPr>
          <w:rFonts w:asciiTheme="minorHAnsi" w:eastAsia="Cambria" w:hAnsiTheme="minorHAnsi"/>
          <w:lang w:val="en-GB"/>
        </w:rPr>
        <w:t>inity removal</w:t>
      </w:r>
      <w:r w:rsidR="005C6262" w:rsidRPr="007C6F51">
        <w:rPr>
          <w:rFonts w:asciiTheme="minorHAnsi" w:eastAsia="Cambria" w:hAnsiTheme="minorHAnsi"/>
          <w:lang w:val="en-GB"/>
        </w:rPr>
        <w:t xml:space="preserve"> from calcification</w:t>
      </w:r>
      <w:r w:rsidR="005A60AB" w:rsidRPr="007C6F51">
        <w:rPr>
          <w:rFonts w:asciiTheme="minorHAnsi" w:eastAsia="Cambria" w:hAnsiTheme="minorHAnsi"/>
          <w:lang w:val="en-GB"/>
        </w:rPr>
        <w:t xml:space="preserve"> reduces or stops (e.g.</w:t>
      </w:r>
      <w:r w:rsidR="007B69E7" w:rsidRPr="007C6F51">
        <w:rPr>
          <w:rFonts w:asciiTheme="minorHAnsi" w:eastAsia="Cambria" w:hAnsiTheme="minorHAnsi"/>
          <w:lang w:val="en-GB"/>
        </w:rPr>
        <w:t>,</w:t>
      </w:r>
      <w:r w:rsidR="005A60AB" w:rsidRPr="007C6F51">
        <w:rPr>
          <w:rFonts w:asciiTheme="minorHAnsi" w:eastAsia="Cambria" w:hAnsiTheme="minorHAnsi"/>
          <w:lang w:val="en-GB"/>
        </w:rPr>
        <w:t xml:space="preserve"> Hoffman and </w:t>
      </w:r>
      <w:proofErr w:type="spellStart"/>
      <w:r w:rsidR="005A60AB" w:rsidRPr="007C6F51">
        <w:rPr>
          <w:rFonts w:asciiTheme="minorHAnsi" w:eastAsia="Cambria" w:hAnsiTheme="minorHAnsi"/>
          <w:lang w:val="en-GB"/>
        </w:rPr>
        <w:t>Schellenhuber</w:t>
      </w:r>
      <w:proofErr w:type="spellEnd"/>
      <w:r w:rsidR="005A60AB" w:rsidRPr="007C6F51">
        <w:rPr>
          <w:rFonts w:asciiTheme="minorHAnsi" w:eastAsia="Cambria" w:hAnsiTheme="minorHAnsi"/>
          <w:lang w:val="en-GB"/>
        </w:rPr>
        <w:t>, 2009; Zhang et al., 2016)</w:t>
      </w:r>
      <w:r w:rsidR="005C6262" w:rsidRPr="007C6F51">
        <w:rPr>
          <w:rFonts w:asciiTheme="minorHAnsi" w:eastAsia="Cambria" w:hAnsiTheme="minorHAnsi"/>
          <w:lang w:val="en-GB"/>
        </w:rPr>
        <w:t>. Second</w:t>
      </w:r>
      <w:r w:rsidR="007B69E7" w:rsidRPr="007C6F51">
        <w:rPr>
          <w:rFonts w:asciiTheme="minorHAnsi" w:eastAsia="Cambria" w:hAnsiTheme="minorHAnsi"/>
          <w:lang w:val="en-GB"/>
        </w:rPr>
        <w:t>,</w:t>
      </w:r>
      <w:r w:rsidR="005C6262" w:rsidRPr="007C6F51">
        <w:rPr>
          <w:rFonts w:asciiTheme="minorHAnsi" w:eastAsia="Cambria" w:hAnsiTheme="minorHAnsi"/>
          <w:lang w:val="en-GB"/>
        </w:rPr>
        <w:t xml:space="preserve"> order feedbacks relating to mineral ballasting may partially offset this negative feedback </w:t>
      </w:r>
      <w:proofErr w:type="gramStart"/>
      <w:r w:rsidR="00CE2600" w:rsidRPr="007C6F51">
        <w:rPr>
          <w:rFonts w:asciiTheme="minorHAnsi" w:eastAsia="Cambria" w:hAnsiTheme="minorHAnsi"/>
          <w:lang w:val="en-GB"/>
        </w:rPr>
        <w:t xml:space="preserve">but in any case </w:t>
      </w:r>
      <w:proofErr w:type="gramEnd"/>
      <w:r w:rsidR="00CE2600" w:rsidRPr="007C6F51">
        <w:rPr>
          <w:rFonts w:asciiTheme="minorHAnsi" w:eastAsia="Cambria" w:hAnsiTheme="minorHAnsi"/>
          <w:lang w:val="en-GB"/>
        </w:rPr>
        <w:t xml:space="preserve">such feedbacks are small relative to </w:t>
      </w:r>
      <w:r w:rsidR="007C54B5" w:rsidRPr="007C6F51">
        <w:rPr>
          <w:rFonts w:asciiTheme="minorHAnsi" w:eastAsia="Cambria" w:hAnsiTheme="minorHAnsi"/>
          <w:lang w:val="en-GB"/>
        </w:rPr>
        <w:t xml:space="preserve">anthropogenic carbon release </w:t>
      </w:r>
      <w:r w:rsidR="005C6262" w:rsidRPr="007C6F51">
        <w:rPr>
          <w:rFonts w:asciiTheme="minorHAnsi" w:eastAsia="Cambria" w:hAnsiTheme="minorHAnsi"/>
          <w:lang w:val="en-GB"/>
        </w:rPr>
        <w:t>(</w:t>
      </w:r>
      <w:r w:rsidR="007C54B5" w:rsidRPr="007C6F51">
        <w:rPr>
          <w:rFonts w:asciiTheme="minorHAnsi" w:eastAsia="Cambria" w:hAnsiTheme="minorHAnsi"/>
          <w:lang w:val="en-GB"/>
        </w:rPr>
        <w:t>Heinze,</w:t>
      </w:r>
      <w:r w:rsidR="00DA5E76" w:rsidRPr="007C6F51">
        <w:rPr>
          <w:rFonts w:asciiTheme="minorHAnsi" w:eastAsia="Cambria" w:hAnsiTheme="minorHAnsi"/>
          <w:lang w:val="en-GB"/>
        </w:rPr>
        <w:t xml:space="preserve"> </w:t>
      </w:r>
      <w:r w:rsidR="007C54B5" w:rsidRPr="007C6F51">
        <w:rPr>
          <w:rFonts w:asciiTheme="minorHAnsi" w:eastAsia="Cambria" w:hAnsiTheme="minorHAnsi"/>
          <w:lang w:val="en-GB"/>
        </w:rPr>
        <w:t xml:space="preserve">2004; </w:t>
      </w:r>
      <w:r w:rsidR="005C6262" w:rsidRPr="007C6F51">
        <w:rPr>
          <w:rFonts w:asciiTheme="minorHAnsi" w:eastAsia="Cambria" w:hAnsiTheme="minorHAnsi"/>
          <w:lang w:val="en-GB"/>
        </w:rPr>
        <w:t xml:space="preserve">Hoffman and </w:t>
      </w:r>
      <w:proofErr w:type="spellStart"/>
      <w:r w:rsidR="005C6262" w:rsidRPr="007C6F51">
        <w:rPr>
          <w:rFonts w:asciiTheme="minorHAnsi" w:eastAsia="Cambria" w:hAnsiTheme="minorHAnsi"/>
          <w:lang w:val="en-GB"/>
        </w:rPr>
        <w:t>Schellnhuber</w:t>
      </w:r>
      <w:proofErr w:type="spellEnd"/>
      <w:r w:rsidR="005C6262" w:rsidRPr="007C6F51">
        <w:rPr>
          <w:rFonts w:asciiTheme="minorHAnsi" w:eastAsia="Cambria" w:hAnsiTheme="minorHAnsi"/>
          <w:lang w:val="en-GB"/>
        </w:rPr>
        <w:t>, 2009)</w:t>
      </w:r>
      <w:r w:rsidR="003F6703" w:rsidRPr="007C6F51">
        <w:rPr>
          <w:rFonts w:asciiTheme="minorHAnsi" w:eastAsia="Cambria" w:hAnsiTheme="minorHAnsi"/>
          <w:lang w:val="en-GB"/>
        </w:rPr>
        <w:t xml:space="preserve"> and the principal concern is the biological impact of ocean acidification changes on calcifying organisms</w:t>
      </w:r>
      <w:r w:rsidR="005C6262" w:rsidRPr="007C6F51">
        <w:rPr>
          <w:rFonts w:asciiTheme="minorHAnsi" w:eastAsia="Cambria" w:hAnsiTheme="minorHAnsi"/>
          <w:lang w:val="en-GB"/>
        </w:rPr>
        <w:t>.</w:t>
      </w:r>
    </w:p>
    <w:p w14:paraId="6592F345" w14:textId="6F6C5871" w:rsidR="007877C7" w:rsidRPr="007C6F51" w:rsidRDefault="007877C7" w:rsidP="00AC14FC">
      <w:pPr>
        <w:spacing w:before="180" w:after="180"/>
        <w:rPr>
          <w:rFonts w:asciiTheme="minorHAnsi" w:eastAsia="Cambria" w:hAnsiTheme="minorHAnsi"/>
          <w:lang w:val="en-GB"/>
        </w:rPr>
      </w:pPr>
      <w:proofErr w:type="spellStart"/>
      <w:r w:rsidRPr="007C6F51">
        <w:rPr>
          <w:rFonts w:asciiTheme="minorHAnsi" w:eastAsia="Cambria" w:hAnsiTheme="minorHAnsi"/>
          <w:lang w:val="en-GB"/>
        </w:rPr>
        <w:t>Caldiera</w:t>
      </w:r>
      <w:proofErr w:type="spellEnd"/>
      <w:r w:rsidRPr="007C6F51">
        <w:rPr>
          <w:rFonts w:asciiTheme="minorHAnsi" w:eastAsia="Cambria" w:hAnsiTheme="minorHAnsi"/>
          <w:lang w:val="en-GB"/>
        </w:rPr>
        <w:t xml:space="preserve"> and Rau (2000) estimate that up to 1.5 moles of carbonate dissolution is required for a mole of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permanently sequestered so we apply this</w:t>
      </w:r>
      <w:r w:rsidRPr="007C6F51">
        <w:rPr>
          <w:rFonts w:asciiTheme="minorHAnsi" w:eastAsia="Cambria" w:hAnsiTheme="minorHAnsi"/>
          <w:vertAlign w:val="superscript"/>
          <w:lang w:val="en-GB"/>
        </w:rPr>
        <w:t xml:space="preserve"> </w:t>
      </w:r>
      <w:r w:rsidRPr="007C6F51">
        <w:rPr>
          <w:rFonts w:asciiTheme="minorHAnsi" w:eastAsia="Cambria" w:hAnsiTheme="minorHAnsi"/>
          <w:lang w:val="en-GB"/>
        </w:rPr>
        <w:t>conversion factor to the calculations presented below to determin</w:t>
      </w:r>
      <w:r w:rsidR="007B69E7" w:rsidRPr="007C6F51">
        <w:rPr>
          <w:rFonts w:asciiTheme="minorHAnsi" w:eastAsia="Cambria" w:hAnsiTheme="minorHAnsi"/>
          <w:lang w:val="en-GB"/>
        </w:rPr>
        <w:t>e</w:t>
      </w:r>
      <w:r w:rsidRPr="007C6F51">
        <w:rPr>
          <w:rFonts w:asciiTheme="minorHAnsi" w:eastAsia="Cambria" w:hAnsiTheme="minorHAnsi"/>
          <w:lang w:val="en-GB"/>
        </w:rPr>
        <w:t xml:space="preserve"> the net </w:t>
      </w:r>
      <w:r w:rsidR="00A76F2E" w:rsidRPr="007C6F51">
        <w:rPr>
          <w:rFonts w:asciiTheme="minorHAnsi" w:eastAsia="Cambria" w:hAnsiTheme="minorHAnsi"/>
          <w:lang w:val="en-GB"/>
        </w:rPr>
        <w:t>CO</w:t>
      </w:r>
      <w:r w:rsidR="00A76F2E" w:rsidRPr="007C6F51">
        <w:rPr>
          <w:rFonts w:asciiTheme="minorHAnsi" w:eastAsia="Cambria" w:hAnsiTheme="minorHAnsi"/>
          <w:vertAlign w:val="subscript"/>
          <w:lang w:val="en-GB"/>
        </w:rPr>
        <w:t>2</w:t>
      </w:r>
      <w:r w:rsidR="00A76F2E" w:rsidRPr="007C6F51">
        <w:rPr>
          <w:rFonts w:asciiTheme="minorHAnsi" w:eastAsia="Cambria" w:hAnsiTheme="minorHAnsi"/>
          <w:lang w:val="en-GB"/>
        </w:rPr>
        <w:t xml:space="preserve"> effect in Table 1 of the main manuscript.</w:t>
      </w:r>
    </w:p>
    <w:p w14:paraId="4FC748FA" w14:textId="730AF988" w:rsidR="00524579" w:rsidRPr="007C6F51" w:rsidRDefault="00524579" w:rsidP="00AC14FC">
      <w:pPr>
        <w:spacing w:before="180" w:after="180"/>
        <w:rPr>
          <w:rFonts w:asciiTheme="minorHAnsi" w:eastAsia="Cambria" w:hAnsiTheme="minorHAnsi"/>
          <w:lang w:val="en-GB"/>
        </w:rPr>
      </w:pPr>
    </w:p>
    <w:p w14:paraId="5C149B7D" w14:textId="2BA2DA70" w:rsidR="003B602A" w:rsidRPr="007C6F51" w:rsidRDefault="003B602A">
      <w:pPr>
        <w:rPr>
          <w:rFonts w:asciiTheme="minorHAnsi" w:eastAsia="Cambria" w:hAnsiTheme="minorHAnsi"/>
          <w:b/>
          <w:bCs/>
          <w:lang w:val="en-GB"/>
        </w:rPr>
      </w:pPr>
      <w:r w:rsidRPr="007C6F51">
        <w:rPr>
          <w:rFonts w:asciiTheme="minorHAnsi" w:eastAsia="Cambria" w:hAnsiTheme="minorHAnsi"/>
          <w:b/>
          <w:bCs/>
          <w:lang w:val="en-GB"/>
        </w:rPr>
        <w:t>Coral reefs</w:t>
      </w:r>
    </w:p>
    <w:p w14:paraId="42CDE8B5" w14:textId="54898DB9" w:rsidR="004378BC" w:rsidRPr="007C6F51" w:rsidRDefault="00973424">
      <w:pPr>
        <w:rPr>
          <w:rFonts w:asciiTheme="minorHAnsi" w:eastAsia="Cambria" w:hAnsiTheme="minorHAnsi"/>
          <w:lang w:val="en-GB"/>
        </w:rPr>
      </w:pPr>
      <w:r w:rsidRPr="007C6F51">
        <w:rPr>
          <w:rFonts w:asciiTheme="minorHAnsi" w:eastAsia="Cambria" w:hAnsiTheme="minorHAnsi"/>
          <w:lang w:val="en-GB"/>
        </w:rPr>
        <w:t>Coral reefs occupy 284,300 to 600,000 km</w:t>
      </w:r>
      <w:r w:rsidRPr="007C6F51">
        <w:rPr>
          <w:rFonts w:asciiTheme="minorHAnsi" w:eastAsia="Cambria" w:hAnsiTheme="minorHAnsi"/>
          <w:vertAlign w:val="superscript"/>
          <w:lang w:val="en-GB"/>
        </w:rPr>
        <w:t>2</w:t>
      </w:r>
      <w:r w:rsidRPr="007C6F51">
        <w:rPr>
          <w:rFonts w:asciiTheme="minorHAnsi" w:eastAsia="Cambria" w:hAnsiTheme="minorHAnsi"/>
          <w:lang w:val="en-GB"/>
        </w:rPr>
        <w:t xml:space="preserve"> of the World’s oceans (Spalding et al., 2001), and</w:t>
      </w:r>
      <w:r w:rsidR="00A2717E" w:rsidRPr="007C6F51">
        <w:rPr>
          <w:rFonts w:asciiTheme="minorHAnsi" w:eastAsia="Cambria" w:hAnsiTheme="minorHAnsi"/>
          <w:lang w:val="en-GB"/>
        </w:rPr>
        <w:t xml:space="preserve"> even</w:t>
      </w:r>
      <w:r w:rsidRPr="007C6F51">
        <w:rPr>
          <w:rFonts w:asciiTheme="minorHAnsi" w:eastAsia="Cambria" w:hAnsiTheme="minorHAnsi"/>
          <w:lang w:val="en-GB"/>
        </w:rPr>
        <w:t xml:space="preserve"> under </w:t>
      </w:r>
      <w:r w:rsidR="00A2717E" w:rsidRPr="007C6F51">
        <w:rPr>
          <w:rFonts w:asciiTheme="minorHAnsi" w:eastAsia="Cambria" w:hAnsiTheme="minorHAnsi"/>
          <w:lang w:val="en-GB"/>
        </w:rPr>
        <w:t xml:space="preserve">more optimistic </w:t>
      </w:r>
      <w:r w:rsidRPr="007C6F51">
        <w:rPr>
          <w:rFonts w:asciiTheme="minorHAnsi" w:eastAsia="Cambria" w:hAnsiTheme="minorHAnsi"/>
          <w:lang w:val="en-GB"/>
        </w:rPr>
        <w:t xml:space="preserve">scenarios for </w:t>
      </w:r>
      <w:r w:rsidR="00A2717E" w:rsidRPr="007C6F51">
        <w:rPr>
          <w:rFonts w:asciiTheme="minorHAnsi" w:eastAsia="Cambria" w:hAnsiTheme="minorHAnsi"/>
          <w:lang w:val="en-GB"/>
        </w:rPr>
        <w:t>CO</w:t>
      </w:r>
      <w:r w:rsidR="00A2717E" w:rsidRPr="007C6F51">
        <w:rPr>
          <w:rFonts w:asciiTheme="minorHAnsi" w:eastAsia="Cambria" w:hAnsiTheme="minorHAnsi"/>
          <w:vertAlign w:val="subscript"/>
          <w:lang w:val="en-GB"/>
        </w:rPr>
        <w:t>2</w:t>
      </w:r>
      <w:r w:rsidR="00A2717E" w:rsidRPr="007C6F51">
        <w:rPr>
          <w:rFonts w:asciiTheme="minorHAnsi" w:eastAsia="Cambria" w:hAnsiTheme="minorHAnsi"/>
          <w:lang w:val="en-GB"/>
        </w:rPr>
        <w:t xml:space="preserve"> emissions</w:t>
      </w:r>
      <w:r w:rsidRPr="007C6F51">
        <w:rPr>
          <w:rFonts w:asciiTheme="minorHAnsi" w:eastAsia="Cambria" w:hAnsiTheme="minorHAnsi"/>
          <w:lang w:val="en-GB"/>
        </w:rPr>
        <w:t xml:space="preserve"> are critically threatened (</w:t>
      </w:r>
      <w:r w:rsidR="003973B1" w:rsidRPr="007C6F51">
        <w:rPr>
          <w:rFonts w:asciiTheme="minorHAnsi" w:eastAsia="Cambria" w:hAnsiTheme="minorHAnsi"/>
          <w:lang w:val="en-GB"/>
        </w:rPr>
        <w:t>e.g.</w:t>
      </w:r>
      <w:r w:rsidR="007B69E7" w:rsidRPr="007C6F51">
        <w:rPr>
          <w:rFonts w:asciiTheme="minorHAnsi" w:eastAsia="Cambria" w:hAnsiTheme="minorHAnsi"/>
          <w:lang w:val="en-GB"/>
        </w:rPr>
        <w:t>,</w:t>
      </w:r>
      <w:r w:rsidR="003973B1" w:rsidRPr="007C6F51">
        <w:rPr>
          <w:rFonts w:asciiTheme="minorHAnsi" w:eastAsia="Cambria" w:hAnsiTheme="minorHAnsi"/>
          <w:lang w:val="en-GB"/>
        </w:rPr>
        <w:t xml:space="preserve"> </w:t>
      </w:r>
      <w:r w:rsidRPr="007C6F51">
        <w:rPr>
          <w:rFonts w:asciiTheme="minorHAnsi" w:eastAsia="Cambria" w:hAnsiTheme="minorHAnsi"/>
          <w:lang w:val="en-GB"/>
        </w:rPr>
        <w:t xml:space="preserve">Silverman et al., 2009; </w:t>
      </w:r>
      <w:proofErr w:type="spellStart"/>
      <w:r w:rsidR="003973B1" w:rsidRPr="007C6F51">
        <w:rPr>
          <w:rFonts w:asciiTheme="minorHAnsi" w:eastAsia="Cambria" w:hAnsiTheme="minorHAnsi"/>
          <w:lang w:val="en-GB"/>
        </w:rPr>
        <w:t>Hoegh</w:t>
      </w:r>
      <w:proofErr w:type="spellEnd"/>
      <w:r w:rsidR="003973B1" w:rsidRPr="007C6F51">
        <w:rPr>
          <w:rFonts w:asciiTheme="minorHAnsi" w:eastAsia="Cambria" w:hAnsiTheme="minorHAnsi"/>
          <w:lang w:val="en-GB"/>
        </w:rPr>
        <w:t>-Guldberg et al., 2017</w:t>
      </w:r>
      <w:r w:rsidRPr="007C6F51">
        <w:rPr>
          <w:rFonts w:asciiTheme="minorHAnsi" w:eastAsia="Cambria" w:hAnsiTheme="minorHAnsi"/>
          <w:lang w:val="en-GB"/>
        </w:rPr>
        <w:t>)</w:t>
      </w:r>
      <w:r w:rsidR="000E0CC1" w:rsidRPr="007C6F51">
        <w:rPr>
          <w:rFonts w:asciiTheme="minorHAnsi" w:eastAsia="Cambria" w:hAnsiTheme="minorHAnsi"/>
          <w:lang w:val="en-GB"/>
        </w:rPr>
        <w:t>, although it is unclear to what extent or at what atmospheric CO</w:t>
      </w:r>
      <w:r w:rsidR="000E0CC1" w:rsidRPr="007C6F51">
        <w:rPr>
          <w:rFonts w:asciiTheme="minorHAnsi" w:eastAsia="Cambria" w:hAnsiTheme="minorHAnsi"/>
          <w:vertAlign w:val="subscript"/>
          <w:lang w:val="en-GB"/>
        </w:rPr>
        <w:t>2</w:t>
      </w:r>
      <w:r w:rsidR="000E0CC1" w:rsidRPr="007C6F51">
        <w:rPr>
          <w:rFonts w:asciiTheme="minorHAnsi" w:eastAsia="Cambria" w:hAnsiTheme="minorHAnsi"/>
          <w:lang w:val="en-GB"/>
        </w:rPr>
        <w:t xml:space="preserve"> concentration significant impacts on coral calcification will occur (e.g.</w:t>
      </w:r>
      <w:r w:rsidR="007B69E7" w:rsidRPr="007C6F51">
        <w:rPr>
          <w:rFonts w:asciiTheme="minorHAnsi" w:eastAsia="Cambria" w:hAnsiTheme="minorHAnsi"/>
          <w:lang w:val="en-GB"/>
        </w:rPr>
        <w:t>,</w:t>
      </w:r>
      <w:r w:rsidR="000E0CC1" w:rsidRPr="007C6F51">
        <w:rPr>
          <w:rFonts w:asciiTheme="minorHAnsi" w:eastAsia="Cambria" w:hAnsiTheme="minorHAnsi"/>
          <w:lang w:val="en-GB"/>
        </w:rPr>
        <w:t xml:space="preserve"> </w:t>
      </w:r>
      <w:proofErr w:type="spellStart"/>
      <w:r w:rsidR="000E0CC1" w:rsidRPr="007C6F51">
        <w:rPr>
          <w:rFonts w:asciiTheme="minorHAnsi" w:eastAsia="Cambria" w:hAnsiTheme="minorHAnsi"/>
          <w:lang w:val="en-GB"/>
        </w:rPr>
        <w:t>Pandolfi</w:t>
      </w:r>
      <w:proofErr w:type="spellEnd"/>
      <w:r w:rsidR="000E0CC1" w:rsidRPr="007C6F51">
        <w:rPr>
          <w:rFonts w:asciiTheme="minorHAnsi" w:eastAsia="Cambria" w:hAnsiTheme="minorHAnsi"/>
          <w:lang w:val="en-GB"/>
        </w:rPr>
        <w:t xml:space="preserve"> et al., </w:t>
      </w:r>
      <w:r w:rsidR="00AD1DDF" w:rsidRPr="007C6F51">
        <w:rPr>
          <w:rFonts w:asciiTheme="minorHAnsi" w:eastAsia="Cambria" w:hAnsiTheme="minorHAnsi"/>
          <w:lang w:val="en-GB"/>
        </w:rPr>
        <w:t>2011</w:t>
      </w:r>
      <w:r w:rsidR="000E0CC1" w:rsidRPr="007C6F51">
        <w:rPr>
          <w:rFonts w:asciiTheme="minorHAnsi" w:eastAsia="Cambria" w:hAnsiTheme="minorHAnsi"/>
          <w:lang w:val="en-GB"/>
        </w:rPr>
        <w:t>)</w:t>
      </w:r>
      <w:r w:rsidRPr="007C6F51">
        <w:rPr>
          <w:rFonts w:asciiTheme="minorHAnsi" w:eastAsia="Cambria" w:hAnsiTheme="minorHAnsi"/>
          <w:lang w:val="en-GB"/>
        </w:rPr>
        <w:t xml:space="preserve">. </w:t>
      </w:r>
      <w:r w:rsidR="003D696D" w:rsidRPr="007C6F51">
        <w:rPr>
          <w:rFonts w:asciiTheme="minorHAnsi" w:eastAsia="Cambria" w:hAnsiTheme="minorHAnsi"/>
          <w:lang w:val="en-GB"/>
        </w:rPr>
        <w:t>Silverman et al., (2009) predict that coral reefs will become net sinks for CO</w:t>
      </w:r>
      <w:r w:rsidR="003D696D" w:rsidRPr="007C6F51">
        <w:rPr>
          <w:rFonts w:asciiTheme="minorHAnsi" w:eastAsia="Cambria" w:hAnsiTheme="minorHAnsi"/>
          <w:vertAlign w:val="subscript"/>
          <w:lang w:val="en-GB"/>
        </w:rPr>
        <w:t>2</w:t>
      </w:r>
      <w:r w:rsidR="003D696D" w:rsidRPr="007C6F51">
        <w:rPr>
          <w:rFonts w:asciiTheme="minorHAnsi" w:eastAsia="Cambria" w:hAnsiTheme="minorHAnsi"/>
          <w:lang w:val="en-GB"/>
        </w:rPr>
        <w:t xml:space="preserve"> (i.e.</w:t>
      </w:r>
      <w:r w:rsidR="007B69E7" w:rsidRPr="007C6F51">
        <w:rPr>
          <w:rFonts w:asciiTheme="minorHAnsi" w:eastAsia="Cambria" w:hAnsiTheme="minorHAnsi"/>
          <w:lang w:val="en-GB"/>
        </w:rPr>
        <w:t>,</w:t>
      </w:r>
      <w:r w:rsidR="003D696D" w:rsidRPr="007C6F51">
        <w:rPr>
          <w:rFonts w:asciiTheme="minorHAnsi" w:eastAsia="Cambria" w:hAnsiTheme="minorHAnsi"/>
          <w:lang w:val="en-GB"/>
        </w:rPr>
        <w:t xml:space="preserve"> net dissolution of calcium carbonate) at around </w:t>
      </w:r>
      <w:r w:rsidR="00506E1F" w:rsidRPr="007C6F51">
        <w:rPr>
          <w:rFonts w:asciiTheme="minorHAnsi" w:eastAsia="Cambria" w:hAnsiTheme="minorHAnsi"/>
          <w:lang w:val="en-GB"/>
        </w:rPr>
        <w:t>700</w:t>
      </w:r>
      <w:r w:rsidR="007B69E7" w:rsidRPr="007C6F51">
        <w:rPr>
          <w:rFonts w:asciiTheme="minorHAnsi" w:eastAsia="Cambria" w:hAnsiTheme="minorHAnsi"/>
          <w:lang w:val="en-GB"/>
        </w:rPr>
        <w:t xml:space="preserve"> </w:t>
      </w:r>
      <w:r w:rsidR="00506E1F" w:rsidRPr="007C6F51">
        <w:rPr>
          <w:rFonts w:asciiTheme="minorHAnsi" w:eastAsia="Cambria" w:hAnsiTheme="minorHAnsi"/>
          <w:lang w:val="en-GB"/>
        </w:rPr>
        <w:t>ppm of atmospheric CO</w:t>
      </w:r>
      <w:r w:rsidR="00506E1F" w:rsidRPr="007C6F51">
        <w:rPr>
          <w:rFonts w:asciiTheme="minorHAnsi" w:eastAsia="Cambria" w:hAnsiTheme="minorHAnsi"/>
          <w:vertAlign w:val="subscript"/>
          <w:lang w:val="en-GB"/>
        </w:rPr>
        <w:t>2</w:t>
      </w:r>
      <w:r w:rsidR="00506E1F" w:rsidRPr="007C6F51">
        <w:rPr>
          <w:rFonts w:asciiTheme="minorHAnsi" w:eastAsia="Cambria" w:hAnsiTheme="minorHAnsi"/>
          <w:lang w:val="en-GB"/>
        </w:rPr>
        <w:t xml:space="preserve"> but conclude that the impact on the global carbon cycle would be small (</w:t>
      </w:r>
      <w:r w:rsidR="003121E6" w:rsidRPr="007C6F51">
        <w:rPr>
          <w:rFonts w:asciiTheme="minorHAnsi" w:eastAsia="Cambria" w:hAnsiTheme="minorHAnsi"/>
          <w:lang w:val="en-GB"/>
        </w:rPr>
        <w:t>0.017 Pg C yr</w:t>
      </w:r>
      <w:r w:rsidR="003121E6" w:rsidRPr="007C6F51">
        <w:rPr>
          <w:rFonts w:asciiTheme="minorHAnsi" w:eastAsia="Cambria" w:hAnsiTheme="minorHAnsi"/>
          <w:vertAlign w:val="superscript"/>
          <w:lang w:val="en-GB"/>
        </w:rPr>
        <w:t>-1</w:t>
      </w:r>
      <w:r w:rsidR="003121E6" w:rsidRPr="007C6F51">
        <w:rPr>
          <w:rFonts w:asciiTheme="minorHAnsi" w:eastAsia="Cambria" w:hAnsiTheme="minorHAnsi"/>
          <w:lang w:val="en-GB"/>
        </w:rPr>
        <w:t>) which equates to 1.34 Pg C by 2100</w:t>
      </w:r>
      <w:r w:rsidR="00F976D6" w:rsidRPr="007C6F51">
        <w:rPr>
          <w:rFonts w:asciiTheme="minorHAnsi" w:eastAsia="Cambria" w:hAnsiTheme="minorHAnsi"/>
          <w:lang w:val="en-GB"/>
        </w:rPr>
        <w:t xml:space="preserve"> (4.9 Pg CO</w:t>
      </w:r>
      <w:r w:rsidR="00F976D6" w:rsidRPr="007C6F51">
        <w:rPr>
          <w:rFonts w:asciiTheme="minorHAnsi" w:eastAsia="Cambria" w:hAnsiTheme="minorHAnsi"/>
          <w:vertAlign w:val="subscript"/>
          <w:lang w:val="en-GB"/>
        </w:rPr>
        <w:t>2</w:t>
      </w:r>
      <w:r w:rsidR="00F976D6" w:rsidRPr="007C6F51">
        <w:rPr>
          <w:rFonts w:asciiTheme="minorHAnsi" w:eastAsia="Cambria" w:hAnsiTheme="minorHAnsi"/>
          <w:lang w:val="en-GB"/>
        </w:rPr>
        <w:t>)</w:t>
      </w:r>
      <w:r w:rsidR="003121E6" w:rsidRPr="007C6F51">
        <w:rPr>
          <w:rFonts w:asciiTheme="minorHAnsi" w:eastAsia="Cambria" w:hAnsiTheme="minorHAnsi"/>
          <w:lang w:val="en-GB"/>
        </w:rPr>
        <w:t xml:space="preserve">. </w:t>
      </w:r>
      <w:r w:rsidR="00F976D6" w:rsidRPr="007C6F51">
        <w:rPr>
          <w:rFonts w:asciiTheme="minorHAnsi" w:eastAsia="Cambria" w:hAnsiTheme="minorHAnsi"/>
          <w:lang w:val="en-GB"/>
        </w:rPr>
        <w:t>This is our lower estimate.</w:t>
      </w:r>
    </w:p>
    <w:p w14:paraId="5AEBFE6F" w14:textId="2A406223" w:rsidR="0032716B" w:rsidRPr="007C6F51" w:rsidRDefault="00F70427" w:rsidP="0032716B">
      <w:pPr>
        <w:spacing w:before="180" w:after="180"/>
        <w:rPr>
          <w:rFonts w:asciiTheme="minorHAnsi" w:eastAsia="Cambria" w:hAnsiTheme="minorHAnsi"/>
          <w:lang w:val="en-GB"/>
        </w:rPr>
      </w:pPr>
      <w:r w:rsidRPr="007C6F51">
        <w:rPr>
          <w:rFonts w:asciiTheme="minorHAnsi" w:eastAsia="Cambria" w:hAnsiTheme="minorHAnsi"/>
          <w:lang w:val="en-GB"/>
        </w:rPr>
        <w:t xml:space="preserve">Davis et al. (2021) </w:t>
      </w:r>
      <w:proofErr w:type="gramStart"/>
      <w:r w:rsidRPr="007C6F51">
        <w:rPr>
          <w:rFonts w:asciiTheme="minorHAnsi" w:eastAsia="Cambria" w:hAnsiTheme="minorHAnsi"/>
          <w:lang w:val="en-GB"/>
        </w:rPr>
        <w:t>predict</w:t>
      </w:r>
      <w:proofErr w:type="gramEnd"/>
      <w:r w:rsidRPr="007C6F51">
        <w:rPr>
          <w:rFonts w:asciiTheme="minorHAnsi" w:eastAsia="Cambria" w:hAnsiTheme="minorHAnsi"/>
          <w:lang w:val="en-GB"/>
        </w:rPr>
        <w:t xml:space="preserve"> a shift in coral ecosystems from net calcification to net dissolution mid-century (2054).</w:t>
      </w:r>
      <w:r w:rsidR="00C42644" w:rsidRPr="007C6F51">
        <w:rPr>
          <w:rFonts w:asciiTheme="minorHAnsi" w:eastAsia="Cambria" w:hAnsiTheme="minorHAnsi"/>
          <w:lang w:val="en-GB"/>
        </w:rPr>
        <w:t xml:space="preserve"> Currently, </w:t>
      </w:r>
      <w:r w:rsidR="004378BC" w:rsidRPr="007C6F51">
        <w:rPr>
          <w:rFonts w:asciiTheme="minorHAnsi" w:eastAsia="Cambria" w:hAnsiTheme="minorHAnsi"/>
          <w:lang w:val="en-GB"/>
        </w:rPr>
        <w:t xml:space="preserve">global </w:t>
      </w:r>
      <w:r w:rsidR="00C42644" w:rsidRPr="007C6F51">
        <w:rPr>
          <w:rFonts w:asciiTheme="minorHAnsi" w:eastAsia="Cambria" w:hAnsiTheme="minorHAnsi"/>
          <w:lang w:val="en-GB"/>
        </w:rPr>
        <w:t xml:space="preserve">net calcification rates averaged over their </w:t>
      </w:r>
      <w:r w:rsidR="00C42644" w:rsidRPr="007C6F51">
        <w:rPr>
          <w:rFonts w:asciiTheme="minorHAnsi" w:eastAsia="Cambria" w:hAnsiTheme="minorHAnsi"/>
          <w:lang w:val="en-GB"/>
        </w:rPr>
        <w:lastRenderedPageBreak/>
        <w:t>study are of the order of 100 mmol (CaCO</w:t>
      </w:r>
      <w:r w:rsidR="00C42644" w:rsidRPr="007C6F51">
        <w:rPr>
          <w:rFonts w:asciiTheme="minorHAnsi" w:eastAsia="Cambria" w:hAnsiTheme="minorHAnsi"/>
          <w:vertAlign w:val="subscript"/>
          <w:lang w:val="en-GB"/>
        </w:rPr>
        <w:t>3</w:t>
      </w:r>
      <w:r w:rsidR="00C42644" w:rsidRPr="007C6F51">
        <w:rPr>
          <w:rFonts w:asciiTheme="minorHAnsi" w:eastAsia="Cambria" w:hAnsiTheme="minorHAnsi"/>
          <w:lang w:val="en-GB"/>
        </w:rPr>
        <w:t>) m</w:t>
      </w:r>
      <w:r w:rsidR="00C42644" w:rsidRPr="007C6F51">
        <w:rPr>
          <w:rFonts w:asciiTheme="minorHAnsi" w:eastAsia="Cambria" w:hAnsiTheme="minorHAnsi"/>
          <w:vertAlign w:val="superscript"/>
          <w:lang w:val="en-GB"/>
        </w:rPr>
        <w:t>2</w:t>
      </w:r>
      <w:r w:rsidR="00C42644" w:rsidRPr="007C6F51">
        <w:rPr>
          <w:rFonts w:asciiTheme="minorHAnsi" w:eastAsia="Cambria" w:hAnsiTheme="minorHAnsi"/>
          <w:lang w:val="en-GB"/>
        </w:rPr>
        <w:t xml:space="preserve"> d</w:t>
      </w:r>
      <w:r w:rsidR="00C42644" w:rsidRPr="007C6F51">
        <w:rPr>
          <w:rFonts w:asciiTheme="minorHAnsi" w:eastAsia="Cambria" w:hAnsiTheme="minorHAnsi"/>
          <w:vertAlign w:val="superscript"/>
          <w:lang w:val="en-GB"/>
        </w:rPr>
        <w:t>-1</w:t>
      </w:r>
      <w:r w:rsidR="00551FC3" w:rsidRPr="007C6F51">
        <w:rPr>
          <w:rFonts w:asciiTheme="minorHAnsi" w:eastAsia="Cambria" w:hAnsiTheme="minorHAnsi"/>
          <w:lang w:val="en-GB"/>
        </w:rPr>
        <w:t xml:space="preserve">, </w:t>
      </w:r>
      <w:r w:rsidR="00396F83" w:rsidRPr="007C6F51">
        <w:rPr>
          <w:rFonts w:asciiTheme="minorHAnsi" w:eastAsia="Cambria" w:hAnsiTheme="minorHAnsi"/>
          <w:lang w:val="en-GB"/>
        </w:rPr>
        <w:t>which over 6</w:t>
      </w:r>
      <w:r w:rsidR="007B69E7" w:rsidRPr="007C6F51">
        <w:rPr>
          <w:rFonts w:asciiTheme="minorHAnsi" w:eastAsia="Cambria" w:hAnsiTheme="minorHAnsi"/>
          <w:lang w:val="en-GB"/>
        </w:rPr>
        <w:t xml:space="preserve"> </w:t>
      </w:r>
      <w:r w:rsidR="00691B26" w:rsidRPr="007C6F51">
        <w:rPr>
          <w:rFonts w:asciiTheme="minorHAnsi" w:eastAsia="Cambria" w:hAnsiTheme="minorHAnsi"/>
          <w:lang w:val="en-GB"/>
        </w:rPr>
        <w:t>x</w:t>
      </w:r>
      <w:r w:rsidR="007B69E7" w:rsidRPr="007C6F51">
        <w:rPr>
          <w:rFonts w:asciiTheme="minorHAnsi" w:eastAsia="Cambria" w:hAnsiTheme="minorHAnsi"/>
          <w:lang w:val="en-GB"/>
        </w:rPr>
        <w:t xml:space="preserve"> </w:t>
      </w:r>
      <w:r w:rsidR="00691B26" w:rsidRPr="007C6F51">
        <w:rPr>
          <w:rFonts w:asciiTheme="minorHAnsi" w:eastAsia="Cambria" w:hAnsiTheme="minorHAnsi"/>
          <w:lang w:val="en-GB"/>
        </w:rPr>
        <w:t>10</w:t>
      </w:r>
      <w:r w:rsidR="00691B26" w:rsidRPr="007C6F51">
        <w:rPr>
          <w:rFonts w:asciiTheme="minorHAnsi" w:eastAsia="Cambria" w:hAnsiTheme="minorHAnsi"/>
          <w:vertAlign w:val="superscript"/>
          <w:lang w:val="en-GB"/>
        </w:rPr>
        <w:t>11</w:t>
      </w:r>
      <w:r w:rsidR="00691B26" w:rsidRPr="007C6F51">
        <w:rPr>
          <w:rFonts w:asciiTheme="minorHAnsi" w:eastAsia="Cambria" w:hAnsiTheme="minorHAnsi"/>
          <w:lang w:val="en-GB"/>
        </w:rPr>
        <w:t xml:space="preserve"> m</w:t>
      </w:r>
      <w:r w:rsidR="00691B26" w:rsidRPr="007C6F51">
        <w:rPr>
          <w:rFonts w:asciiTheme="minorHAnsi" w:eastAsia="Cambria" w:hAnsiTheme="minorHAnsi"/>
          <w:vertAlign w:val="superscript"/>
          <w:lang w:val="en-GB"/>
        </w:rPr>
        <w:t>2</w:t>
      </w:r>
      <w:r w:rsidR="00691B26" w:rsidRPr="007C6F51">
        <w:rPr>
          <w:rFonts w:asciiTheme="minorHAnsi" w:eastAsia="Cambria" w:hAnsiTheme="minorHAnsi"/>
          <w:lang w:val="en-GB"/>
        </w:rPr>
        <w:t xml:space="preserve"> equates to </w:t>
      </w:r>
      <w:r w:rsidR="0032716B" w:rsidRPr="007C6F51">
        <w:rPr>
          <w:rFonts w:asciiTheme="minorHAnsi" w:eastAsia="Cambria" w:hAnsiTheme="minorHAnsi"/>
          <w:lang w:val="en-GB"/>
        </w:rPr>
        <w:t>2.2</w:t>
      </w:r>
      <w:r w:rsidR="007B69E7" w:rsidRPr="007C6F51">
        <w:rPr>
          <w:rFonts w:asciiTheme="minorHAnsi" w:eastAsia="Cambria" w:hAnsiTheme="minorHAnsi"/>
          <w:lang w:val="en-GB"/>
        </w:rPr>
        <w:t xml:space="preserve"> </w:t>
      </w:r>
      <w:r w:rsidR="0032716B" w:rsidRPr="007C6F51">
        <w:rPr>
          <w:rFonts w:asciiTheme="minorHAnsi" w:eastAsia="Cambria" w:hAnsiTheme="minorHAnsi"/>
          <w:lang w:val="en-GB"/>
        </w:rPr>
        <w:t>x</w:t>
      </w:r>
      <w:r w:rsidR="007B69E7" w:rsidRPr="007C6F51">
        <w:rPr>
          <w:rFonts w:asciiTheme="minorHAnsi" w:eastAsia="Cambria" w:hAnsiTheme="minorHAnsi"/>
          <w:lang w:val="en-GB"/>
        </w:rPr>
        <w:t xml:space="preserve"> </w:t>
      </w:r>
      <w:r w:rsidR="0032716B" w:rsidRPr="007C6F51">
        <w:rPr>
          <w:rFonts w:asciiTheme="minorHAnsi" w:eastAsia="Cambria" w:hAnsiTheme="minorHAnsi"/>
          <w:lang w:val="en-GB"/>
        </w:rPr>
        <w:t>10</w:t>
      </w:r>
      <w:r w:rsidR="0032716B" w:rsidRPr="007C6F51">
        <w:rPr>
          <w:rFonts w:asciiTheme="minorHAnsi" w:eastAsia="Cambria" w:hAnsiTheme="minorHAnsi"/>
          <w:vertAlign w:val="superscript"/>
          <w:lang w:val="en-GB"/>
        </w:rPr>
        <w:t>13</w:t>
      </w:r>
      <w:r w:rsidR="0032716B" w:rsidRPr="007C6F51">
        <w:rPr>
          <w:rFonts w:asciiTheme="minorHAnsi" w:eastAsia="Cambria" w:hAnsiTheme="minorHAnsi"/>
          <w:lang w:val="en-GB"/>
        </w:rPr>
        <w:t xml:space="preserve"> moles CaCO</w:t>
      </w:r>
      <w:r w:rsidR="0032716B" w:rsidRPr="007C6F51">
        <w:rPr>
          <w:rFonts w:asciiTheme="minorHAnsi" w:eastAsia="Cambria" w:hAnsiTheme="minorHAnsi"/>
          <w:vertAlign w:val="subscript"/>
          <w:lang w:val="en-GB"/>
        </w:rPr>
        <w:t>3</w:t>
      </w:r>
      <w:r w:rsidR="0032716B" w:rsidRPr="007C6F51">
        <w:rPr>
          <w:rFonts w:asciiTheme="minorHAnsi" w:eastAsia="Cambria" w:hAnsiTheme="minorHAnsi"/>
          <w:lang w:val="en-GB"/>
        </w:rPr>
        <w:t xml:space="preserve"> yr</w:t>
      </w:r>
      <w:r w:rsidR="0032716B" w:rsidRPr="007C6F51">
        <w:rPr>
          <w:rFonts w:asciiTheme="minorHAnsi" w:eastAsia="Cambria" w:hAnsiTheme="minorHAnsi"/>
          <w:vertAlign w:val="superscript"/>
          <w:lang w:val="en-GB"/>
        </w:rPr>
        <w:t>-1</w:t>
      </w:r>
      <w:r w:rsidR="00B85027" w:rsidRPr="007C6F51">
        <w:rPr>
          <w:rFonts w:asciiTheme="minorHAnsi" w:eastAsia="Cambria" w:hAnsiTheme="minorHAnsi"/>
          <w:lang w:val="en-GB"/>
        </w:rPr>
        <w:t>, equating t</w:t>
      </w:r>
      <w:r w:rsidR="00D34F59" w:rsidRPr="007C6F51">
        <w:rPr>
          <w:rFonts w:asciiTheme="minorHAnsi" w:eastAsia="Cambria" w:hAnsiTheme="minorHAnsi"/>
          <w:lang w:val="en-GB"/>
        </w:rPr>
        <w:t>o</w:t>
      </w:r>
      <w:r w:rsidR="00B85027" w:rsidRPr="007C6F51">
        <w:rPr>
          <w:rFonts w:asciiTheme="minorHAnsi" w:eastAsia="Cambria" w:hAnsiTheme="minorHAnsi"/>
          <w:lang w:val="en-GB"/>
        </w:rPr>
        <w:t xml:space="preserve"> </w:t>
      </w:r>
      <w:r w:rsidR="00271E90" w:rsidRPr="007C6F51">
        <w:rPr>
          <w:rFonts w:asciiTheme="minorHAnsi" w:eastAsia="Cambria" w:hAnsiTheme="minorHAnsi"/>
          <w:lang w:val="en-GB"/>
        </w:rPr>
        <w:t>0.6</w:t>
      </w:r>
      <w:r w:rsidR="0069016F" w:rsidRPr="007C6F51">
        <w:rPr>
          <w:rFonts w:asciiTheme="minorHAnsi" w:eastAsia="Cambria" w:hAnsiTheme="minorHAnsi"/>
          <w:lang w:val="en-GB"/>
        </w:rPr>
        <w:t>4</w:t>
      </w:r>
      <w:r w:rsidR="00271E90" w:rsidRPr="007C6F51">
        <w:rPr>
          <w:rFonts w:asciiTheme="minorHAnsi" w:eastAsia="Cambria" w:hAnsiTheme="minorHAnsi"/>
          <w:lang w:val="en-GB"/>
        </w:rPr>
        <w:t xml:space="preserve"> Pg CO</w:t>
      </w:r>
      <w:r w:rsidR="00271E90" w:rsidRPr="007C6F51">
        <w:rPr>
          <w:rFonts w:asciiTheme="minorHAnsi" w:eastAsia="Cambria" w:hAnsiTheme="minorHAnsi"/>
          <w:vertAlign w:val="subscript"/>
          <w:lang w:val="en-GB"/>
        </w:rPr>
        <w:t>2</w:t>
      </w:r>
      <w:r w:rsidR="0069016F" w:rsidRPr="007C6F51">
        <w:rPr>
          <w:rFonts w:asciiTheme="minorHAnsi" w:eastAsia="Cambria" w:hAnsiTheme="minorHAnsi"/>
          <w:lang w:val="en-GB"/>
        </w:rPr>
        <w:t xml:space="preserve"> yr</w:t>
      </w:r>
      <w:r w:rsidR="0069016F" w:rsidRPr="007C6F51">
        <w:rPr>
          <w:rFonts w:asciiTheme="minorHAnsi" w:eastAsia="Cambria" w:hAnsiTheme="minorHAnsi"/>
          <w:vertAlign w:val="superscript"/>
          <w:lang w:val="en-GB"/>
        </w:rPr>
        <w:t>-1</w:t>
      </w:r>
      <w:r w:rsidR="0069016F" w:rsidRPr="007C6F51">
        <w:rPr>
          <w:rFonts w:asciiTheme="minorHAnsi" w:eastAsia="Cambria" w:hAnsiTheme="minorHAnsi"/>
          <w:lang w:val="en-GB"/>
        </w:rPr>
        <w:t xml:space="preserve">. Assuming a linear decrease to 2054 and the same rate of change continuing to </w:t>
      </w:r>
      <w:r w:rsidR="00D34F59" w:rsidRPr="007C6F51">
        <w:rPr>
          <w:rFonts w:asciiTheme="minorHAnsi" w:eastAsia="Cambria" w:hAnsiTheme="minorHAnsi"/>
          <w:lang w:val="en-GB"/>
        </w:rPr>
        <w:t>2100 (i.e.</w:t>
      </w:r>
      <w:r w:rsidR="007B69E7" w:rsidRPr="007C6F51">
        <w:rPr>
          <w:rFonts w:asciiTheme="minorHAnsi" w:eastAsia="Cambria" w:hAnsiTheme="minorHAnsi"/>
          <w:lang w:val="en-GB"/>
        </w:rPr>
        <w:t>,</w:t>
      </w:r>
      <w:r w:rsidR="00D34F59" w:rsidRPr="007C6F51">
        <w:rPr>
          <w:rFonts w:asciiTheme="minorHAnsi" w:eastAsia="Cambria" w:hAnsiTheme="minorHAnsi"/>
          <w:lang w:val="en-GB"/>
        </w:rPr>
        <w:t xml:space="preserve"> linear increase in net dissolution) this yields a total </w:t>
      </w:r>
      <w:r w:rsidR="00306CE2" w:rsidRPr="007C6F51">
        <w:rPr>
          <w:rFonts w:asciiTheme="minorHAnsi" w:eastAsia="Cambria" w:hAnsiTheme="minorHAnsi"/>
          <w:lang w:val="en-GB"/>
        </w:rPr>
        <w:t>difference in CO</w:t>
      </w:r>
      <w:r w:rsidR="00306CE2" w:rsidRPr="007C6F51">
        <w:rPr>
          <w:rFonts w:asciiTheme="minorHAnsi" w:eastAsia="Cambria" w:hAnsiTheme="minorHAnsi"/>
          <w:vertAlign w:val="subscript"/>
          <w:lang w:val="en-GB"/>
        </w:rPr>
        <w:t>2</w:t>
      </w:r>
      <w:r w:rsidR="00306CE2" w:rsidRPr="007C6F51">
        <w:rPr>
          <w:rFonts w:asciiTheme="minorHAnsi" w:eastAsia="Cambria" w:hAnsiTheme="minorHAnsi"/>
          <w:lang w:val="en-GB"/>
        </w:rPr>
        <w:t xml:space="preserve"> balance (compared to continued calcification at the current rate) of </w:t>
      </w:r>
      <w:r w:rsidR="00DC77BC" w:rsidRPr="007C6F51">
        <w:rPr>
          <w:rFonts w:asciiTheme="minorHAnsi" w:eastAsia="Cambria" w:hAnsiTheme="minorHAnsi"/>
          <w:lang w:val="en-GB"/>
        </w:rPr>
        <w:t xml:space="preserve">62 </w:t>
      </w:r>
      <w:r w:rsidR="00B14B00" w:rsidRPr="007C6F51">
        <w:rPr>
          <w:rFonts w:asciiTheme="minorHAnsi" w:eastAsia="Cambria" w:hAnsiTheme="minorHAnsi"/>
          <w:lang w:val="en-GB"/>
        </w:rPr>
        <w:t>Pg les</w:t>
      </w:r>
      <w:r w:rsidR="00B46411" w:rsidRPr="007C6F51">
        <w:rPr>
          <w:rFonts w:asciiTheme="minorHAnsi" w:eastAsia="Cambria" w:hAnsiTheme="minorHAnsi"/>
          <w:lang w:val="en-GB"/>
        </w:rPr>
        <w:t>s</w:t>
      </w:r>
      <w:r w:rsidR="00B14B00" w:rsidRPr="007C6F51">
        <w:rPr>
          <w:rFonts w:asciiTheme="minorHAnsi" w:eastAsia="Cambria" w:hAnsiTheme="minorHAnsi"/>
          <w:lang w:val="en-GB"/>
        </w:rPr>
        <w:t xml:space="preserve"> CO</w:t>
      </w:r>
      <w:r w:rsidR="00B14B00" w:rsidRPr="007C6F51">
        <w:rPr>
          <w:rFonts w:asciiTheme="minorHAnsi" w:eastAsia="Cambria" w:hAnsiTheme="minorHAnsi"/>
          <w:lang w:val="en-GB"/>
        </w:rPr>
        <w:softHyphen/>
      </w:r>
      <w:r w:rsidR="00B14B00" w:rsidRPr="007C6F51">
        <w:rPr>
          <w:rFonts w:asciiTheme="minorHAnsi" w:eastAsia="Cambria" w:hAnsiTheme="minorHAnsi"/>
          <w:vertAlign w:val="subscript"/>
          <w:lang w:val="en-GB"/>
        </w:rPr>
        <w:t>2</w:t>
      </w:r>
      <w:r w:rsidR="003D211E" w:rsidRPr="007C6F51">
        <w:rPr>
          <w:rFonts w:asciiTheme="minorHAnsi" w:eastAsia="Cambria" w:hAnsiTheme="minorHAnsi"/>
          <w:vertAlign w:val="subscript"/>
          <w:lang w:val="en-GB"/>
        </w:rPr>
        <w:t xml:space="preserve"> </w:t>
      </w:r>
      <w:r w:rsidR="003E511C" w:rsidRPr="007C6F51">
        <w:rPr>
          <w:rFonts w:asciiTheme="minorHAnsi" w:eastAsia="Cambria" w:hAnsiTheme="minorHAnsi"/>
          <w:lang w:val="en-GB"/>
        </w:rPr>
        <w:t>production</w:t>
      </w:r>
      <w:r w:rsidR="003D211E" w:rsidRPr="007C6F51">
        <w:rPr>
          <w:rFonts w:asciiTheme="minorHAnsi" w:eastAsia="Cambria" w:hAnsiTheme="minorHAnsi"/>
          <w:lang w:val="en-GB"/>
        </w:rPr>
        <w:t xml:space="preserve">. We take this as an upper estimate. </w:t>
      </w:r>
      <w:r w:rsidR="00B14B00" w:rsidRPr="007C6F51">
        <w:rPr>
          <w:rFonts w:asciiTheme="minorHAnsi" w:eastAsia="Cambria" w:hAnsiTheme="minorHAnsi"/>
          <w:lang w:val="en-GB"/>
        </w:rPr>
        <w:t xml:space="preserve"> </w:t>
      </w:r>
    </w:p>
    <w:p w14:paraId="357946A0" w14:textId="1238DD26" w:rsidR="007A2027" w:rsidRPr="007C6F51" w:rsidRDefault="00691B26" w:rsidP="003E511C">
      <w:pPr>
        <w:rPr>
          <w:rFonts w:asciiTheme="minorHAnsi" w:eastAsia="Cambria" w:hAnsiTheme="minorHAnsi"/>
          <w:lang w:val="en-GB"/>
        </w:rPr>
      </w:pPr>
      <w:r w:rsidRPr="007C6F51">
        <w:rPr>
          <w:rFonts w:asciiTheme="minorHAnsi" w:eastAsia="Cambria" w:hAnsiTheme="minorHAnsi"/>
          <w:vertAlign w:val="superscript"/>
          <w:lang w:val="en-GB"/>
        </w:rPr>
        <w:t xml:space="preserve"> </w:t>
      </w:r>
    </w:p>
    <w:p w14:paraId="4D9ECD2F" w14:textId="5B437E63" w:rsidR="003B602A" w:rsidRPr="007C6F51" w:rsidRDefault="00450C37">
      <w:pPr>
        <w:spacing w:before="180" w:after="180"/>
        <w:rPr>
          <w:rFonts w:asciiTheme="minorHAnsi" w:eastAsia="Cambria" w:hAnsiTheme="minorHAnsi"/>
          <w:b/>
          <w:bCs/>
          <w:lang w:val="en-GB"/>
        </w:rPr>
      </w:pPr>
      <w:r w:rsidRPr="007C6F51">
        <w:rPr>
          <w:rFonts w:asciiTheme="minorHAnsi" w:eastAsia="Cambria" w:hAnsiTheme="minorHAnsi"/>
          <w:b/>
          <w:bCs/>
          <w:lang w:val="en-GB"/>
        </w:rPr>
        <w:t>Calcifying plankton</w:t>
      </w:r>
    </w:p>
    <w:p w14:paraId="613F0430" w14:textId="783141B1" w:rsidR="00FE3E51" w:rsidRPr="007C6F51" w:rsidRDefault="00EA70A6">
      <w:pPr>
        <w:spacing w:before="180" w:after="180"/>
        <w:rPr>
          <w:rFonts w:asciiTheme="minorHAnsi" w:eastAsia="Cambria" w:hAnsiTheme="minorHAnsi"/>
          <w:lang w:val="en-GB"/>
        </w:rPr>
      </w:pPr>
      <w:r w:rsidRPr="007C6F51">
        <w:rPr>
          <w:rFonts w:asciiTheme="minorHAnsi" w:eastAsia="Cambria" w:hAnsiTheme="minorHAnsi"/>
          <w:lang w:val="en-GB"/>
        </w:rPr>
        <w:t>Extrapolating from a global biomass of 444</w:t>
      </w:r>
      <w:r w:rsidR="007B69E7" w:rsidRPr="007C6F51">
        <w:rPr>
          <w:rFonts w:asciiTheme="minorHAnsi" w:eastAsia="Cambria" w:hAnsiTheme="minorHAnsi"/>
          <w:lang w:val="en-GB"/>
        </w:rPr>
        <w:t>–</w:t>
      </w:r>
      <w:r w:rsidRPr="007C6F51">
        <w:rPr>
          <w:rFonts w:asciiTheme="minorHAnsi" w:eastAsia="Cambria" w:hAnsiTheme="minorHAnsi"/>
          <w:lang w:val="en-GB"/>
        </w:rPr>
        <w:t xml:space="preserve">505 </w:t>
      </w:r>
      <w:proofErr w:type="spellStart"/>
      <w:r w:rsidRPr="007C6F51">
        <w:rPr>
          <w:rFonts w:asciiTheme="minorHAnsi" w:eastAsia="Cambria" w:hAnsiTheme="minorHAnsi"/>
          <w:lang w:val="en-GB"/>
        </w:rPr>
        <w:t>Tg</w:t>
      </w:r>
      <w:proofErr w:type="spellEnd"/>
      <w:r w:rsidRPr="007C6F51">
        <w:rPr>
          <w:rFonts w:asciiTheme="minorHAnsi" w:eastAsia="Cambria" w:hAnsiTheme="minorHAnsi"/>
          <w:lang w:val="en-GB"/>
        </w:rPr>
        <w:t xml:space="preserve"> C (</w:t>
      </w:r>
      <w:proofErr w:type="spellStart"/>
      <w:r w:rsidRPr="007C6F51">
        <w:rPr>
          <w:rFonts w:asciiTheme="minorHAnsi" w:eastAsia="Cambria" w:hAnsiTheme="minorHAnsi"/>
          <w:lang w:val="en-GB"/>
        </w:rPr>
        <w:t>Bednarsek</w:t>
      </w:r>
      <w:proofErr w:type="spellEnd"/>
      <w:r w:rsidRPr="007C6F51">
        <w:rPr>
          <w:rFonts w:asciiTheme="minorHAnsi" w:eastAsia="Cambria" w:hAnsiTheme="minorHAnsi"/>
          <w:lang w:val="en-GB"/>
        </w:rPr>
        <w:t xml:space="preserve"> et al., 2012) and assuming a </w:t>
      </w:r>
      <w:proofErr w:type="gramStart"/>
      <w:r w:rsidRPr="007C6F51">
        <w:rPr>
          <w:rFonts w:asciiTheme="minorHAnsi" w:eastAsia="Cambria" w:hAnsiTheme="minorHAnsi"/>
          <w:lang w:val="en-GB"/>
        </w:rPr>
        <w:t>PIC:POC</w:t>
      </w:r>
      <w:proofErr w:type="gramEnd"/>
      <w:r w:rsidRPr="007C6F51">
        <w:rPr>
          <w:rFonts w:asciiTheme="minorHAnsi" w:eastAsia="Cambria" w:hAnsiTheme="minorHAnsi"/>
          <w:lang w:val="en-GB"/>
        </w:rPr>
        <w:t xml:space="preserve"> of 1 and a turnover of pteropod biomass annually, </w:t>
      </w:r>
      <w:r w:rsidR="00450C37" w:rsidRPr="007C6F51">
        <w:rPr>
          <w:rFonts w:asciiTheme="minorHAnsi" w:eastAsia="Cambria" w:hAnsiTheme="minorHAnsi"/>
          <w:lang w:val="en-GB"/>
        </w:rPr>
        <w:t>pteropod carbonate production is estimated to be 222</w:t>
      </w:r>
      <w:r w:rsidR="007B69E7" w:rsidRPr="007C6F51">
        <w:rPr>
          <w:rFonts w:asciiTheme="minorHAnsi" w:eastAsia="Cambria" w:hAnsiTheme="minorHAnsi"/>
          <w:lang w:val="en-GB"/>
        </w:rPr>
        <w:t>–</w:t>
      </w:r>
      <w:r w:rsidR="00450C37" w:rsidRPr="007C6F51">
        <w:rPr>
          <w:rFonts w:asciiTheme="minorHAnsi" w:eastAsia="Cambria" w:hAnsiTheme="minorHAnsi"/>
          <w:lang w:val="en-GB"/>
        </w:rPr>
        <w:t xml:space="preserve">252 </w:t>
      </w:r>
      <w:proofErr w:type="spellStart"/>
      <w:r w:rsidR="00450C37" w:rsidRPr="007C6F51">
        <w:rPr>
          <w:rFonts w:asciiTheme="minorHAnsi" w:eastAsia="Cambria" w:hAnsiTheme="minorHAnsi"/>
          <w:lang w:val="en-GB"/>
        </w:rPr>
        <w:t>Tg</w:t>
      </w:r>
      <w:proofErr w:type="spellEnd"/>
      <w:r w:rsidR="00450C37" w:rsidRPr="007C6F51">
        <w:rPr>
          <w:rFonts w:asciiTheme="minorHAnsi" w:eastAsia="Cambria" w:hAnsiTheme="minorHAnsi"/>
          <w:lang w:val="en-GB"/>
        </w:rPr>
        <w:t xml:space="preserve"> C yr</w:t>
      </w:r>
      <w:r w:rsidR="00450C37" w:rsidRPr="007C6F51">
        <w:rPr>
          <w:rFonts w:asciiTheme="minorHAnsi" w:eastAsia="Cambria" w:hAnsiTheme="minorHAnsi"/>
          <w:vertAlign w:val="superscript"/>
          <w:lang w:val="en-GB"/>
        </w:rPr>
        <w:t>-1</w:t>
      </w:r>
      <w:r w:rsidR="00450C37" w:rsidRPr="007C6F51">
        <w:rPr>
          <w:rFonts w:asciiTheme="minorHAnsi" w:eastAsia="Cambria" w:hAnsiTheme="minorHAnsi"/>
          <w:lang w:val="en-GB"/>
        </w:rPr>
        <w:t>.</w:t>
      </w:r>
      <w:r w:rsidR="00973424" w:rsidRPr="007C6F51">
        <w:rPr>
          <w:rFonts w:asciiTheme="minorHAnsi" w:eastAsia="Cambria" w:hAnsiTheme="minorHAnsi"/>
          <w:lang w:val="en-GB"/>
        </w:rPr>
        <w:t xml:space="preserve"> Pteropods exhibit a 28% decrease in calcification when exposed to 2100 BAE scenario pH levels (Comeau et al., 2010).</w:t>
      </w:r>
      <w:r w:rsidR="00B276C9" w:rsidRPr="007C6F51">
        <w:rPr>
          <w:rFonts w:asciiTheme="minorHAnsi" w:eastAsia="Cambria" w:hAnsiTheme="minorHAnsi"/>
          <w:lang w:val="en-GB"/>
        </w:rPr>
        <w:t xml:space="preserve"> This will lead to 61 to 71 </w:t>
      </w:r>
      <w:proofErr w:type="spellStart"/>
      <w:r w:rsidR="00B276C9" w:rsidRPr="007C6F51">
        <w:rPr>
          <w:rFonts w:asciiTheme="minorHAnsi" w:eastAsia="Cambria" w:hAnsiTheme="minorHAnsi"/>
          <w:lang w:val="en-GB"/>
        </w:rPr>
        <w:t>Tg</w:t>
      </w:r>
      <w:proofErr w:type="spellEnd"/>
      <w:r w:rsidR="00B276C9" w:rsidRPr="007C6F51">
        <w:rPr>
          <w:rFonts w:asciiTheme="minorHAnsi" w:eastAsia="Cambria" w:hAnsiTheme="minorHAnsi"/>
          <w:lang w:val="en-GB"/>
        </w:rPr>
        <w:t xml:space="preserve"> C less calcification</w:t>
      </w:r>
      <w:r w:rsidR="0084139D" w:rsidRPr="007C6F51">
        <w:rPr>
          <w:rFonts w:asciiTheme="minorHAnsi" w:eastAsia="Cambria" w:hAnsiTheme="minorHAnsi"/>
          <w:lang w:val="en-GB"/>
        </w:rPr>
        <w:t xml:space="preserve"> by 2100</w:t>
      </w:r>
      <w:r w:rsidR="003979FC" w:rsidRPr="007C6F51">
        <w:rPr>
          <w:rFonts w:asciiTheme="minorHAnsi" w:eastAsia="Cambria" w:hAnsiTheme="minorHAnsi"/>
          <w:lang w:val="en-GB"/>
        </w:rPr>
        <w:t xml:space="preserve"> or approximately</w:t>
      </w:r>
      <w:r w:rsidR="007B69E7" w:rsidRPr="007C6F51">
        <w:rPr>
          <w:rFonts w:asciiTheme="minorHAnsi" w:eastAsia="Cambria" w:hAnsiTheme="minorHAnsi"/>
          <w:lang w:val="en-GB"/>
        </w:rPr>
        <w:t>.</w:t>
      </w:r>
      <w:r w:rsidR="00B276C9" w:rsidRPr="007C6F51">
        <w:rPr>
          <w:rFonts w:asciiTheme="minorHAnsi" w:eastAsia="Cambria" w:hAnsiTheme="minorHAnsi"/>
          <w:lang w:val="en-GB"/>
        </w:rPr>
        <w:t xml:space="preserve"> </w:t>
      </w:r>
      <w:r w:rsidR="004E56E1" w:rsidRPr="007C6F51">
        <w:rPr>
          <w:rFonts w:asciiTheme="minorHAnsi" w:eastAsia="Cambria" w:hAnsiTheme="minorHAnsi"/>
          <w:lang w:val="en-GB"/>
        </w:rPr>
        <w:t xml:space="preserve">The reduced calcification of all calcifying plankton (pteropods, coccolithophores, foraminifera etc) is predicted in an earth system modelling study to </w:t>
      </w:r>
      <w:r w:rsidR="005542E3" w:rsidRPr="007C6F51">
        <w:rPr>
          <w:rFonts w:asciiTheme="minorHAnsi" w:eastAsia="Cambria" w:hAnsiTheme="minorHAnsi"/>
          <w:lang w:val="en-GB"/>
        </w:rPr>
        <w:t xml:space="preserve">be between </w:t>
      </w:r>
      <w:r w:rsidR="005542E3" w:rsidRPr="007C6F51">
        <w:rPr>
          <w:rFonts w:asciiTheme="minorHAnsi" w:eastAsia="Cambria" w:hAnsiTheme="minorHAnsi"/>
          <w:u w:val="single"/>
          <w:lang w:val="en-GB"/>
        </w:rPr>
        <w:t xml:space="preserve">120 and 640 </w:t>
      </w:r>
      <w:proofErr w:type="spellStart"/>
      <w:r w:rsidR="005542E3" w:rsidRPr="007C6F51">
        <w:rPr>
          <w:rFonts w:asciiTheme="minorHAnsi" w:eastAsia="Cambria" w:hAnsiTheme="minorHAnsi"/>
          <w:u w:val="single"/>
          <w:lang w:val="en-GB"/>
        </w:rPr>
        <w:t>Tg</w:t>
      </w:r>
      <w:proofErr w:type="spellEnd"/>
      <w:r w:rsidR="005542E3" w:rsidRPr="007C6F51">
        <w:rPr>
          <w:rFonts w:asciiTheme="minorHAnsi" w:eastAsia="Cambria" w:hAnsiTheme="minorHAnsi"/>
          <w:u w:val="single"/>
          <w:lang w:val="en-GB"/>
        </w:rPr>
        <w:t xml:space="preserve"> C yr</w:t>
      </w:r>
      <w:r w:rsidR="005542E3" w:rsidRPr="007C6F51">
        <w:rPr>
          <w:rFonts w:asciiTheme="minorHAnsi" w:eastAsia="Cambria" w:hAnsiTheme="minorHAnsi"/>
          <w:u w:val="single"/>
          <w:vertAlign w:val="superscript"/>
          <w:lang w:val="en-GB"/>
        </w:rPr>
        <w:t>-1</w:t>
      </w:r>
      <w:r w:rsidR="005542E3" w:rsidRPr="007C6F51">
        <w:rPr>
          <w:rFonts w:asciiTheme="minorHAnsi" w:eastAsia="Cambria" w:hAnsiTheme="minorHAnsi"/>
          <w:u w:val="single"/>
          <w:lang w:val="en-GB"/>
        </w:rPr>
        <w:t xml:space="preserve"> (</w:t>
      </w:r>
      <w:proofErr w:type="spellStart"/>
      <w:r w:rsidR="0081451F" w:rsidRPr="007C6F51">
        <w:rPr>
          <w:rFonts w:asciiTheme="minorHAnsi" w:hAnsiTheme="minorHAnsi"/>
          <w:u w:val="single"/>
        </w:rPr>
        <w:t>Gangstø</w:t>
      </w:r>
      <w:proofErr w:type="spellEnd"/>
      <w:r w:rsidR="0081451F" w:rsidRPr="007C6F51">
        <w:rPr>
          <w:rFonts w:asciiTheme="minorHAnsi" w:hAnsiTheme="minorHAnsi"/>
          <w:u w:val="single"/>
        </w:rPr>
        <w:t xml:space="preserve"> et</w:t>
      </w:r>
      <w:r w:rsidR="0081451F" w:rsidRPr="007C6F51">
        <w:rPr>
          <w:rFonts w:asciiTheme="minorHAnsi" w:hAnsiTheme="minorHAnsi"/>
        </w:rPr>
        <w:t xml:space="preserve"> al., 2011</w:t>
      </w:r>
      <w:r w:rsidR="005542E3" w:rsidRPr="007C6F51">
        <w:rPr>
          <w:rFonts w:asciiTheme="minorHAnsi" w:eastAsia="Cambria" w:hAnsiTheme="minorHAnsi"/>
          <w:lang w:val="en-GB"/>
        </w:rPr>
        <w:t>)</w:t>
      </w:r>
      <w:r w:rsidR="0081451F" w:rsidRPr="007C6F51">
        <w:rPr>
          <w:rFonts w:asciiTheme="minorHAnsi" w:eastAsia="Cambria" w:hAnsiTheme="minorHAnsi"/>
          <w:lang w:val="en-GB"/>
        </w:rPr>
        <w:t xml:space="preserve">. </w:t>
      </w:r>
      <w:r w:rsidR="002C4FEF" w:rsidRPr="007C6F51">
        <w:rPr>
          <w:rFonts w:asciiTheme="minorHAnsi" w:eastAsia="Cambria" w:hAnsiTheme="minorHAnsi"/>
          <w:lang w:val="en-GB"/>
        </w:rPr>
        <w:t>Taking 70</w:t>
      </w:r>
      <w:r w:rsidR="007B69E7" w:rsidRPr="007C6F51">
        <w:rPr>
          <w:rFonts w:asciiTheme="minorHAnsi" w:eastAsia="Cambria" w:hAnsiTheme="minorHAnsi"/>
          <w:lang w:val="en-GB"/>
        </w:rPr>
        <w:t>–</w:t>
      </w:r>
      <w:r w:rsidR="002C4FEF" w:rsidRPr="007C6F51">
        <w:rPr>
          <w:rFonts w:asciiTheme="minorHAnsi" w:eastAsia="Cambria" w:hAnsiTheme="minorHAnsi"/>
          <w:lang w:val="en-GB"/>
        </w:rPr>
        <w:t>640 as the range of annual net decrease and extrapolating to 2100 this gives a</w:t>
      </w:r>
      <w:r w:rsidR="00E25F9D" w:rsidRPr="007C6F51">
        <w:rPr>
          <w:rFonts w:asciiTheme="minorHAnsi" w:eastAsia="Cambria" w:hAnsiTheme="minorHAnsi"/>
          <w:lang w:val="en-GB"/>
        </w:rPr>
        <w:t xml:space="preserve"> </w:t>
      </w:r>
      <w:r w:rsidR="00662A1D" w:rsidRPr="007C6F51">
        <w:rPr>
          <w:rFonts w:asciiTheme="minorHAnsi" w:eastAsia="Cambria" w:hAnsiTheme="minorHAnsi"/>
          <w:lang w:val="en-GB"/>
        </w:rPr>
        <w:t xml:space="preserve">total </w:t>
      </w:r>
      <w:r w:rsidR="008C678D" w:rsidRPr="007C6F51">
        <w:rPr>
          <w:rFonts w:asciiTheme="minorHAnsi" w:eastAsia="Cambria" w:hAnsiTheme="minorHAnsi"/>
          <w:lang w:val="en-GB"/>
        </w:rPr>
        <w:t>estimated re</w:t>
      </w:r>
      <w:r w:rsidR="00662A1D" w:rsidRPr="007C6F51">
        <w:rPr>
          <w:rFonts w:asciiTheme="minorHAnsi" w:eastAsia="Cambria" w:hAnsiTheme="minorHAnsi"/>
          <w:lang w:val="en-GB"/>
        </w:rPr>
        <w:t>d</w:t>
      </w:r>
      <w:r w:rsidR="008C678D" w:rsidRPr="007C6F51">
        <w:rPr>
          <w:rFonts w:asciiTheme="minorHAnsi" w:eastAsia="Cambria" w:hAnsiTheme="minorHAnsi"/>
          <w:lang w:val="en-GB"/>
        </w:rPr>
        <w:t>uction of CO</w:t>
      </w:r>
      <w:r w:rsidR="008C678D" w:rsidRPr="007C6F51">
        <w:rPr>
          <w:rFonts w:asciiTheme="minorHAnsi" w:eastAsia="Cambria" w:hAnsiTheme="minorHAnsi"/>
          <w:vertAlign w:val="subscript"/>
          <w:lang w:val="en-GB"/>
        </w:rPr>
        <w:t>2</w:t>
      </w:r>
      <w:r w:rsidR="008C678D" w:rsidRPr="007C6F51">
        <w:rPr>
          <w:rFonts w:asciiTheme="minorHAnsi" w:eastAsia="Cambria" w:hAnsiTheme="minorHAnsi"/>
          <w:lang w:val="en-GB"/>
        </w:rPr>
        <w:t xml:space="preserve"> production </w:t>
      </w:r>
      <w:proofErr w:type="gramStart"/>
      <w:r w:rsidR="008C678D" w:rsidRPr="007C6F51">
        <w:rPr>
          <w:rFonts w:asciiTheme="minorHAnsi" w:eastAsia="Cambria" w:hAnsiTheme="minorHAnsi"/>
          <w:lang w:val="en-GB"/>
        </w:rPr>
        <w:t xml:space="preserve">of  </w:t>
      </w:r>
      <w:r w:rsidR="00662A1D" w:rsidRPr="007C6F51">
        <w:rPr>
          <w:rFonts w:asciiTheme="minorHAnsi" w:eastAsia="Cambria" w:hAnsiTheme="minorHAnsi"/>
          <w:lang w:val="en-GB"/>
        </w:rPr>
        <w:t>between</w:t>
      </w:r>
      <w:proofErr w:type="gramEnd"/>
      <w:r w:rsidR="00662A1D" w:rsidRPr="007C6F51">
        <w:rPr>
          <w:rFonts w:asciiTheme="minorHAnsi" w:eastAsia="Cambria" w:hAnsiTheme="minorHAnsi"/>
          <w:lang w:val="en-GB"/>
        </w:rPr>
        <w:t xml:space="preserve"> 2.7 and 25 Pg C (</w:t>
      </w:r>
      <w:r w:rsidR="00E25F9D" w:rsidRPr="007C6F51">
        <w:rPr>
          <w:rFonts w:asciiTheme="minorHAnsi" w:eastAsia="Cambria" w:hAnsiTheme="minorHAnsi"/>
          <w:lang w:val="en-GB"/>
        </w:rPr>
        <w:t>10 to 92 Pg CO</w:t>
      </w:r>
      <w:r w:rsidR="00E25F9D" w:rsidRPr="007C6F51">
        <w:rPr>
          <w:rFonts w:asciiTheme="minorHAnsi" w:eastAsia="Cambria" w:hAnsiTheme="minorHAnsi"/>
          <w:vertAlign w:val="subscript"/>
          <w:lang w:val="en-GB"/>
        </w:rPr>
        <w:t>2</w:t>
      </w:r>
      <w:r w:rsidR="00662A1D" w:rsidRPr="007C6F51">
        <w:rPr>
          <w:rFonts w:asciiTheme="minorHAnsi" w:eastAsia="Cambria" w:hAnsiTheme="minorHAnsi"/>
          <w:lang w:val="en-GB"/>
        </w:rPr>
        <w:t>)</w:t>
      </w:r>
      <w:r w:rsidR="00E25F9D" w:rsidRPr="007C6F51">
        <w:rPr>
          <w:rFonts w:asciiTheme="minorHAnsi" w:eastAsia="Cambria" w:hAnsiTheme="minorHAnsi"/>
          <w:lang w:val="en-GB"/>
        </w:rPr>
        <w:t>.</w:t>
      </w:r>
    </w:p>
    <w:p w14:paraId="08973993" w14:textId="5DC927B0"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However, there are conflicting studies on the extent to which pteropods and other calcifying organisms will be affected by acidification and temperature, ranging from prediction of complete loss of stocks, to the adaptation and the maintenance of calcified shells by some species. Changes seem to be dependent on location and species. For instance, pteropod stocks are expected to actually increase or at least be maintained in the Antarctic because warming will result in a release of available nutrients from sea ice, which will allow pteropods to grow/maintain shells despite undersaturation (</w:t>
      </w:r>
      <w:proofErr w:type="spellStart"/>
      <w:r w:rsidR="00BF46C2" w:rsidRPr="007C6F51">
        <w:rPr>
          <w:rFonts w:asciiTheme="minorHAnsi" w:eastAsia="Cambria" w:hAnsiTheme="minorHAnsi"/>
          <w:lang w:val="en-GB"/>
        </w:rPr>
        <w:t>Bednarsek</w:t>
      </w:r>
      <w:proofErr w:type="spellEnd"/>
      <w:r w:rsidR="00BF46C2" w:rsidRPr="007C6F51">
        <w:rPr>
          <w:rFonts w:asciiTheme="minorHAnsi" w:eastAsia="Cambria" w:hAnsiTheme="minorHAnsi"/>
          <w:lang w:val="en-GB"/>
        </w:rPr>
        <w:t xml:space="preserve"> et al., 2012</w:t>
      </w:r>
      <w:r w:rsidRPr="007C6F51">
        <w:rPr>
          <w:rFonts w:asciiTheme="minorHAnsi" w:eastAsia="Cambria" w:hAnsiTheme="minorHAnsi"/>
          <w:lang w:val="en-GB"/>
        </w:rPr>
        <w:t>)</w:t>
      </w:r>
      <w:r w:rsidR="00BF46C2" w:rsidRPr="007C6F51">
        <w:rPr>
          <w:rFonts w:asciiTheme="minorHAnsi" w:eastAsia="Cambria" w:hAnsiTheme="minorHAnsi"/>
          <w:lang w:val="en-GB"/>
        </w:rPr>
        <w:t>, although this is not backed up by more recent studies (e.g.</w:t>
      </w:r>
      <w:r w:rsidR="0097277F" w:rsidRPr="007C6F51">
        <w:rPr>
          <w:rFonts w:asciiTheme="minorHAnsi" w:eastAsia="Cambria" w:hAnsiTheme="minorHAnsi"/>
          <w:lang w:val="en-GB"/>
        </w:rPr>
        <w:t xml:space="preserve"> Gardner et al., 2018</w:t>
      </w:r>
      <w:r w:rsidR="00BF46C2" w:rsidRPr="007C6F51">
        <w:rPr>
          <w:rFonts w:asciiTheme="minorHAnsi" w:eastAsia="Cambria" w:hAnsiTheme="minorHAnsi"/>
          <w:lang w:val="en-GB"/>
        </w:rPr>
        <w:t>)</w:t>
      </w:r>
      <w:r w:rsidRPr="007C6F51">
        <w:rPr>
          <w:rFonts w:asciiTheme="minorHAnsi" w:eastAsia="Cambria" w:hAnsiTheme="minorHAnsi"/>
          <w:lang w:val="en-GB"/>
        </w:rPr>
        <w:t>.</w:t>
      </w:r>
    </w:p>
    <w:p w14:paraId="64C2A689" w14:textId="286223EF" w:rsidR="009D3572" w:rsidRPr="007C6F51" w:rsidRDefault="009D3572">
      <w:pPr>
        <w:spacing w:before="180" w:after="180"/>
        <w:rPr>
          <w:rFonts w:asciiTheme="minorHAnsi" w:eastAsia="Cambria" w:hAnsiTheme="minorHAnsi"/>
          <w:b/>
          <w:bCs/>
          <w:lang w:val="en-GB"/>
        </w:rPr>
      </w:pPr>
      <w:r w:rsidRPr="007C6F51">
        <w:rPr>
          <w:rFonts w:asciiTheme="minorHAnsi" w:eastAsia="Cambria" w:hAnsiTheme="minorHAnsi"/>
          <w:b/>
          <w:bCs/>
          <w:lang w:val="en-GB"/>
        </w:rPr>
        <w:t>Non-coral shallow water carbonates</w:t>
      </w:r>
    </w:p>
    <w:p w14:paraId="0BC55F0F" w14:textId="0FB595A1" w:rsidR="007A2027" w:rsidRPr="007C6F51" w:rsidRDefault="00973424">
      <w:pPr>
        <w:spacing w:before="180" w:after="180"/>
        <w:rPr>
          <w:rFonts w:asciiTheme="minorHAnsi" w:eastAsia="Cambria" w:hAnsiTheme="minorHAnsi"/>
          <w:lang w:val="en-GB"/>
        </w:rPr>
      </w:pPr>
      <w:r w:rsidRPr="0049629F">
        <w:rPr>
          <w:rFonts w:asciiTheme="minorHAnsi" w:eastAsia="Cambria" w:hAnsiTheme="minorHAnsi"/>
          <w:lang w:val="en-GB"/>
        </w:rPr>
        <w:t>Morse et al. (2006) investigate</w:t>
      </w:r>
      <w:r w:rsidRPr="007C6F51">
        <w:rPr>
          <w:rFonts w:asciiTheme="minorHAnsi" w:eastAsia="Cambria" w:hAnsiTheme="minorHAnsi"/>
          <w:lang w:val="en-GB"/>
        </w:rPr>
        <w:t xml:space="preserve"> the potential for Mg-rich calcite (which is more readily soluble than aragonite or pure calcite) to dissolve. Depending on the dissolution model used they predict between 0 and 10</w:t>
      </w:r>
      <w:r w:rsidRPr="007C6F51">
        <w:rPr>
          <w:rFonts w:asciiTheme="minorHAnsi" w:eastAsia="Cambria" w:hAnsiTheme="minorHAnsi"/>
          <w:vertAlign w:val="superscript"/>
          <w:lang w:val="en-GB"/>
        </w:rPr>
        <w:t>16</w:t>
      </w:r>
      <w:r w:rsidRPr="007C6F51">
        <w:rPr>
          <w:rFonts w:asciiTheme="minorHAnsi" w:eastAsia="Cambria" w:hAnsiTheme="minorHAnsi"/>
          <w:lang w:val="en-GB"/>
        </w:rPr>
        <w:t xml:space="preserve"> moles of Mg-rich calcites will dissolve by 2100 under old IPCC scenario IS92a, which is comparable to RCP 4.5 rather than 2.6 – obviously the atmospheric CO</w:t>
      </w:r>
      <w:r w:rsidRPr="007C6F51">
        <w:rPr>
          <w:rFonts w:asciiTheme="minorHAnsi" w:eastAsia="Cambria" w:hAnsiTheme="minorHAnsi"/>
          <w:vertAlign w:val="subscript"/>
          <w:lang w:val="en-GB"/>
        </w:rPr>
        <w:t>2</w:t>
      </w:r>
      <w:r w:rsidRPr="007C6F51">
        <w:rPr>
          <w:rFonts w:asciiTheme="minorHAnsi" w:eastAsia="Cambria" w:hAnsiTheme="minorHAnsi"/>
          <w:lang w:val="en-GB"/>
        </w:rPr>
        <w:t xml:space="preserve"> is a key driver of dissolution so a lower pathway would mean a lower uptake capacity due to Mg-calcite dissolution. Nonetheless, we adopt the upper estimate as the potential maximum response</w:t>
      </w:r>
      <w:r w:rsidR="0097277F" w:rsidRPr="007C6F51">
        <w:rPr>
          <w:rFonts w:asciiTheme="minorHAnsi" w:eastAsia="Cambria" w:hAnsiTheme="minorHAnsi"/>
          <w:lang w:val="en-GB"/>
        </w:rPr>
        <w:t>.</w:t>
      </w:r>
    </w:p>
    <w:p w14:paraId="2DDC66B7" w14:textId="443A0CA4" w:rsidR="007A2027" w:rsidRPr="007C6F51" w:rsidRDefault="00DF4A97">
      <w:pPr>
        <w:pStyle w:val="Heading3"/>
        <w:keepNext w:val="0"/>
        <w:keepLines w:val="0"/>
        <w:spacing w:before="200" w:after="0"/>
        <w:rPr>
          <w:rFonts w:asciiTheme="minorHAnsi" w:eastAsia="Calibri" w:hAnsiTheme="minorHAnsi"/>
          <w:b/>
          <w:color w:val="4F81BD"/>
        </w:rPr>
      </w:pPr>
      <w:bookmarkStart w:id="18" w:name="_s6410yc4vpab"/>
      <w:bookmarkEnd w:id="18"/>
      <w:r w:rsidRPr="007C6F51">
        <w:rPr>
          <w:rFonts w:asciiTheme="minorHAnsi" w:eastAsia="Calibri" w:hAnsiTheme="minorHAnsi"/>
          <w:b/>
          <w:color w:val="4F81BD"/>
        </w:rPr>
        <w:t xml:space="preserve">Ocean </w:t>
      </w:r>
      <w:r w:rsidR="00973424" w:rsidRPr="007C6F51">
        <w:rPr>
          <w:rFonts w:asciiTheme="minorHAnsi" w:eastAsia="Calibri" w:hAnsiTheme="minorHAnsi"/>
          <w:b/>
          <w:color w:val="4F81BD"/>
        </w:rPr>
        <w:t>carbon pump response</w:t>
      </w:r>
    </w:p>
    <w:p w14:paraId="213D37DD" w14:textId="26C63123" w:rsidR="00A80D13" w:rsidRPr="007C6F51" w:rsidRDefault="00DF4A97" w:rsidP="004967F6">
      <w:pPr>
        <w:spacing w:before="40" w:after="40"/>
        <w:rPr>
          <w:rFonts w:asciiTheme="minorHAnsi" w:eastAsia="Cambria" w:hAnsiTheme="minorHAnsi"/>
          <w:lang w:val="en-GB"/>
        </w:rPr>
      </w:pPr>
      <w:r w:rsidRPr="007C6F51">
        <w:rPr>
          <w:rFonts w:asciiTheme="minorHAnsi" w:eastAsia="Cambria" w:hAnsiTheme="minorHAnsi"/>
          <w:lang w:val="en-GB"/>
        </w:rPr>
        <w:t xml:space="preserve">Various biological and </w:t>
      </w:r>
      <w:proofErr w:type="spellStart"/>
      <w:r w:rsidRPr="007C6F51">
        <w:rPr>
          <w:rFonts w:asciiTheme="minorHAnsi" w:eastAsia="Cambria" w:hAnsiTheme="minorHAnsi"/>
          <w:lang w:val="en-GB"/>
        </w:rPr>
        <w:t>abiological</w:t>
      </w:r>
      <w:proofErr w:type="spellEnd"/>
      <w:r w:rsidRPr="007C6F51">
        <w:rPr>
          <w:rFonts w:asciiTheme="minorHAnsi" w:eastAsia="Cambria" w:hAnsiTheme="minorHAnsi"/>
          <w:lang w:val="en-GB"/>
        </w:rPr>
        <w:t xml:space="preserve"> mechanisms result in the export of carbon from the atmosphere, via the surface ocean, to the deep ocea</w:t>
      </w:r>
      <w:r w:rsidR="001C4199" w:rsidRPr="007C6F51">
        <w:rPr>
          <w:rFonts w:asciiTheme="minorHAnsi" w:eastAsia="Cambria" w:hAnsiTheme="minorHAnsi"/>
          <w:lang w:val="en-GB"/>
        </w:rPr>
        <w:t>n</w:t>
      </w:r>
      <w:r w:rsidR="001519F6" w:rsidRPr="007C6F51">
        <w:rPr>
          <w:rFonts w:asciiTheme="minorHAnsi" w:eastAsia="Cambria" w:hAnsiTheme="minorHAnsi"/>
          <w:lang w:val="en-GB"/>
        </w:rPr>
        <w:t xml:space="preserve"> (</w:t>
      </w:r>
      <w:proofErr w:type="spellStart"/>
      <w:r w:rsidR="00865A7C" w:rsidRPr="007C6F51">
        <w:rPr>
          <w:rFonts w:asciiTheme="minorHAnsi" w:eastAsia="Cambria" w:hAnsiTheme="minorHAnsi"/>
          <w:lang w:val="en-GB"/>
        </w:rPr>
        <w:t>Buesseler</w:t>
      </w:r>
      <w:proofErr w:type="spellEnd"/>
      <w:r w:rsidR="00865A7C" w:rsidRPr="007C6F51">
        <w:rPr>
          <w:rFonts w:asciiTheme="minorHAnsi" w:eastAsia="Cambria" w:hAnsiTheme="minorHAnsi"/>
          <w:lang w:val="en-GB"/>
        </w:rPr>
        <w:t xml:space="preserve"> et al., 2020; </w:t>
      </w:r>
      <w:r w:rsidR="00776B8D" w:rsidRPr="007C6F51">
        <w:rPr>
          <w:rFonts w:asciiTheme="minorHAnsi" w:eastAsia="Cambria" w:hAnsiTheme="minorHAnsi"/>
          <w:lang w:val="en-GB"/>
        </w:rPr>
        <w:t>Nowicki et al., 2022</w:t>
      </w:r>
      <w:r w:rsidR="001519F6" w:rsidRPr="007C6F51">
        <w:rPr>
          <w:rFonts w:asciiTheme="minorHAnsi" w:eastAsia="Cambria" w:hAnsiTheme="minorHAnsi"/>
          <w:lang w:val="en-GB"/>
        </w:rPr>
        <w:t>)</w:t>
      </w:r>
      <w:r w:rsidR="001C4199" w:rsidRPr="007C6F51">
        <w:rPr>
          <w:rFonts w:asciiTheme="minorHAnsi" w:eastAsia="Cambria" w:hAnsiTheme="minorHAnsi"/>
          <w:lang w:val="en-GB"/>
        </w:rPr>
        <w:t xml:space="preserve">, with a large stock of carbon stored out of contact from the atmosphere for </w:t>
      </w:r>
      <w:r w:rsidR="00865A7C" w:rsidRPr="007C6F51">
        <w:rPr>
          <w:rFonts w:asciiTheme="minorHAnsi" w:eastAsia="Cambria" w:hAnsiTheme="minorHAnsi"/>
          <w:lang w:val="en-GB"/>
        </w:rPr>
        <w:t>hundreds</w:t>
      </w:r>
      <w:r w:rsidR="001C4199" w:rsidRPr="007C6F51">
        <w:rPr>
          <w:rFonts w:asciiTheme="minorHAnsi" w:eastAsia="Cambria" w:hAnsiTheme="minorHAnsi"/>
          <w:lang w:val="en-GB"/>
        </w:rPr>
        <w:t xml:space="preserve"> of years as dissolved inorganic carbon and potentially</w:t>
      </w:r>
      <w:r w:rsidR="00865A7C" w:rsidRPr="007C6F51">
        <w:rPr>
          <w:rFonts w:asciiTheme="minorHAnsi" w:eastAsia="Cambria" w:hAnsiTheme="minorHAnsi"/>
          <w:lang w:val="en-GB"/>
        </w:rPr>
        <w:t xml:space="preserve"> up to tens of thousands of years as refractory organic carbon. E</w:t>
      </w:r>
      <w:r w:rsidRPr="007C6F51">
        <w:rPr>
          <w:rFonts w:asciiTheme="minorHAnsi" w:eastAsia="Cambria" w:hAnsiTheme="minorHAnsi"/>
          <w:lang w:val="en-GB"/>
        </w:rPr>
        <w:t xml:space="preserve">stimates of the strength of the ocean </w:t>
      </w:r>
      <w:r w:rsidR="00973424" w:rsidRPr="007C6F51">
        <w:rPr>
          <w:rFonts w:asciiTheme="minorHAnsi" w:eastAsia="Cambria" w:hAnsiTheme="minorHAnsi"/>
          <w:lang w:val="en-GB"/>
        </w:rPr>
        <w:t>carbon pump</w:t>
      </w:r>
      <w:r w:rsidR="00865A7C" w:rsidRPr="007C6F51">
        <w:rPr>
          <w:rFonts w:asciiTheme="minorHAnsi" w:eastAsia="Cambria" w:hAnsiTheme="minorHAnsi"/>
          <w:lang w:val="en-GB"/>
        </w:rPr>
        <w:t xml:space="preserve"> range from 2.5 to ~10 </w:t>
      </w:r>
      <w:r w:rsidR="00973424" w:rsidRPr="007C6F51">
        <w:rPr>
          <w:rFonts w:asciiTheme="minorHAnsi" w:eastAsia="Cambria" w:hAnsiTheme="minorHAnsi"/>
          <w:lang w:val="en-GB"/>
        </w:rPr>
        <w:t>Pg C yr</w:t>
      </w:r>
      <w:r w:rsidR="00973424" w:rsidRPr="007C6F51">
        <w:rPr>
          <w:rFonts w:asciiTheme="minorHAnsi" w:eastAsia="Cambria" w:hAnsiTheme="minorHAnsi"/>
          <w:vertAlign w:val="superscript"/>
          <w:lang w:val="en-GB"/>
        </w:rPr>
        <w:t>-1</w:t>
      </w:r>
      <w:r w:rsidR="00973424" w:rsidRPr="007C6F51">
        <w:rPr>
          <w:rFonts w:asciiTheme="minorHAnsi" w:eastAsia="Cambria" w:hAnsiTheme="minorHAnsi"/>
          <w:lang w:val="en-GB"/>
        </w:rPr>
        <w:t xml:space="preserve"> globally (Gruber and Sarmiento, 2002</w:t>
      </w:r>
      <w:r w:rsidR="00865A7C" w:rsidRPr="007C6F51">
        <w:rPr>
          <w:rFonts w:asciiTheme="minorHAnsi" w:eastAsia="Cambria" w:hAnsiTheme="minorHAnsi"/>
          <w:lang w:val="en-GB"/>
        </w:rPr>
        <w:t xml:space="preserve">; </w:t>
      </w:r>
      <w:r w:rsidR="00026B2E" w:rsidRPr="007C6F51">
        <w:rPr>
          <w:rFonts w:asciiTheme="minorHAnsi" w:eastAsia="Cambria" w:hAnsiTheme="minorHAnsi"/>
          <w:lang w:val="en-GB"/>
        </w:rPr>
        <w:t>Henson et al., 2011; Nowicki et al., 2022</w:t>
      </w:r>
      <w:r w:rsidR="00973424" w:rsidRPr="007C6F51">
        <w:rPr>
          <w:rFonts w:asciiTheme="minorHAnsi" w:eastAsia="Cambria" w:hAnsiTheme="minorHAnsi"/>
          <w:lang w:val="en-GB"/>
        </w:rPr>
        <w:t>)</w:t>
      </w:r>
      <w:r w:rsidR="00A80D13" w:rsidRPr="007C6F51">
        <w:rPr>
          <w:rFonts w:asciiTheme="minorHAnsi" w:eastAsia="Cambria" w:hAnsiTheme="minorHAnsi"/>
          <w:lang w:val="en-GB"/>
        </w:rPr>
        <w:t>.</w:t>
      </w:r>
      <w:r w:rsidR="00973424" w:rsidRPr="007C6F51">
        <w:rPr>
          <w:rFonts w:asciiTheme="minorHAnsi" w:eastAsia="Cambria" w:hAnsiTheme="minorHAnsi"/>
          <w:lang w:val="en-GB"/>
        </w:rPr>
        <w:t xml:space="preserve"> </w:t>
      </w:r>
    </w:p>
    <w:p w14:paraId="57D98EAC" w14:textId="77777777" w:rsidR="00A80D13" w:rsidRPr="007C6F51" w:rsidRDefault="00A80D13" w:rsidP="004967F6">
      <w:pPr>
        <w:spacing w:before="40" w:after="40"/>
        <w:rPr>
          <w:rFonts w:asciiTheme="minorHAnsi" w:eastAsia="Cambria" w:hAnsiTheme="minorHAnsi"/>
          <w:lang w:val="en-GB"/>
        </w:rPr>
      </w:pPr>
    </w:p>
    <w:p w14:paraId="208D7CF7" w14:textId="36FC1B6A" w:rsidR="00506208" w:rsidRPr="007C6F51" w:rsidRDefault="00384478" w:rsidP="00403CF8">
      <w:pPr>
        <w:spacing w:before="40" w:after="40"/>
        <w:rPr>
          <w:rFonts w:asciiTheme="minorHAnsi" w:eastAsia="Cambria" w:hAnsiTheme="minorHAnsi"/>
          <w:lang w:val="en-GB"/>
        </w:rPr>
      </w:pPr>
      <w:r w:rsidRPr="007C6F51">
        <w:rPr>
          <w:rFonts w:asciiTheme="minorHAnsi" w:eastAsia="Cambria" w:hAnsiTheme="minorHAnsi"/>
          <w:lang w:val="en-GB"/>
        </w:rPr>
        <w:t>The</w:t>
      </w:r>
      <w:r w:rsidR="000D17BC" w:rsidRPr="007C6F51">
        <w:rPr>
          <w:rFonts w:asciiTheme="minorHAnsi" w:eastAsia="Cambria" w:hAnsiTheme="minorHAnsi"/>
          <w:lang w:val="en-GB"/>
        </w:rPr>
        <w:t xml:space="preserve"> relative importance of the various pump mech</w:t>
      </w:r>
      <w:r w:rsidR="007B69E7" w:rsidRPr="007C6F51">
        <w:rPr>
          <w:rFonts w:asciiTheme="minorHAnsi" w:eastAsia="Cambria" w:hAnsiTheme="minorHAnsi"/>
          <w:lang w:val="en-GB"/>
        </w:rPr>
        <w:t>an</w:t>
      </w:r>
      <w:r w:rsidR="000D17BC" w:rsidRPr="007C6F51">
        <w:rPr>
          <w:rFonts w:asciiTheme="minorHAnsi" w:eastAsia="Cambria" w:hAnsiTheme="minorHAnsi"/>
          <w:lang w:val="en-GB"/>
        </w:rPr>
        <w:t>isms, and their likely response to global change are poorly understood (</w:t>
      </w:r>
      <w:r w:rsidR="006501B9" w:rsidRPr="007C6F51">
        <w:rPr>
          <w:rFonts w:asciiTheme="minorHAnsi" w:eastAsia="Cambria" w:hAnsiTheme="minorHAnsi"/>
          <w:lang w:val="en-GB"/>
        </w:rPr>
        <w:t>e.g.</w:t>
      </w:r>
      <w:r w:rsidR="007B69E7" w:rsidRPr="007C6F51">
        <w:rPr>
          <w:rFonts w:asciiTheme="minorHAnsi" w:eastAsia="Cambria" w:hAnsiTheme="minorHAnsi"/>
          <w:lang w:val="en-GB"/>
        </w:rPr>
        <w:t>,</w:t>
      </w:r>
      <w:r w:rsidR="006501B9" w:rsidRPr="007C6F51">
        <w:rPr>
          <w:rFonts w:asciiTheme="minorHAnsi" w:eastAsia="Cambria" w:hAnsiTheme="minorHAnsi"/>
          <w:lang w:val="en-GB"/>
        </w:rPr>
        <w:t xml:space="preserve"> </w:t>
      </w:r>
      <w:r w:rsidR="000D17BC" w:rsidRPr="007C6F51">
        <w:rPr>
          <w:rFonts w:asciiTheme="minorHAnsi" w:eastAsia="Cambria" w:hAnsiTheme="minorHAnsi"/>
          <w:lang w:val="en-GB"/>
        </w:rPr>
        <w:t xml:space="preserve">Nowicki et al., 2022) and </w:t>
      </w:r>
      <w:r w:rsidR="006501B9" w:rsidRPr="007C6F51">
        <w:rPr>
          <w:rFonts w:asciiTheme="minorHAnsi" w:eastAsia="Cambria" w:hAnsiTheme="minorHAnsi"/>
          <w:lang w:val="en-GB"/>
        </w:rPr>
        <w:t>differences in re</w:t>
      </w:r>
      <w:r w:rsidR="006501B9" w:rsidRPr="007C6F51">
        <w:rPr>
          <w:rFonts w:asciiTheme="minorHAnsi" w:eastAsia="Cambria" w:hAnsiTheme="minorHAnsi"/>
          <w:lang w:val="en-GB"/>
        </w:rPr>
        <w:lastRenderedPageBreak/>
        <w:t xml:space="preserve">sponse between different ocean </w:t>
      </w:r>
      <w:proofErr w:type="gramStart"/>
      <w:r w:rsidR="006501B9" w:rsidRPr="007C6F51">
        <w:rPr>
          <w:rFonts w:asciiTheme="minorHAnsi" w:eastAsia="Cambria" w:hAnsiTheme="minorHAnsi"/>
          <w:lang w:val="en-GB"/>
        </w:rPr>
        <w:t>bioregions</w:t>
      </w:r>
      <w:r w:rsidR="008940E1" w:rsidRPr="007C6F51">
        <w:rPr>
          <w:rFonts w:asciiTheme="minorHAnsi" w:eastAsia="Cambria" w:hAnsiTheme="minorHAnsi"/>
          <w:lang w:val="en-GB"/>
        </w:rPr>
        <w:t xml:space="preserve">  may</w:t>
      </w:r>
      <w:proofErr w:type="gramEnd"/>
      <w:r w:rsidR="008940E1" w:rsidRPr="007C6F51">
        <w:rPr>
          <w:rFonts w:asciiTheme="minorHAnsi" w:eastAsia="Cambria" w:hAnsiTheme="minorHAnsi"/>
          <w:lang w:val="en-GB"/>
        </w:rPr>
        <w:t xml:space="preserve"> be important</w:t>
      </w:r>
      <w:r w:rsidR="006501B9" w:rsidRPr="007C6F51">
        <w:rPr>
          <w:rFonts w:asciiTheme="minorHAnsi" w:eastAsia="Cambria" w:hAnsiTheme="minorHAnsi"/>
          <w:lang w:val="en-GB"/>
        </w:rPr>
        <w:t xml:space="preserve"> (e.g.</w:t>
      </w:r>
      <w:r w:rsidR="007B69E7" w:rsidRPr="007C6F51">
        <w:rPr>
          <w:rFonts w:asciiTheme="minorHAnsi" w:eastAsia="Cambria" w:hAnsiTheme="minorHAnsi"/>
          <w:lang w:val="en-GB"/>
        </w:rPr>
        <w:t>,</w:t>
      </w:r>
      <w:r w:rsidR="006501B9" w:rsidRPr="007C6F51">
        <w:rPr>
          <w:rFonts w:asciiTheme="minorHAnsi" w:eastAsia="Cambria" w:hAnsiTheme="minorHAnsi"/>
          <w:lang w:val="en-GB"/>
        </w:rPr>
        <w:t xml:space="preserve"> </w:t>
      </w:r>
      <w:r w:rsidR="008940E1" w:rsidRPr="007C6F51">
        <w:rPr>
          <w:rFonts w:asciiTheme="minorHAnsi" w:eastAsia="Cambria" w:hAnsiTheme="minorHAnsi"/>
          <w:lang w:val="en-GB"/>
        </w:rPr>
        <w:t>subtropical</w:t>
      </w:r>
      <w:r w:rsidR="006501B9" w:rsidRPr="007C6F51">
        <w:rPr>
          <w:rFonts w:asciiTheme="minorHAnsi" w:eastAsia="Cambria" w:hAnsiTheme="minorHAnsi"/>
          <w:lang w:val="en-GB"/>
        </w:rPr>
        <w:t xml:space="preserve"> gyres, where </w:t>
      </w:r>
      <w:r w:rsidR="008940E1" w:rsidRPr="007C6F51">
        <w:rPr>
          <w:rFonts w:asciiTheme="minorHAnsi" w:eastAsia="Cambria" w:hAnsiTheme="minorHAnsi"/>
          <w:lang w:val="en-GB"/>
        </w:rPr>
        <w:t>community shift to more picoplankton will have an u</w:t>
      </w:r>
      <w:r w:rsidR="007B69E7" w:rsidRPr="007C6F51">
        <w:rPr>
          <w:rFonts w:asciiTheme="minorHAnsi" w:eastAsia="Cambria" w:hAnsiTheme="minorHAnsi"/>
          <w:lang w:val="en-GB"/>
        </w:rPr>
        <w:t>n</w:t>
      </w:r>
      <w:r w:rsidR="008940E1" w:rsidRPr="007C6F51">
        <w:rPr>
          <w:rFonts w:asciiTheme="minorHAnsi" w:eastAsia="Cambria" w:hAnsiTheme="minorHAnsi"/>
          <w:lang w:val="en-GB"/>
        </w:rPr>
        <w:t>known effect on net C export; e.g.</w:t>
      </w:r>
      <w:r w:rsidR="007B69E7" w:rsidRPr="007C6F51">
        <w:rPr>
          <w:rFonts w:asciiTheme="minorHAnsi" w:eastAsia="Cambria" w:hAnsiTheme="minorHAnsi"/>
          <w:lang w:val="en-GB"/>
        </w:rPr>
        <w:t>,</w:t>
      </w:r>
      <w:r w:rsidR="008940E1" w:rsidRPr="007C6F51">
        <w:rPr>
          <w:rFonts w:asciiTheme="minorHAnsi" w:eastAsia="Cambria" w:hAnsiTheme="minorHAnsi"/>
          <w:lang w:val="en-GB"/>
        </w:rPr>
        <w:t xml:space="preserve"> Lomas et al., 2011).</w:t>
      </w:r>
    </w:p>
    <w:p w14:paraId="57B059A6" w14:textId="77777777" w:rsidR="00506208" w:rsidRPr="007C6F51" w:rsidRDefault="00506208" w:rsidP="00403CF8">
      <w:pPr>
        <w:spacing w:before="40" w:after="40"/>
        <w:rPr>
          <w:rFonts w:asciiTheme="minorHAnsi" w:eastAsia="Cambria" w:hAnsiTheme="minorHAnsi"/>
          <w:lang w:val="en-GB"/>
        </w:rPr>
      </w:pPr>
    </w:p>
    <w:p w14:paraId="28701838" w14:textId="06D7EDC1" w:rsidR="007A2027" w:rsidRPr="007C6F51" w:rsidRDefault="00506208" w:rsidP="00B46411">
      <w:pPr>
        <w:spacing w:before="40" w:after="40"/>
        <w:rPr>
          <w:rFonts w:asciiTheme="minorHAnsi" w:eastAsia="Cambria" w:hAnsiTheme="minorHAnsi"/>
          <w:lang w:val="en-GB"/>
        </w:rPr>
      </w:pPr>
      <w:r w:rsidRPr="007C6F51">
        <w:rPr>
          <w:rFonts w:asciiTheme="minorHAnsi" w:eastAsia="Cambria" w:hAnsiTheme="minorHAnsi"/>
          <w:lang w:val="en-GB"/>
        </w:rPr>
        <w:t>Given the complexities of the</w:t>
      </w:r>
      <w:r w:rsidR="006B11DF" w:rsidRPr="007C6F51">
        <w:rPr>
          <w:rFonts w:asciiTheme="minorHAnsi" w:eastAsia="Cambria" w:hAnsiTheme="minorHAnsi"/>
          <w:lang w:val="en-GB"/>
        </w:rPr>
        <w:t xml:space="preserve"> </w:t>
      </w:r>
      <w:r w:rsidRPr="007C6F51">
        <w:rPr>
          <w:rFonts w:asciiTheme="minorHAnsi" w:eastAsia="Cambria" w:hAnsiTheme="minorHAnsi"/>
          <w:lang w:val="en-GB"/>
        </w:rPr>
        <w:t>ocean carbon pump and its response to a changing climate there are a wide ra</w:t>
      </w:r>
      <w:r w:rsidR="0078283D" w:rsidRPr="007C6F51">
        <w:rPr>
          <w:rFonts w:asciiTheme="minorHAnsi" w:eastAsia="Cambria" w:hAnsiTheme="minorHAnsi"/>
          <w:lang w:val="en-GB"/>
        </w:rPr>
        <w:t>n</w:t>
      </w:r>
      <w:r w:rsidRPr="007C6F51">
        <w:rPr>
          <w:rFonts w:asciiTheme="minorHAnsi" w:eastAsia="Cambria" w:hAnsiTheme="minorHAnsi"/>
          <w:lang w:val="en-GB"/>
        </w:rPr>
        <w:t xml:space="preserve">ge of estimates of the </w:t>
      </w:r>
      <w:r w:rsidR="0078283D" w:rsidRPr="007C6F51">
        <w:rPr>
          <w:rFonts w:asciiTheme="minorHAnsi" w:eastAsia="Cambria" w:hAnsiTheme="minorHAnsi"/>
          <w:lang w:val="en-GB"/>
        </w:rPr>
        <w:t>magnitude and even net direction of change in the carbon pump in future. The state-of-the-art</w:t>
      </w:r>
      <w:r w:rsidR="00705B62" w:rsidRPr="007C6F51">
        <w:rPr>
          <w:rFonts w:asciiTheme="minorHAnsi" w:eastAsia="Cambria" w:hAnsiTheme="minorHAnsi"/>
          <w:lang w:val="en-GB"/>
        </w:rPr>
        <w:t xml:space="preserve"> in ocean modelling</w:t>
      </w:r>
      <w:r w:rsidR="0078283D" w:rsidRPr="007C6F51">
        <w:rPr>
          <w:rFonts w:asciiTheme="minorHAnsi" w:eastAsia="Cambria" w:hAnsiTheme="minorHAnsi"/>
          <w:lang w:val="en-GB"/>
        </w:rPr>
        <w:t xml:space="preserve"> (Nowicki et al., 2022) predicts a</w:t>
      </w:r>
      <w:r w:rsidR="006B11DF" w:rsidRPr="007C6F51">
        <w:rPr>
          <w:rFonts w:asciiTheme="minorHAnsi" w:eastAsia="Cambria" w:hAnsiTheme="minorHAnsi"/>
          <w:lang w:val="en-GB"/>
        </w:rPr>
        <w:t xml:space="preserve"> reduction in storage of 65</w:t>
      </w:r>
      <w:r w:rsidR="008252C0" w:rsidRPr="007C6F51">
        <w:rPr>
          <w:rFonts w:asciiTheme="minorHAnsi" w:eastAsia="Cambria" w:hAnsiTheme="minorHAnsi"/>
          <w:lang w:val="en-GB"/>
        </w:rPr>
        <w:t xml:space="preserve"> </w:t>
      </w:r>
      <w:r w:rsidR="006B11DF" w:rsidRPr="007C6F51">
        <w:rPr>
          <w:rFonts w:asciiTheme="minorHAnsi" w:eastAsia="Cambria" w:hAnsiTheme="minorHAnsi"/>
          <w:lang w:val="en-GB"/>
        </w:rPr>
        <w:t>Pg C</w:t>
      </w:r>
      <w:r w:rsidR="008252C0" w:rsidRPr="007C6F51">
        <w:rPr>
          <w:rFonts w:asciiTheme="minorHAnsi" w:eastAsia="Cambria" w:hAnsiTheme="minorHAnsi"/>
          <w:lang w:val="en-GB"/>
        </w:rPr>
        <w:t xml:space="preserve"> (</w:t>
      </w:r>
      <w:r w:rsidR="00993A8D" w:rsidRPr="007C6F51">
        <w:rPr>
          <w:rFonts w:asciiTheme="minorHAnsi" w:eastAsia="Cambria" w:hAnsiTheme="minorHAnsi"/>
          <w:lang w:val="en-GB"/>
        </w:rPr>
        <w:t>238 Pg CO</w:t>
      </w:r>
      <w:r w:rsidR="00993A8D" w:rsidRPr="007C6F51">
        <w:rPr>
          <w:rFonts w:asciiTheme="minorHAnsi" w:eastAsia="Cambria" w:hAnsiTheme="minorHAnsi"/>
          <w:vertAlign w:val="subscript"/>
          <w:lang w:val="en-GB"/>
        </w:rPr>
        <w:t>2</w:t>
      </w:r>
      <w:r w:rsidR="008252C0" w:rsidRPr="007C6F51">
        <w:rPr>
          <w:rFonts w:asciiTheme="minorHAnsi" w:eastAsia="Cambria" w:hAnsiTheme="minorHAnsi"/>
          <w:lang w:val="en-GB"/>
        </w:rPr>
        <w:t>)</w:t>
      </w:r>
      <w:r w:rsidR="006B11DF" w:rsidRPr="007C6F51">
        <w:rPr>
          <w:rFonts w:asciiTheme="minorHAnsi" w:eastAsia="Cambria" w:hAnsiTheme="minorHAnsi"/>
          <w:lang w:val="en-GB"/>
        </w:rPr>
        <w:t xml:space="preserve"> in the deep </w:t>
      </w:r>
      <w:r w:rsidR="008252C0" w:rsidRPr="007C6F51">
        <w:rPr>
          <w:rFonts w:asciiTheme="minorHAnsi" w:eastAsia="Cambria" w:hAnsiTheme="minorHAnsi"/>
          <w:lang w:val="en-GB"/>
        </w:rPr>
        <w:t xml:space="preserve">ocean </w:t>
      </w:r>
      <w:r w:rsidR="006B11DF" w:rsidRPr="007C6F51">
        <w:rPr>
          <w:rFonts w:asciiTheme="minorHAnsi" w:eastAsia="Cambria" w:hAnsiTheme="minorHAnsi"/>
          <w:lang w:val="en-GB"/>
        </w:rPr>
        <w:t xml:space="preserve">by the end of the </w:t>
      </w:r>
      <w:r w:rsidR="002454C3" w:rsidRPr="007C6F51">
        <w:rPr>
          <w:rFonts w:asciiTheme="minorHAnsi" w:eastAsia="Cambria" w:hAnsiTheme="minorHAnsi"/>
          <w:lang w:val="en-GB"/>
        </w:rPr>
        <w:t>century. H</w:t>
      </w:r>
      <w:r w:rsidR="00DD270B" w:rsidRPr="007C6F51">
        <w:rPr>
          <w:rFonts w:asciiTheme="minorHAnsi" w:eastAsia="Cambria" w:hAnsiTheme="minorHAnsi"/>
          <w:lang w:val="en-GB"/>
        </w:rPr>
        <w:t xml:space="preserve">owever, </w:t>
      </w:r>
      <w:proofErr w:type="gramStart"/>
      <w:r w:rsidR="00DD270B" w:rsidRPr="007C6F51">
        <w:rPr>
          <w:rFonts w:asciiTheme="minorHAnsi" w:eastAsia="Cambria" w:hAnsiTheme="minorHAnsi"/>
          <w:lang w:val="en-GB"/>
        </w:rPr>
        <w:t>overall</w:t>
      </w:r>
      <w:proofErr w:type="gramEnd"/>
      <w:r w:rsidR="00DD270B" w:rsidRPr="007C6F51">
        <w:rPr>
          <w:rFonts w:asciiTheme="minorHAnsi" w:eastAsia="Cambria" w:hAnsiTheme="minorHAnsi"/>
          <w:lang w:val="en-GB"/>
        </w:rPr>
        <w:t xml:space="preserve"> the direction, let alone the magnitude of the response is yet unclear (Henson et al., 2022),</w:t>
      </w:r>
      <w:r w:rsidR="0029756A" w:rsidRPr="007C6F51">
        <w:rPr>
          <w:rFonts w:asciiTheme="minorHAnsi" w:eastAsia="Cambria" w:hAnsiTheme="minorHAnsi"/>
          <w:lang w:val="en-GB"/>
        </w:rPr>
        <w:t xml:space="preserve"> with net changes in </w:t>
      </w:r>
      <w:r w:rsidR="00EA0055" w:rsidRPr="007C6F51">
        <w:rPr>
          <w:rFonts w:asciiTheme="minorHAnsi" w:eastAsia="Cambria" w:hAnsiTheme="minorHAnsi"/>
          <w:lang w:val="en-GB"/>
        </w:rPr>
        <w:t>global carbon export</w:t>
      </w:r>
      <w:r w:rsidR="0029756A" w:rsidRPr="007C6F51">
        <w:rPr>
          <w:rFonts w:asciiTheme="minorHAnsi" w:eastAsia="Cambria" w:hAnsiTheme="minorHAnsi"/>
          <w:lang w:val="en-GB"/>
        </w:rPr>
        <w:t xml:space="preserve"> strength of </w:t>
      </w:r>
      <w:r w:rsidR="007B69E7" w:rsidRPr="007C6F51">
        <w:rPr>
          <w:rFonts w:asciiTheme="minorHAnsi" w:eastAsia="Cambria" w:hAnsiTheme="minorHAnsi"/>
          <w:lang w:val="en-GB"/>
        </w:rPr>
        <w:t>–</w:t>
      </w:r>
      <w:r w:rsidR="0029756A" w:rsidRPr="007C6F51">
        <w:rPr>
          <w:rFonts w:asciiTheme="minorHAnsi" w:eastAsia="Cambria" w:hAnsiTheme="minorHAnsi"/>
          <w:lang w:val="en-GB"/>
        </w:rPr>
        <w:t>41 to +1.8%</w:t>
      </w:r>
      <w:r w:rsidR="00EA0055" w:rsidRPr="007C6F51">
        <w:rPr>
          <w:rFonts w:asciiTheme="minorHAnsi" w:eastAsia="Cambria" w:hAnsiTheme="minorHAnsi"/>
          <w:lang w:val="en-GB"/>
        </w:rPr>
        <w:t xml:space="preserve">. On this basis we adopt the range of 10 to </w:t>
      </w:r>
      <w:r w:rsidR="007B69E7" w:rsidRPr="007C6F51">
        <w:rPr>
          <w:rFonts w:asciiTheme="minorHAnsi" w:eastAsia="Cambria" w:hAnsiTheme="minorHAnsi"/>
          <w:lang w:val="en-GB"/>
        </w:rPr>
        <w:t>–</w:t>
      </w:r>
      <w:r w:rsidR="00EA0055" w:rsidRPr="007C6F51">
        <w:rPr>
          <w:rFonts w:asciiTheme="minorHAnsi" w:eastAsia="Cambria" w:hAnsiTheme="minorHAnsi"/>
          <w:lang w:val="en-GB"/>
        </w:rPr>
        <w:t>238 Pg CO</w:t>
      </w:r>
      <w:r w:rsidR="00EA0055" w:rsidRPr="007C6F51">
        <w:rPr>
          <w:rFonts w:asciiTheme="minorHAnsi" w:eastAsia="Cambria" w:hAnsiTheme="minorHAnsi"/>
          <w:vertAlign w:val="subscript"/>
          <w:lang w:val="en-GB"/>
        </w:rPr>
        <w:t>2</w:t>
      </w:r>
      <w:r w:rsidR="00EA0055" w:rsidRPr="007C6F51">
        <w:rPr>
          <w:rFonts w:asciiTheme="minorHAnsi" w:eastAsia="Cambria" w:hAnsiTheme="minorHAnsi"/>
          <w:lang w:val="en-GB"/>
        </w:rPr>
        <w:t xml:space="preserve"> as the possible range of </w:t>
      </w:r>
      <w:proofErr w:type="gramStart"/>
      <w:r w:rsidR="00EA0055" w:rsidRPr="007C6F51">
        <w:rPr>
          <w:rFonts w:asciiTheme="minorHAnsi" w:eastAsia="Cambria" w:hAnsiTheme="minorHAnsi"/>
          <w:lang w:val="en-GB"/>
        </w:rPr>
        <w:t>responses.</w:t>
      </w:r>
      <w:r w:rsidR="00403CF8" w:rsidRPr="007C6F51">
        <w:rPr>
          <w:rFonts w:asciiTheme="minorHAnsi" w:eastAsia="Cambria" w:hAnsiTheme="minorHAnsi"/>
          <w:lang w:val="en-GB"/>
        </w:rPr>
        <w:t>.</w:t>
      </w:r>
      <w:proofErr w:type="gramEnd"/>
    </w:p>
    <w:p w14:paraId="53705D84" w14:textId="77777777" w:rsidR="007A2027" w:rsidRPr="007C6F51" w:rsidRDefault="00973424">
      <w:pPr>
        <w:pStyle w:val="Heading2"/>
        <w:keepNext w:val="0"/>
        <w:keepLines w:val="0"/>
        <w:spacing w:before="200" w:after="0"/>
        <w:rPr>
          <w:rFonts w:asciiTheme="minorHAnsi" w:eastAsia="Calibri" w:hAnsiTheme="minorHAnsi"/>
          <w:b/>
          <w:color w:val="4F81BD"/>
        </w:rPr>
      </w:pPr>
      <w:bookmarkStart w:id="19" w:name="_er4945l2cm4v"/>
      <w:bookmarkStart w:id="20" w:name="_exm84lxsv31k"/>
      <w:bookmarkEnd w:id="19"/>
      <w:bookmarkEnd w:id="20"/>
      <w:r w:rsidRPr="007C6F51">
        <w:rPr>
          <w:rFonts w:asciiTheme="minorHAnsi" w:eastAsia="Calibri" w:hAnsiTheme="minorHAnsi"/>
          <w:b/>
          <w:color w:val="4F81BD"/>
        </w:rPr>
        <w:t>References</w:t>
      </w:r>
    </w:p>
    <w:p w14:paraId="0B0FA287" w14:textId="53B104F6" w:rsidR="00C60DCB" w:rsidRPr="007C6F51" w:rsidRDefault="006F52A6" w:rsidP="00092C32">
      <w:pPr>
        <w:spacing w:before="180" w:after="180"/>
        <w:rPr>
          <w:rFonts w:asciiTheme="minorHAnsi" w:hAnsiTheme="minorHAnsi"/>
        </w:rPr>
      </w:pPr>
      <w:r w:rsidRPr="007C6F51">
        <w:rPr>
          <w:rFonts w:asciiTheme="minorHAnsi" w:hAnsiTheme="minorHAnsi"/>
        </w:rPr>
        <w:t xml:space="preserve">Assis, J., </w:t>
      </w:r>
      <w:proofErr w:type="spellStart"/>
      <w:r w:rsidRPr="007C6F51">
        <w:rPr>
          <w:rFonts w:asciiTheme="minorHAnsi" w:hAnsiTheme="minorHAnsi"/>
        </w:rPr>
        <w:t>Berecibar</w:t>
      </w:r>
      <w:proofErr w:type="spellEnd"/>
      <w:r w:rsidRPr="007C6F51">
        <w:rPr>
          <w:rFonts w:asciiTheme="minorHAnsi" w:hAnsiTheme="minorHAnsi"/>
        </w:rPr>
        <w:t xml:space="preserve">, E., Claro, B., Alberto, F., Reed, D., Raimondi, P. and </w:t>
      </w:r>
      <w:proofErr w:type="spellStart"/>
      <w:r w:rsidRPr="007C6F51">
        <w:rPr>
          <w:rFonts w:asciiTheme="minorHAnsi" w:hAnsiTheme="minorHAnsi"/>
        </w:rPr>
        <w:t>Serrão</w:t>
      </w:r>
      <w:proofErr w:type="spellEnd"/>
      <w:r w:rsidRPr="007C6F51">
        <w:rPr>
          <w:rFonts w:asciiTheme="minorHAnsi" w:hAnsiTheme="minorHAnsi"/>
        </w:rPr>
        <w:t xml:space="preserve">, E.A., 2017. Major shifts at the range edge of marine forests: the combined effects of climate changes and limited dispersal. </w:t>
      </w:r>
      <w:r w:rsidRPr="007C6F51">
        <w:rPr>
          <w:rFonts w:asciiTheme="minorHAnsi" w:hAnsiTheme="minorHAnsi"/>
          <w:i/>
          <w:iCs/>
        </w:rPr>
        <w:t>Scientific Reports</w:t>
      </w:r>
      <w:r w:rsidRPr="007C6F51">
        <w:rPr>
          <w:rFonts w:asciiTheme="minorHAnsi" w:hAnsiTheme="minorHAnsi"/>
        </w:rPr>
        <w:t xml:space="preserve">, </w:t>
      </w:r>
      <w:r w:rsidRPr="007C6F51">
        <w:rPr>
          <w:rFonts w:asciiTheme="minorHAnsi" w:hAnsiTheme="minorHAnsi"/>
          <w:i/>
          <w:iCs/>
        </w:rPr>
        <w:t>7</w:t>
      </w:r>
      <w:r w:rsidRPr="007C6F51">
        <w:rPr>
          <w:rFonts w:asciiTheme="minorHAnsi" w:hAnsiTheme="minorHAnsi"/>
        </w:rPr>
        <w:t>(1), pp.1-10.</w:t>
      </w:r>
    </w:p>
    <w:p w14:paraId="38AF4D66" w14:textId="42351FBE" w:rsidR="003A009B" w:rsidRPr="007C6F51" w:rsidRDefault="003A009B" w:rsidP="00092C32">
      <w:pPr>
        <w:spacing w:before="180" w:after="180"/>
        <w:rPr>
          <w:rFonts w:asciiTheme="minorHAnsi" w:hAnsiTheme="minorHAnsi"/>
        </w:rPr>
      </w:pPr>
      <w:proofErr w:type="spellStart"/>
      <w:r w:rsidRPr="007C6F51">
        <w:rPr>
          <w:rFonts w:asciiTheme="minorHAnsi" w:hAnsiTheme="minorHAnsi"/>
        </w:rPr>
        <w:t>Barrón</w:t>
      </w:r>
      <w:proofErr w:type="spellEnd"/>
      <w:r w:rsidRPr="007C6F51">
        <w:rPr>
          <w:rFonts w:asciiTheme="minorHAnsi" w:hAnsiTheme="minorHAnsi"/>
        </w:rPr>
        <w:t xml:space="preserve">, C. and Duarte, C.M., 2015. Dissolved organic carbon pools and export from the coastal ocean. </w:t>
      </w:r>
      <w:r w:rsidRPr="007C6F51">
        <w:rPr>
          <w:rFonts w:asciiTheme="minorHAnsi" w:hAnsiTheme="minorHAnsi"/>
          <w:i/>
          <w:iCs/>
        </w:rPr>
        <w:t>Global Biogeochemical Cycles</w:t>
      </w:r>
      <w:r w:rsidRPr="007C6F51">
        <w:rPr>
          <w:rFonts w:asciiTheme="minorHAnsi" w:hAnsiTheme="minorHAnsi"/>
        </w:rPr>
        <w:t xml:space="preserve">, </w:t>
      </w:r>
      <w:r w:rsidRPr="007C6F51">
        <w:rPr>
          <w:rFonts w:asciiTheme="minorHAnsi" w:hAnsiTheme="minorHAnsi"/>
          <w:i/>
          <w:iCs/>
        </w:rPr>
        <w:t>29</w:t>
      </w:r>
      <w:r w:rsidRPr="007C6F51">
        <w:rPr>
          <w:rFonts w:asciiTheme="minorHAnsi" w:hAnsiTheme="minorHAnsi"/>
        </w:rPr>
        <w:t>(10), pp.1725-1738.</w:t>
      </w:r>
    </w:p>
    <w:p w14:paraId="7A7AF724" w14:textId="4719827A" w:rsidR="007C0E59" w:rsidRPr="007C6F51" w:rsidRDefault="007C0E59" w:rsidP="00092C32">
      <w:pPr>
        <w:spacing w:before="180" w:after="180"/>
        <w:rPr>
          <w:rFonts w:asciiTheme="minorHAnsi" w:eastAsia="Roboto" w:hAnsiTheme="minorHAnsi"/>
          <w:color w:val="222222"/>
          <w:highlight w:val="white"/>
          <w:lang w:val="en-GB"/>
        </w:rPr>
      </w:pPr>
      <w:r w:rsidRPr="007C6F51">
        <w:rPr>
          <w:rFonts w:asciiTheme="minorHAnsi" w:hAnsiTheme="minorHAnsi"/>
        </w:rPr>
        <w:t xml:space="preserve">Bauer, J.E., Cai, W.J., Raymond, P.A., Bianchi, T.S., Hopkinson, C.S. and </w:t>
      </w:r>
      <w:proofErr w:type="spellStart"/>
      <w:r w:rsidRPr="007C6F51">
        <w:rPr>
          <w:rFonts w:asciiTheme="minorHAnsi" w:hAnsiTheme="minorHAnsi"/>
        </w:rPr>
        <w:t>Regnier</w:t>
      </w:r>
      <w:proofErr w:type="spellEnd"/>
      <w:r w:rsidRPr="007C6F51">
        <w:rPr>
          <w:rFonts w:asciiTheme="minorHAnsi" w:hAnsiTheme="minorHAnsi"/>
        </w:rPr>
        <w:t xml:space="preserve">, P.A., 2013. The changing carbon cycle of the coastal ocean. </w:t>
      </w:r>
      <w:r w:rsidRPr="007C6F51">
        <w:rPr>
          <w:rFonts w:asciiTheme="minorHAnsi" w:hAnsiTheme="minorHAnsi"/>
          <w:i/>
          <w:iCs/>
        </w:rPr>
        <w:t>Nature</w:t>
      </w:r>
      <w:r w:rsidRPr="007C6F51">
        <w:rPr>
          <w:rFonts w:asciiTheme="minorHAnsi" w:hAnsiTheme="minorHAnsi"/>
        </w:rPr>
        <w:t xml:space="preserve">, </w:t>
      </w:r>
      <w:r w:rsidRPr="007C6F51">
        <w:rPr>
          <w:rFonts w:asciiTheme="minorHAnsi" w:hAnsiTheme="minorHAnsi"/>
          <w:i/>
          <w:iCs/>
        </w:rPr>
        <w:t>504</w:t>
      </w:r>
      <w:r w:rsidRPr="007C6F51">
        <w:rPr>
          <w:rFonts w:asciiTheme="minorHAnsi" w:hAnsiTheme="minorHAnsi"/>
        </w:rPr>
        <w:t>(7478), pp.61-70.</w:t>
      </w:r>
    </w:p>
    <w:p w14:paraId="1EAC20C6" w14:textId="2B470D14" w:rsidR="00865A7C" w:rsidRPr="007C6F51" w:rsidRDefault="00865A7C" w:rsidP="000E04FF">
      <w:pPr>
        <w:rPr>
          <w:rFonts w:asciiTheme="minorHAnsi" w:hAnsiTheme="minorHAnsi"/>
        </w:rPr>
      </w:pPr>
      <w:proofErr w:type="spellStart"/>
      <w:r w:rsidRPr="007C6F51">
        <w:rPr>
          <w:rFonts w:asciiTheme="minorHAnsi" w:hAnsiTheme="minorHAnsi"/>
        </w:rPr>
        <w:t>Bednaršek</w:t>
      </w:r>
      <w:proofErr w:type="spellEnd"/>
      <w:r w:rsidRPr="007C6F51">
        <w:rPr>
          <w:rFonts w:asciiTheme="minorHAnsi" w:hAnsiTheme="minorHAnsi"/>
        </w:rPr>
        <w:t xml:space="preserve">, N., </w:t>
      </w:r>
      <w:proofErr w:type="spellStart"/>
      <w:r w:rsidRPr="007C6F51">
        <w:rPr>
          <w:rFonts w:asciiTheme="minorHAnsi" w:hAnsiTheme="minorHAnsi"/>
        </w:rPr>
        <w:t>Možina</w:t>
      </w:r>
      <w:proofErr w:type="spellEnd"/>
      <w:r w:rsidRPr="007C6F51">
        <w:rPr>
          <w:rFonts w:asciiTheme="minorHAnsi" w:hAnsiTheme="minorHAnsi"/>
        </w:rPr>
        <w:t xml:space="preserve">, J., Vogt, M., O'Brien, C. and Tarling, G.A., 2012. The global distribution of pteropods and their contribution to carbonate and carbon biomass in the modern ocean. </w:t>
      </w:r>
      <w:r w:rsidRPr="007C6F51">
        <w:rPr>
          <w:rFonts w:asciiTheme="minorHAnsi" w:hAnsiTheme="minorHAnsi"/>
          <w:i/>
          <w:iCs/>
        </w:rPr>
        <w:t>Earth System Science Data</w:t>
      </w:r>
      <w:r w:rsidRPr="007C6F51">
        <w:rPr>
          <w:rFonts w:asciiTheme="minorHAnsi" w:hAnsiTheme="minorHAnsi"/>
        </w:rPr>
        <w:t xml:space="preserve">, </w:t>
      </w:r>
      <w:r w:rsidRPr="007C6F51">
        <w:rPr>
          <w:rFonts w:asciiTheme="minorHAnsi" w:hAnsiTheme="minorHAnsi"/>
          <w:i/>
          <w:iCs/>
        </w:rPr>
        <w:t>4</w:t>
      </w:r>
      <w:r w:rsidRPr="007C6F51">
        <w:rPr>
          <w:rFonts w:asciiTheme="minorHAnsi" w:hAnsiTheme="minorHAnsi"/>
        </w:rPr>
        <w:t>(1), pp.167-186.</w:t>
      </w:r>
    </w:p>
    <w:p w14:paraId="174A6315" w14:textId="7E15A01B" w:rsidR="00B95EE2" w:rsidRPr="007C6F51" w:rsidRDefault="00B95EE2" w:rsidP="00092C32">
      <w:pPr>
        <w:spacing w:before="180" w:after="180"/>
        <w:rPr>
          <w:rFonts w:asciiTheme="minorHAnsi" w:hAnsiTheme="minorHAnsi"/>
        </w:rPr>
      </w:pPr>
      <w:proofErr w:type="spellStart"/>
      <w:r w:rsidRPr="007C6F51">
        <w:rPr>
          <w:rFonts w:asciiTheme="minorHAnsi" w:hAnsiTheme="minorHAnsi"/>
        </w:rPr>
        <w:t>Buesseler</w:t>
      </w:r>
      <w:proofErr w:type="spellEnd"/>
      <w:r w:rsidRPr="007C6F51">
        <w:rPr>
          <w:rFonts w:asciiTheme="minorHAnsi" w:hAnsiTheme="minorHAnsi"/>
        </w:rPr>
        <w:t xml:space="preserve">, K. O., P. W. Boyd, Erin E. Black, and David A. Siegel. "Metrics that matter for assessing the ocean biological carbon pump." </w:t>
      </w:r>
      <w:r w:rsidRPr="007C6F51">
        <w:rPr>
          <w:rFonts w:asciiTheme="minorHAnsi" w:hAnsiTheme="minorHAnsi"/>
          <w:i/>
          <w:iCs/>
        </w:rPr>
        <w:t>Proceedings of the National Academy of Sciences</w:t>
      </w:r>
      <w:r w:rsidRPr="007C6F51">
        <w:rPr>
          <w:rFonts w:asciiTheme="minorHAnsi" w:hAnsiTheme="minorHAnsi"/>
        </w:rPr>
        <w:t xml:space="preserve"> 117, no. 18 (2020): 9679-9687.</w:t>
      </w:r>
    </w:p>
    <w:p w14:paraId="192D24A8" w14:textId="5C6E8753" w:rsidR="00E234E4" w:rsidRPr="007C6F51" w:rsidRDefault="00E234E4" w:rsidP="00092C32">
      <w:pPr>
        <w:spacing w:before="180" w:after="180"/>
        <w:rPr>
          <w:rFonts w:asciiTheme="minorHAnsi" w:hAnsiTheme="minorHAnsi"/>
        </w:rPr>
      </w:pPr>
      <w:proofErr w:type="spellStart"/>
      <w:r w:rsidRPr="007C6F51">
        <w:rPr>
          <w:rFonts w:asciiTheme="minorHAnsi" w:hAnsiTheme="minorHAnsi"/>
        </w:rPr>
        <w:t>Buschmann</w:t>
      </w:r>
      <w:proofErr w:type="spellEnd"/>
      <w:r w:rsidRPr="007C6F51">
        <w:rPr>
          <w:rFonts w:asciiTheme="minorHAnsi" w:hAnsiTheme="minorHAnsi"/>
        </w:rPr>
        <w:t xml:space="preserve">, Alejandro H., et al. </w:t>
      </w:r>
      <w:r w:rsidR="005C30FC" w:rsidRPr="007C6F51">
        <w:rPr>
          <w:rFonts w:asciiTheme="minorHAnsi" w:hAnsiTheme="minorHAnsi"/>
        </w:rPr>
        <w:t>“</w:t>
      </w:r>
      <w:r w:rsidRPr="007C6F51">
        <w:rPr>
          <w:rFonts w:asciiTheme="minorHAnsi" w:hAnsiTheme="minorHAnsi"/>
        </w:rPr>
        <w:t>Seaweed production: overview of the global state of exploitation, farming and emerging research activity.</w:t>
      </w:r>
      <w:r w:rsidR="005C30FC" w:rsidRPr="007C6F51">
        <w:rPr>
          <w:rFonts w:asciiTheme="minorHAnsi" w:hAnsiTheme="minorHAnsi"/>
        </w:rPr>
        <w:t>”</w:t>
      </w:r>
      <w:r w:rsidRPr="007C6F51">
        <w:rPr>
          <w:rFonts w:asciiTheme="minorHAnsi" w:hAnsiTheme="minorHAnsi"/>
        </w:rPr>
        <w:t xml:space="preserve"> </w:t>
      </w:r>
      <w:r w:rsidRPr="007C6F51">
        <w:rPr>
          <w:rFonts w:asciiTheme="minorHAnsi" w:hAnsiTheme="minorHAnsi"/>
          <w:i/>
          <w:iCs/>
        </w:rPr>
        <w:t>European Journal of Phycology</w:t>
      </w:r>
      <w:r w:rsidRPr="007C6F51">
        <w:rPr>
          <w:rFonts w:asciiTheme="minorHAnsi" w:hAnsiTheme="minorHAnsi"/>
        </w:rPr>
        <w:t xml:space="preserve"> 52.4 (2017): 391-406.</w:t>
      </w:r>
    </w:p>
    <w:p w14:paraId="61E9C4AE" w14:textId="75AE710D" w:rsidR="00EC5C6F" w:rsidRPr="007C6F51" w:rsidRDefault="00EC5C6F" w:rsidP="00092C32">
      <w:pPr>
        <w:spacing w:before="180" w:after="180"/>
        <w:rPr>
          <w:rFonts w:asciiTheme="minorHAnsi" w:eastAsia="Roboto" w:hAnsiTheme="minorHAnsi"/>
          <w:color w:val="222222"/>
          <w:highlight w:val="white"/>
          <w:lang w:val="en-GB"/>
        </w:rPr>
      </w:pPr>
      <w:proofErr w:type="spellStart"/>
      <w:r w:rsidRPr="007C6F51">
        <w:rPr>
          <w:rFonts w:asciiTheme="minorHAnsi" w:hAnsiTheme="minorHAnsi"/>
        </w:rPr>
        <w:t>Chaichana</w:t>
      </w:r>
      <w:proofErr w:type="spellEnd"/>
      <w:r w:rsidRPr="007C6F51">
        <w:rPr>
          <w:rFonts w:asciiTheme="minorHAnsi" w:hAnsiTheme="minorHAnsi"/>
        </w:rPr>
        <w:t xml:space="preserve">, S., </w:t>
      </w:r>
      <w:proofErr w:type="spellStart"/>
      <w:r w:rsidRPr="007C6F51">
        <w:rPr>
          <w:rFonts w:asciiTheme="minorHAnsi" w:hAnsiTheme="minorHAnsi"/>
        </w:rPr>
        <w:t>Jickells</w:t>
      </w:r>
      <w:proofErr w:type="spellEnd"/>
      <w:r w:rsidRPr="007C6F51">
        <w:rPr>
          <w:rFonts w:asciiTheme="minorHAnsi" w:hAnsiTheme="minorHAnsi"/>
        </w:rPr>
        <w:t xml:space="preserve">, T. and Johnson, M., 2019. Interannual variability in the summer dissolved organic matter inventory of the North Sea: implications for the continental shelf pump. </w:t>
      </w:r>
      <w:proofErr w:type="spellStart"/>
      <w:r w:rsidRPr="007C6F51">
        <w:rPr>
          <w:rFonts w:asciiTheme="minorHAnsi" w:hAnsiTheme="minorHAnsi"/>
          <w:i/>
          <w:iCs/>
        </w:rPr>
        <w:t>Biogeosciences</w:t>
      </w:r>
      <w:proofErr w:type="spellEnd"/>
      <w:r w:rsidRPr="007C6F51">
        <w:rPr>
          <w:rFonts w:asciiTheme="minorHAnsi" w:hAnsiTheme="minorHAnsi"/>
        </w:rPr>
        <w:t xml:space="preserve">, </w:t>
      </w:r>
      <w:r w:rsidRPr="007C6F51">
        <w:rPr>
          <w:rFonts w:asciiTheme="minorHAnsi" w:hAnsiTheme="minorHAnsi"/>
          <w:i/>
          <w:iCs/>
        </w:rPr>
        <w:t>16</w:t>
      </w:r>
      <w:r w:rsidRPr="007C6F51">
        <w:rPr>
          <w:rFonts w:asciiTheme="minorHAnsi" w:hAnsiTheme="minorHAnsi"/>
        </w:rPr>
        <w:t>(5), pp.1073-1096.</w:t>
      </w:r>
    </w:p>
    <w:p w14:paraId="227CD044" w14:textId="7F6BB41D" w:rsidR="00092C32" w:rsidRPr="007C6F51" w:rsidRDefault="00092C32" w:rsidP="00092C32">
      <w:pPr>
        <w:spacing w:before="180" w:after="180"/>
        <w:rPr>
          <w:rFonts w:asciiTheme="minorHAnsi" w:eastAsia="Roboto" w:hAnsiTheme="minorHAnsi"/>
          <w:color w:val="222222"/>
          <w:highlight w:val="white"/>
          <w:lang w:val="en-GB"/>
        </w:rPr>
      </w:pPr>
      <w:r w:rsidRPr="007C6F51">
        <w:rPr>
          <w:rFonts w:asciiTheme="minorHAnsi" w:eastAsia="Roboto" w:hAnsiTheme="minorHAnsi"/>
          <w:color w:val="222222"/>
          <w:highlight w:val="white"/>
          <w:lang w:val="en-GB"/>
        </w:rPr>
        <w:t xml:space="preserve">Comeau, S., Jeffree, R., </w:t>
      </w:r>
      <w:proofErr w:type="spellStart"/>
      <w:r w:rsidRPr="007C6F51">
        <w:rPr>
          <w:rFonts w:asciiTheme="minorHAnsi" w:eastAsia="Roboto" w:hAnsiTheme="minorHAnsi"/>
          <w:color w:val="222222"/>
          <w:highlight w:val="white"/>
          <w:lang w:val="en-GB"/>
        </w:rPr>
        <w:t>Teyssié</w:t>
      </w:r>
      <w:proofErr w:type="spellEnd"/>
      <w:r w:rsidRPr="007C6F51">
        <w:rPr>
          <w:rFonts w:asciiTheme="minorHAnsi" w:eastAsia="Roboto" w:hAnsiTheme="minorHAnsi"/>
          <w:color w:val="222222"/>
          <w:highlight w:val="white"/>
          <w:lang w:val="en-GB"/>
        </w:rPr>
        <w:t xml:space="preserve">, J.-L., and </w:t>
      </w:r>
      <w:proofErr w:type="spellStart"/>
      <w:r w:rsidRPr="007C6F51">
        <w:rPr>
          <w:rFonts w:asciiTheme="minorHAnsi" w:eastAsia="Roboto" w:hAnsiTheme="minorHAnsi"/>
          <w:color w:val="222222"/>
          <w:highlight w:val="white"/>
          <w:lang w:val="en-GB"/>
        </w:rPr>
        <w:t>Gattuso</w:t>
      </w:r>
      <w:proofErr w:type="spellEnd"/>
      <w:r w:rsidRPr="007C6F51">
        <w:rPr>
          <w:rFonts w:asciiTheme="minorHAnsi" w:eastAsia="Roboto" w:hAnsiTheme="minorHAnsi"/>
          <w:color w:val="222222"/>
          <w:highlight w:val="white"/>
          <w:lang w:val="en-GB"/>
        </w:rPr>
        <w:t>, J.-P. (2010). Response of the arctic pteropod </w:t>
      </w:r>
      <w:proofErr w:type="spellStart"/>
      <w:r w:rsidRPr="007C6F51">
        <w:rPr>
          <w:rFonts w:asciiTheme="minorHAnsi" w:eastAsia="Roboto" w:hAnsiTheme="minorHAnsi"/>
          <w:color w:val="222222"/>
          <w:highlight w:val="white"/>
          <w:lang w:val="en-GB"/>
        </w:rPr>
        <w:t>Limacina</w:t>
      </w:r>
      <w:proofErr w:type="spellEnd"/>
      <w:r w:rsidRPr="007C6F51">
        <w:rPr>
          <w:rFonts w:asciiTheme="minorHAnsi" w:eastAsia="Roboto" w:hAnsiTheme="minorHAnsi"/>
          <w:color w:val="222222"/>
          <w:highlight w:val="white"/>
          <w:lang w:val="en-GB"/>
        </w:rPr>
        <w:t xml:space="preserve"> </w:t>
      </w:r>
      <w:proofErr w:type="spellStart"/>
      <w:r w:rsidRPr="007C6F51">
        <w:rPr>
          <w:rFonts w:asciiTheme="minorHAnsi" w:eastAsia="Roboto" w:hAnsiTheme="minorHAnsi"/>
          <w:color w:val="222222"/>
          <w:highlight w:val="white"/>
          <w:lang w:val="en-GB"/>
        </w:rPr>
        <w:t>helicina</w:t>
      </w:r>
      <w:proofErr w:type="spellEnd"/>
      <w:r w:rsidRPr="007C6F51">
        <w:rPr>
          <w:rFonts w:asciiTheme="minorHAnsi" w:eastAsia="Roboto" w:hAnsiTheme="minorHAnsi"/>
          <w:color w:val="222222"/>
          <w:highlight w:val="white"/>
          <w:lang w:val="en-GB"/>
        </w:rPr>
        <w:t xml:space="preserve"> to projected future environmental conditions. </w:t>
      </w:r>
      <w:proofErr w:type="spellStart"/>
      <w:r w:rsidRPr="007C6F51">
        <w:rPr>
          <w:rFonts w:asciiTheme="minorHAnsi" w:eastAsia="Roboto" w:hAnsiTheme="minorHAnsi"/>
          <w:color w:val="222222"/>
          <w:highlight w:val="white"/>
          <w:lang w:val="en-GB"/>
        </w:rPr>
        <w:t>PloS</w:t>
      </w:r>
      <w:proofErr w:type="spellEnd"/>
      <w:r w:rsidRPr="007C6F51">
        <w:rPr>
          <w:rFonts w:asciiTheme="minorHAnsi" w:eastAsia="Roboto" w:hAnsiTheme="minorHAnsi"/>
          <w:color w:val="222222"/>
          <w:highlight w:val="white"/>
          <w:lang w:val="en-GB"/>
        </w:rPr>
        <w:t xml:space="preserve"> one 5, e11362.</w:t>
      </w:r>
    </w:p>
    <w:p w14:paraId="301615A3" w14:textId="6C7BEB25" w:rsidR="00D97169" w:rsidRPr="007C6F51" w:rsidRDefault="00D97169" w:rsidP="00C60DCB">
      <w:pPr>
        <w:spacing w:before="180" w:after="180"/>
        <w:rPr>
          <w:rFonts w:asciiTheme="minorHAnsi" w:hAnsiTheme="minorHAnsi"/>
        </w:rPr>
      </w:pPr>
      <w:r w:rsidRPr="007C6F51">
        <w:rPr>
          <w:rFonts w:asciiTheme="minorHAnsi" w:hAnsiTheme="minorHAnsi"/>
        </w:rPr>
        <w:t xml:space="preserve">Davis, K.L., Colefax, A.P., Tucker, J.P., </w:t>
      </w:r>
      <w:proofErr w:type="spellStart"/>
      <w:r w:rsidRPr="007C6F51">
        <w:rPr>
          <w:rFonts w:asciiTheme="minorHAnsi" w:hAnsiTheme="minorHAnsi"/>
        </w:rPr>
        <w:t>Kelaher</w:t>
      </w:r>
      <w:proofErr w:type="spellEnd"/>
      <w:r w:rsidRPr="007C6F51">
        <w:rPr>
          <w:rFonts w:asciiTheme="minorHAnsi" w:hAnsiTheme="minorHAnsi"/>
        </w:rPr>
        <w:t xml:space="preserve">, B.P. and Santos, I.R., 2021. Global coral reef ecosystems exhibit declining calcification and increasing primary productivity. </w:t>
      </w:r>
      <w:r w:rsidRPr="007C6F51">
        <w:rPr>
          <w:rFonts w:asciiTheme="minorHAnsi" w:hAnsiTheme="minorHAnsi"/>
          <w:i/>
          <w:iCs/>
        </w:rPr>
        <w:t>Communications Earth &amp; Environment</w:t>
      </w:r>
      <w:r w:rsidRPr="007C6F51">
        <w:rPr>
          <w:rFonts w:asciiTheme="minorHAnsi" w:hAnsiTheme="minorHAnsi"/>
        </w:rPr>
        <w:t xml:space="preserve">, </w:t>
      </w:r>
      <w:r w:rsidRPr="007C6F51">
        <w:rPr>
          <w:rFonts w:asciiTheme="minorHAnsi" w:hAnsiTheme="minorHAnsi"/>
          <w:i/>
          <w:iCs/>
        </w:rPr>
        <w:t>2</w:t>
      </w:r>
      <w:r w:rsidRPr="007C6F51">
        <w:rPr>
          <w:rFonts w:asciiTheme="minorHAnsi" w:hAnsiTheme="minorHAnsi"/>
        </w:rPr>
        <w:t>(1), p.105.</w:t>
      </w:r>
    </w:p>
    <w:p w14:paraId="59FEDF2C" w14:textId="2272FB0E" w:rsidR="00C60DCB" w:rsidRPr="007C6F51" w:rsidRDefault="00C60DCB" w:rsidP="00C60DCB">
      <w:pPr>
        <w:spacing w:before="180" w:after="180"/>
        <w:rPr>
          <w:rFonts w:asciiTheme="minorHAnsi" w:hAnsiTheme="minorHAnsi"/>
        </w:rPr>
      </w:pPr>
      <w:r w:rsidRPr="007C6F51">
        <w:rPr>
          <w:rFonts w:asciiTheme="minorHAnsi" w:hAnsiTheme="minorHAnsi"/>
        </w:rPr>
        <w:t xml:space="preserve">De Ramon, </w:t>
      </w:r>
      <w:proofErr w:type="spellStart"/>
      <w:r w:rsidRPr="007C6F51">
        <w:rPr>
          <w:rFonts w:asciiTheme="minorHAnsi" w:hAnsiTheme="minorHAnsi"/>
        </w:rPr>
        <w:t>N’Yeurt</w:t>
      </w:r>
      <w:proofErr w:type="spellEnd"/>
      <w:r w:rsidRPr="007C6F51">
        <w:rPr>
          <w:rFonts w:asciiTheme="minorHAnsi" w:hAnsiTheme="minorHAnsi"/>
        </w:rPr>
        <w:t xml:space="preserve">, A., Chynoweth, D.P., Capron, M.E., Stewart, J.R. and Hasan, M.A., 2012. Negative carbon via ocean afforestation. </w:t>
      </w:r>
      <w:r w:rsidRPr="007C6F51">
        <w:rPr>
          <w:rFonts w:asciiTheme="minorHAnsi" w:hAnsiTheme="minorHAnsi"/>
          <w:i/>
          <w:iCs/>
        </w:rPr>
        <w:t>Process Safety and Environmental Protection</w:t>
      </w:r>
      <w:r w:rsidRPr="007C6F51">
        <w:rPr>
          <w:rFonts w:asciiTheme="minorHAnsi" w:hAnsiTheme="minorHAnsi"/>
        </w:rPr>
        <w:t xml:space="preserve">, </w:t>
      </w:r>
      <w:r w:rsidRPr="007C6F51">
        <w:rPr>
          <w:rFonts w:asciiTheme="minorHAnsi" w:hAnsiTheme="minorHAnsi"/>
          <w:i/>
          <w:iCs/>
        </w:rPr>
        <w:t>90</w:t>
      </w:r>
      <w:r w:rsidRPr="007C6F51">
        <w:rPr>
          <w:rFonts w:asciiTheme="minorHAnsi" w:hAnsiTheme="minorHAnsi"/>
        </w:rPr>
        <w:t>(6), pp.467-474.</w:t>
      </w:r>
    </w:p>
    <w:p w14:paraId="78C70483" w14:textId="77777777" w:rsidR="00C60DCB" w:rsidRPr="007C6F51" w:rsidRDefault="00C60DCB" w:rsidP="005C30FC">
      <w:pPr>
        <w:rPr>
          <w:rFonts w:asciiTheme="minorHAnsi" w:hAnsiTheme="minorHAnsi"/>
        </w:rPr>
      </w:pPr>
    </w:p>
    <w:p w14:paraId="1D759E72" w14:textId="6B60B9DB" w:rsidR="005C30FC" w:rsidRPr="007C6F51" w:rsidRDefault="005C30FC" w:rsidP="005C30FC">
      <w:pPr>
        <w:rPr>
          <w:rFonts w:asciiTheme="minorHAnsi" w:hAnsiTheme="minorHAnsi"/>
        </w:rPr>
      </w:pPr>
      <w:proofErr w:type="spellStart"/>
      <w:r w:rsidRPr="007C6F51">
        <w:rPr>
          <w:rFonts w:asciiTheme="minorHAnsi" w:hAnsiTheme="minorHAnsi"/>
        </w:rPr>
        <w:t>Delina</w:t>
      </w:r>
      <w:proofErr w:type="spellEnd"/>
      <w:r w:rsidRPr="007C6F51">
        <w:rPr>
          <w:rFonts w:asciiTheme="minorHAnsi" w:hAnsiTheme="minorHAnsi"/>
        </w:rPr>
        <w:t xml:space="preserve">, L.L. and </w:t>
      </w:r>
      <w:proofErr w:type="spellStart"/>
      <w:r w:rsidRPr="007C6F51">
        <w:rPr>
          <w:rFonts w:asciiTheme="minorHAnsi" w:hAnsiTheme="minorHAnsi"/>
        </w:rPr>
        <w:t>Diesendorf</w:t>
      </w:r>
      <w:proofErr w:type="spellEnd"/>
      <w:r w:rsidRPr="007C6F51">
        <w:rPr>
          <w:rFonts w:asciiTheme="minorHAnsi" w:hAnsiTheme="minorHAnsi"/>
        </w:rPr>
        <w:t xml:space="preserve">, M., 2013. Is wartime mobilisation a suitable policy model for rapid national climate mitigation?. </w:t>
      </w:r>
      <w:r w:rsidRPr="007C6F51">
        <w:rPr>
          <w:rFonts w:asciiTheme="minorHAnsi" w:hAnsiTheme="minorHAnsi"/>
          <w:i/>
          <w:iCs/>
        </w:rPr>
        <w:t>Energy Policy</w:t>
      </w:r>
      <w:r w:rsidRPr="007C6F51">
        <w:rPr>
          <w:rFonts w:asciiTheme="minorHAnsi" w:hAnsiTheme="minorHAnsi"/>
        </w:rPr>
        <w:t xml:space="preserve">, </w:t>
      </w:r>
      <w:r w:rsidRPr="007C6F51">
        <w:rPr>
          <w:rFonts w:asciiTheme="minorHAnsi" w:hAnsiTheme="minorHAnsi"/>
          <w:i/>
          <w:iCs/>
        </w:rPr>
        <w:t>58</w:t>
      </w:r>
      <w:r w:rsidRPr="007C6F51">
        <w:rPr>
          <w:rFonts w:asciiTheme="minorHAnsi" w:hAnsiTheme="minorHAnsi"/>
        </w:rPr>
        <w:t>, pp.371-380.</w:t>
      </w:r>
    </w:p>
    <w:p w14:paraId="007A3FDC" w14:textId="77777777" w:rsidR="005C30FC" w:rsidRPr="007C6F51" w:rsidRDefault="005C30FC" w:rsidP="000E04FF">
      <w:pPr>
        <w:rPr>
          <w:rFonts w:asciiTheme="minorHAnsi" w:hAnsiTheme="minorHAnsi"/>
        </w:rPr>
      </w:pPr>
    </w:p>
    <w:p w14:paraId="5B3A47D2" w14:textId="2716AFC1" w:rsidR="0014471B" w:rsidRPr="007C6F51" w:rsidRDefault="0014471B" w:rsidP="00092C32">
      <w:pPr>
        <w:spacing w:before="180" w:after="180"/>
        <w:rPr>
          <w:rFonts w:asciiTheme="minorHAnsi" w:hAnsiTheme="minorHAnsi"/>
        </w:rPr>
      </w:pPr>
      <w:r w:rsidRPr="007C6F51">
        <w:rPr>
          <w:rFonts w:asciiTheme="minorHAnsi" w:hAnsiTheme="minorHAnsi"/>
        </w:rPr>
        <w:t xml:space="preserve">Duarte, C.M., </w:t>
      </w:r>
      <w:proofErr w:type="spellStart"/>
      <w:r w:rsidRPr="007C6F51">
        <w:rPr>
          <w:rFonts w:asciiTheme="minorHAnsi" w:hAnsiTheme="minorHAnsi"/>
        </w:rPr>
        <w:t>Losada</w:t>
      </w:r>
      <w:proofErr w:type="spellEnd"/>
      <w:r w:rsidRPr="007C6F51">
        <w:rPr>
          <w:rFonts w:asciiTheme="minorHAnsi" w:hAnsiTheme="minorHAnsi"/>
        </w:rPr>
        <w:t xml:space="preserve">, I.J., Hendriks, I.E., </w:t>
      </w:r>
      <w:proofErr w:type="spellStart"/>
      <w:r w:rsidRPr="007C6F51">
        <w:rPr>
          <w:rFonts w:asciiTheme="minorHAnsi" w:hAnsiTheme="minorHAnsi"/>
        </w:rPr>
        <w:t>Mazarrasa</w:t>
      </w:r>
      <w:proofErr w:type="spellEnd"/>
      <w:r w:rsidRPr="007C6F51">
        <w:rPr>
          <w:rFonts w:asciiTheme="minorHAnsi" w:hAnsiTheme="minorHAnsi"/>
        </w:rPr>
        <w:t xml:space="preserve">, I. and </w:t>
      </w:r>
      <w:proofErr w:type="spellStart"/>
      <w:r w:rsidRPr="007C6F51">
        <w:rPr>
          <w:rFonts w:asciiTheme="minorHAnsi" w:hAnsiTheme="minorHAnsi"/>
        </w:rPr>
        <w:t>Marbà</w:t>
      </w:r>
      <w:proofErr w:type="spellEnd"/>
      <w:r w:rsidRPr="007C6F51">
        <w:rPr>
          <w:rFonts w:asciiTheme="minorHAnsi" w:hAnsiTheme="minorHAnsi"/>
        </w:rPr>
        <w:t xml:space="preserve">, N., 2013. The role of coastal plant communities for climate change mitigation and adaptation. </w:t>
      </w:r>
      <w:r w:rsidRPr="007C6F51">
        <w:rPr>
          <w:rFonts w:asciiTheme="minorHAnsi" w:hAnsiTheme="minorHAnsi"/>
          <w:i/>
          <w:iCs/>
        </w:rPr>
        <w:t>Nature climate change</w:t>
      </w:r>
      <w:r w:rsidRPr="007C6F51">
        <w:rPr>
          <w:rFonts w:asciiTheme="minorHAnsi" w:hAnsiTheme="minorHAnsi"/>
        </w:rPr>
        <w:t xml:space="preserve">, </w:t>
      </w:r>
      <w:r w:rsidRPr="007C6F51">
        <w:rPr>
          <w:rFonts w:asciiTheme="minorHAnsi" w:hAnsiTheme="minorHAnsi"/>
          <w:i/>
          <w:iCs/>
        </w:rPr>
        <w:t>3</w:t>
      </w:r>
      <w:r w:rsidRPr="007C6F51">
        <w:rPr>
          <w:rFonts w:asciiTheme="minorHAnsi" w:hAnsiTheme="minorHAnsi"/>
        </w:rPr>
        <w:t>(11), pp.961-968.</w:t>
      </w:r>
    </w:p>
    <w:p w14:paraId="172C3ABB" w14:textId="25F685B1" w:rsidR="00F958E6" w:rsidRPr="007C6F51" w:rsidRDefault="00F71F5F" w:rsidP="00092C32">
      <w:pPr>
        <w:spacing w:before="180" w:after="180"/>
        <w:rPr>
          <w:rFonts w:asciiTheme="minorHAnsi" w:hAnsiTheme="minorHAnsi"/>
        </w:rPr>
      </w:pPr>
      <w:proofErr w:type="spellStart"/>
      <w:r w:rsidRPr="007C6F51">
        <w:rPr>
          <w:rFonts w:asciiTheme="minorHAnsi" w:hAnsiTheme="minorHAnsi"/>
        </w:rPr>
        <w:t>Filbee</w:t>
      </w:r>
      <w:proofErr w:type="spellEnd"/>
      <w:r w:rsidRPr="007C6F51">
        <w:rPr>
          <w:rFonts w:asciiTheme="minorHAnsi" w:hAnsiTheme="minorHAnsi"/>
        </w:rPr>
        <w:t xml:space="preserve">-Dexter, K., Feehan, C.J., </w:t>
      </w:r>
      <w:proofErr w:type="spellStart"/>
      <w:r w:rsidRPr="007C6F51">
        <w:rPr>
          <w:rFonts w:asciiTheme="minorHAnsi" w:hAnsiTheme="minorHAnsi"/>
        </w:rPr>
        <w:t>Smale</w:t>
      </w:r>
      <w:proofErr w:type="spellEnd"/>
      <w:r w:rsidRPr="007C6F51">
        <w:rPr>
          <w:rFonts w:asciiTheme="minorHAnsi" w:hAnsiTheme="minorHAnsi"/>
        </w:rPr>
        <w:t xml:space="preserve">, D.A., </w:t>
      </w:r>
      <w:proofErr w:type="spellStart"/>
      <w:r w:rsidRPr="007C6F51">
        <w:rPr>
          <w:rFonts w:asciiTheme="minorHAnsi" w:hAnsiTheme="minorHAnsi"/>
        </w:rPr>
        <w:t>Krumhansl</w:t>
      </w:r>
      <w:proofErr w:type="spellEnd"/>
      <w:r w:rsidRPr="007C6F51">
        <w:rPr>
          <w:rFonts w:asciiTheme="minorHAnsi" w:hAnsiTheme="minorHAnsi"/>
        </w:rPr>
        <w:t xml:space="preserve">, K.A., Augustine, S., De </w:t>
      </w:r>
      <w:proofErr w:type="spellStart"/>
      <w:r w:rsidRPr="007C6F51">
        <w:rPr>
          <w:rFonts w:asciiTheme="minorHAnsi" w:hAnsiTheme="minorHAnsi"/>
        </w:rPr>
        <w:t>Bettignies</w:t>
      </w:r>
      <w:proofErr w:type="spellEnd"/>
      <w:r w:rsidRPr="007C6F51">
        <w:rPr>
          <w:rFonts w:asciiTheme="minorHAnsi" w:hAnsiTheme="minorHAnsi"/>
        </w:rPr>
        <w:t xml:space="preserve">, F., Burrows, M.T., Byrnes, J.E., Campbell, J., </w:t>
      </w:r>
      <w:proofErr w:type="spellStart"/>
      <w:r w:rsidRPr="007C6F51">
        <w:rPr>
          <w:rFonts w:asciiTheme="minorHAnsi" w:hAnsiTheme="minorHAnsi"/>
        </w:rPr>
        <w:t>Davoult</w:t>
      </w:r>
      <w:proofErr w:type="spellEnd"/>
      <w:r w:rsidRPr="007C6F51">
        <w:rPr>
          <w:rFonts w:asciiTheme="minorHAnsi" w:hAnsiTheme="minorHAnsi"/>
        </w:rPr>
        <w:t xml:space="preserve">, D. and Dunton, K.H., 2022. Kelp carbon sink potential decreases with warming due to accelerating decomposition. </w:t>
      </w:r>
      <w:proofErr w:type="spellStart"/>
      <w:r w:rsidRPr="007C6F51">
        <w:rPr>
          <w:rFonts w:asciiTheme="minorHAnsi" w:hAnsiTheme="minorHAnsi"/>
          <w:i/>
          <w:iCs/>
        </w:rPr>
        <w:t>P</w:t>
      </w:r>
      <w:r w:rsidR="00AD1DDF" w:rsidRPr="007C6F51">
        <w:rPr>
          <w:rFonts w:asciiTheme="minorHAnsi" w:hAnsiTheme="minorHAnsi"/>
          <w:i/>
          <w:iCs/>
        </w:rPr>
        <w:t>l</w:t>
      </w:r>
      <w:r w:rsidRPr="007C6F51">
        <w:rPr>
          <w:rFonts w:asciiTheme="minorHAnsi" w:hAnsiTheme="minorHAnsi"/>
          <w:i/>
          <w:iCs/>
        </w:rPr>
        <w:t>oS</w:t>
      </w:r>
      <w:proofErr w:type="spellEnd"/>
      <w:r w:rsidRPr="007C6F51">
        <w:rPr>
          <w:rFonts w:asciiTheme="minorHAnsi" w:hAnsiTheme="minorHAnsi"/>
          <w:i/>
          <w:iCs/>
        </w:rPr>
        <w:t xml:space="preserve"> biology</w:t>
      </w:r>
      <w:r w:rsidRPr="007C6F51">
        <w:rPr>
          <w:rFonts w:asciiTheme="minorHAnsi" w:hAnsiTheme="minorHAnsi"/>
        </w:rPr>
        <w:t xml:space="preserve">, </w:t>
      </w:r>
      <w:r w:rsidRPr="007C6F51">
        <w:rPr>
          <w:rFonts w:asciiTheme="minorHAnsi" w:hAnsiTheme="minorHAnsi"/>
          <w:i/>
          <w:iCs/>
        </w:rPr>
        <w:t>20</w:t>
      </w:r>
      <w:r w:rsidRPr="007C6F51">
        <w:rPr>
          <w:rFonts w:asciiTheme="minorHAnsi" w:hAnsiTheme="minorHAnsi"/>
        </w:rPr>
        <w:t>(8), p.e3001702.</w:t>
      </w:r>
    </w:p>
    <w:p w14:paraId="78A8EC6B" w14:textId="594E7009" w:rsidR="00DA2FF4" w:rsidRPr="007C6F51" w:rsidRDefault="00DA2FF4" w:rsidP="00092C32">
      <w:pPr>
        <w:spacing w:before="180" w:after="180"/>
        <w:rPr>
          <w:rFonts w:asciiTheme="minorHAnsi" w:hAnsiTheme="minorHAnsi"/>
        </w:rPr>
      </w:pPr>
      <w:proofErr w:type="spellStart"/>
      <w:r w:rsidRPr="007C6F51">
        <w:rPr>
          <w:rFonts w:asciiTheme="minorHAnsi" w:hAnsiTheme="minorHAnsi"/>
        </w:rPr>
        <w:t>Friedlingstein</w:t>
      </w:r>
      <w:proofErr w:type="spellEnd"/>
      <w:r w:rsidRPr="007C6F51">
        <w:rPr>
          <w:rFonts w:asciiTheme="minorHAnsi" w:hAnsiTheme="minorHAnsi"/>
        </w:rPr>
        <w:t xml:space="preserve">, P., </w:t>
      </w:r>
      <w:proofErr w:type="spellStart"/>
      <w:r w:rsidRPr="007C6F51">
        <w:rPr>
          <w:rFonts w:asciiTheme="minorHAnsi" w:hAnsiTheme="minorHAnsi"/>
        </w:rPr>
        <w:t>O</w:t>
      </w:r>
      <w:r w:rsidR="00AD1DDF" w:rsidRPr="007C6F51">
        <w:rPr>
          <w:rFonts w:asciiTheme="minorHAnsi" w:hAnsiTheme="minorHAnsi"/>
        </w:rPr>
        <w:t>’</w:t>
      </w:r>
      <w:r w:rsidRPr="007C6F51">
        <w:rPr>
          <w:rFonts w:asciiTheme="minorHAnsi" w:hAnsiTheme="minorHAnsi"/>
        </w:rPr>
        <w:t>sullivan</w:t>
      </w:r>
      <w:proofErr w:type="spellEnd"/>
      <w:r w:rsidRPr="007C6F51">
        <w:rPr>
          <w:rFonts w:asciiTheme="minorHAnsi" w:hAnsiTheme="minorHAnsi"/>
        </w:rPr>
        <w:t xml:space="preserve">, M., Jones, M.W., Andrew, R.M., Gregor, L., Hauck, J., Le </w:t>
      </w:r>
      <w:proofErr w:type="spellStart"/>
      <w:r w:rsidRPr="007C6F51">
        <w:rPr>
          <w:rFonts w:asciiTheme="minorHAnsi" w:hAnsiTheme="minorHAnsi"/>
        </w:rPr>
        <w:t>Quéré</w:t>
      </w:r>
      <w:proofErr w:type="spellEnd"/>
      <w:r w:rsidRPr="007C6F51">
        <w:rPr>
          <w:rFonts w:asciiTheme="minorHAnsi" w:hAnsiTheme="minorHAnsi"/>
        </w:rPr>
        <w:t xml:space="preserve">, C., </w:t>
      </w:r>
      <w:proofErr w:type="spellStart"/>
      <w:r w:rsidRPr="007C6F51">
        <w:rPr>
          <w:rFonts w:asciiTheme="minorHAnsi" w:hAnsiTheme="minorHAnsi"/>
        </w:rPr>
        <w:t>Luijkx</w:t>
      </w:r>
      <w:proofErr w:type="spellEnd"/>
      <w:r w:rsidRPr="007C6F51">
        <w:rPr>
          <w:rFonts w:asciiTheme="minorHAnsi" w:hAnsiTheme="minorHAnsi"/>
        </w:rPr>
        <w:t xml:space="preserve">, I.T., Olsen, A., Peters, G.P. and Peters, W., 2022. Global carbon budget 2022. </w:t>
      </w:r>
      <w:r w:rsidRPr="007C6F51">
        <w:rPr>
          <w:rFonts w:asciiTheme="minorHAnsi" w:hAnsiTheme="minorHAnsi"/>
          <w:i/>
          <w:iCs/>
        </w:rPr>
        <w:t>Earth System Science Data</w:t>
      </w:r>
      <w:r w:rsidRPr="007C6F51">
        <w:rPr>
          <w:rFonts w:asciiTheme="minorHAnsi" w:hAnsiTheme="minorHAnsi"/>
        </w:rPr>
        <w:t xml:space="preserve">, </w:t>
      </w:r>
      <w:r w:rsidRPr="007C6F51">
        <w:rPr>
          <w:rFonts w:asciiTheme="minorHAnsi" w:hAnsiTheme="minorHAnsi"/>
          <w:i/>
          <w:iCs/>
        </w:rPr>
        <w:t>14</w:t>
      </w:r>
      <w:r w:rsidRPr="007C6F51">
        <w:rPr>
          <w:rFonts w:asciiTheme="minorHAnsi" w:hAnsiTheme="minorHAnsi"/>
        </w:rPr>
        <w:t>(11), pp.4811-4900.</w:t>
      </w:r>
    </w:p>
    <w:p w14:paraId="06995ACA" w14:textId="77777777" w:rsidR="0081451F" w:rsidRPr="007C6F51" w:rsidRDefault="0081451F" w:rsidP="0081451F">
      <w:pPr>
        <w:rPr>
          <w:rFonts w:asciiTheme="minorHAnsi" w:hAnsiTheme="minorHAnsi"/>
        </w:rPr>
      </w:pPr>
      <w:proofErr w:type="spellStart"/>
      <w:r w:rsidRPr="007C6F51">
        <w:rPr>
          <w:rFonts w:asciiTheme="minorHAnsi" w:hAnsiTheme="minorHAnsi"/>
        </w:rPr>
        <w:t>Gangstø</w:t>
      </w:r>
      <w:proofErr w:type="spellEnd"/>
      <w:r w:rsidRPr="007C6F51">
        <w:rPr>
          <w:rFonts w:asciiTheme="minorHAnsi" w:hAnsiTheme="minorHAnsi"/>
        </w:rPr>
        <w:t xml:space="preserve">, R., Joos, F. and </w:t>
      </w:r>
      <w:proofErr w:type="spellStart"/>
      <w:r w:rsidRPr="007C6F51">
        <w:rPr>
          <w:rFonts w:asciiTheme="minorHAnsi" w:hAnsiTheme="minorHAnsi"/>
        </w:rPr>
        <w:t>Gehlen</w:t>
      </w:r>
      <w:proofErr w:type="spellEnd"/>
      <w:r w:rsidRPr="007C6F51">
        <w:rPr>
          <w:rFonts w:asciiTheme="minorHAnsi" w:hAnsiTheme="minorHAnsi"/>
        </w:rPr>
        <w:t xml:space="preserve">, M., 2011. Sensitivity of pelagic calcification to ocean acidification. </w:t>
      </w:r>
      <w:proofErr w:type="spellStart"/>
      <w:r w:rsidRPr="007C6F51">
        <w:rPr>
          <w:rFonts w:asciiTheme="minorHAnsi" w:hAnsiTheme="minorHAnsi"/>
          <w:i/>
          <w:iCs/>
        </w:rPr>
        <w:t>Biogeosciences</w:t>
      </w:r>
      <w:proofErr w:type="spellEnd"/>
      <w:r w:rsidRPr="007C6F51">
        <w:rPr>
          <w:rFonts w:asciiTheme="minorHAnsi" w:hAnsiTheme="minorHAnsi"/>
        </w:rPr>
        <w:t xml:space="preserve">, </w:t>
      </w:r>
      <w:r w:rsidRPr="007C6F51">
        <w:rPr>
          <w:rFonts w:asciiTheme="minorHAnsi" w:hAnsiTheme="minorHAnsi"/>
          <w:i/>
          <w:iCs/>
        </w:rPr>
        <w:t>8</w:t>
      </w:r>
      <w:r w:rsidRPr="007C6F51">
        <w:rPr>
          <w:rFonts w:asciiTheme="minorHAnsi" w:hAnsiTheme="minorHAnsi"/>
        </w:rPr>
        <w:t>(2), pp.433-458.</w:t>
      </w:r>
    </w:p>
    <w:p w14:paraId="70D4E66F" w14:textId="77777777" w:rsidR="0097277F" w:rsidRPr="007C6F51" w:rsidRDefault="0097277F" w:rsidP="0097277F">
      <w:pPr>
        <w:rPr>
          <w:rFonts w:asciiTheme="minorHAnsi" w:hAnsiTheme="minorHAnsi"/>
        </w:rPr>
      </w:pPr>
    </w:p>
    <w:p w14:paraId="584CD4C1" w14:textId="4B3AB092" w:rsidR="0081451F" w:rsidRPr="007C6F51" w:rsidRDefault="0097277F" w:rsidP="007C6F51">
      <w:pPr>
        <w:rPr>
          <w:rFonts w:asciiTheme="minorHAnsi" w:hAnsiTheme="minorHAnsi"/>
        </w:rPr>
      </w:pPr>
      <w:r w:rsidRPr="007C6F51">
        <w:rPr>
          <w:rFonts w:asciiTheme="minorHAnsi" w:hAnsiTheme="minorHAnsi"/>
        </w:rPr>
        <w:t xml:space="preserve">Gardner, J., Manno, C., Bakker, D.C., Peck, V.L. and Tarling, G.A., 2018. Southern Ocean pteropods at risk from ocean warming and acidification. </w:t>
      </w:r>
      <w:r w:rsidRPr="007C6F51">
        <w:rPr>
          <w:rFonts w:asciiTheme="minorHAnsi" w:hAnsiTheme="minorHAnsi"/>
          <w:i/>
          <w:iCs/>
        </w:rPr>
        <w:t>Marine Biology</w:t>
      </w:r>
      <w:r w:rsidRPr="007C6F51">
        <w:rPr>
          <w:rFonts w:asciiTheme="minorHAnsi" w:hAnsiTheme="minorHAnsi"/>
        </w:rPr>
        <w:t xml:space="preserve">, </w:t>
      </w:r>
      <w:r w:rsidRPr="007C6F51">
        <w:rPr>
          <w:rFonts w:asciiTheme="minorHAnsi" w:hAnsiTheme="minorHAnsi"/>
          <w:i/>
          <w:iCs/>
        </w:rPr>
        <w:t>165</w:t>
      </w:r>
      <w:r w:rsidRPr="007C6F51">
        <w:rPr>
          <w:rFonts w:asciiTheme="minorHAnsi" w:hAnsiTheme="minorHAnsi"/>
        </w:rPr>
        <w:t>, pp.1-12.</w:t>
      </w:r>
    </w:p>
    <w:p w14:paraId="781795EC" w14:textId="0AFAF31A" w:rsidR="004175D8" w:rsidRPr="007C6F51" w:rsidRDefault="004175D8" w:rsidP="00092C32">
      <w:pPr>
        <w:spacing w:before="180" w:after="180"/>
        <w:rPr>
          <w:rFonts w:asciiTheme="minorHAnsi" w:eastAsia="Roboto" w:hAnsiTheme="minorHAnsi"/>
          <w:color w:val="222222"/>
          <w:highlight w:val="white"/>
          <w:lang w:val="en-GB"/>
        </w:rPr>
      </w:pPr>
      <w:r w:rsidRPr="007C6F51">
        <w:rPr>
          <w:rFonts w:asciiTheme="minorHAnsi" w:hAnsiTheme="minorHAnsi"/>
        </w:rPr>
        <w:t xml:space="preserve">Gasser, T., </w:t>
      </w:r>
      <w:proofErr w:type="spellStart"/>
      <w:r w:rsidRPr="007C6F51">
        <w:rPr>
          <w:rFonts w:asciiTheme="minorHAnsi" w:hAnsiTheme="minorHAnsi"/>
        </w:rPr>
        <w:t>Guivarch</w:t>
      </w:r>
      <w:proofErr w:type="spellEnd"/>
      <w:r w:rsidRPr="007C6F51">
        <w:rPr>
          <w:rFonts w:asciiTheme="minorHAnsi" w:hAnsiTheme="minorHAnsi"/>
        </w:rPr>
        <w:t xml:space="preserve">, C., </w:t>
      </w:r>
      <w:proofErr w:type="spellStart"/>
      <w:r w:rsidRPr="007C6F51">
        <w:rPr>
          <w:rFonts w:asciiTheme="minorHAnsi" w:hAnsiTheme="minorHAnsi"/>
        </w:rPr>
        <w:t>Tachiiri</w:t>
      </w:r>
      <w:proofErr w:type="spellEnd"/>
      <w:r w:rsidRPr="007C6F51">
        <w:rPr>
          <w:rFonts w:asciiTheme="minorHAnsi" w:hAnsiTheme="minorHAnsi"/>
        </w:rPr>
        <w:t xml:space="preserve">, K., Jones, C.D. and </w:t>
      </w:r>
      <w:proofErr w:type="spellStart"/>
      <w:r w:rsidRPr="007C6F51">
        <w:rPr>
          <w:rFonts w:asciiTheme="minorHAnsi" w:hAnsiTheme="minorHAnsi"/>
        </w:rPr>
        <w:t>Ciais</w:t>
      </w:r>
      <w:proofErr w:type="spellEnd"/>
      <w:r w:rsidRPr="007C6F51">
        <w:rPr>
          <w:rFonts w:asciiTheme="minorHAnsi" w:hAnsiTheme="minorHAnsi"/>
        </w:rPr>
        <w:t xml:space="preserve">, P., 2015. Negative emissions physically needed to keep global warming below 2 C. </w:t>
      </w:r>
      <w:r w:rsidRPr="007C6F51">
        <w:rPr>
          <w:rFonts w:asciiTheme="minorHAnsi" w:hAnsiTheme="minorHAnsi"/>
          <w:i/>
          <w:iCs/>
        </w:rPr>
        <w:t>Nature communications</w:t>
      </w:r>
      <w:r w:rsidRPr="007C6F51">
        <w:rPr>
          <w:rFonts w:asciiTheme="minorHAnsi" w:hAnsiTheme="minorHAnsi"/>
        </w:rPr>
        <w:t xml:space="preserve">, </w:t>
      </w:r>
      <w:r w:rsidRPr="007C6F51">
        <w:rPr>
          <w:rFonts w:asciiTheme="minorHAnsi" w:hAnsiTheme="minorHAnsi"/>
          <w:i/>
          <w:iCs/>
        </w:rPr>
        <w:t>6</w:t>
      </w:r>
      <w:r w:rsidRPr="007C6F51">
        <w:rPr>
          <w:rFonts w:asciiTheme="minorHAnsi" w:hAnsiTheme="minorHAnsi"/>
        </w:rPr>
        <w:t>(1), p.7958.</w:t>
      </w:r>
    </w:p>
    <w:p w14:paraId="19224D50" w14:textId="094328E1" w:rsidR="003F18B1" w:rsidRPr="007C6F51" w:rsidRDefault="00092C32" w:rsidP="00092C32">
      <w:pPr>
        <w:spacing w:before="180" w:after="180"/>
        <w:rPr>
          <w:rFonts w:asciiTheme="minorHAnsi" w:eastAsia="Roboto" w:hAnsiTheme="minorHAnsi"/>
          <w:color w:val="222222"/>
          <w:highlight w:val="white"/>
          <w:lang w:val="en-GB"/>
        </w:rPr>
      </w:pPr>
      <w:proofErr w:type="spellStart"/>
      <w:r w:rsidRPr="007C6F51">
        <w:rPr>
          <w:rFonts w:asciiTheme="minorHAnsi" w:eastAsia="Roboto" w:hAnsiTheme="minorHAnsi"/>
          <w:color w:val="222222"/>
          <w:highlight w:val="white"/>
          <w:lang w:val="en-GB"/>
        </w:rPr>
        <w:t>Gattuso</w:t>
      </w:r>
      <w:proofErr w:type="spellEnd"/>
      <w:r w:rsidRPr="007C6F51">
        <w:rPr>
          <w:rFonts w:asciiTheme="minorHAnsi" w:eastAsia="Roboto" w:hAnsiTheme="minorHAnsi"/>
          <w:color w:val="222222"/>
          <w:highlight w:val="white"/>
          <w:lang w:val="en-GB"/>
        </w:rPr>
        <w:t xml:space="preserve">, J.-P., </w:t>
      </w:r>
      <w:proofErr w:type="spellStart"/>
      <w:r w:rsidRPr="007C6F51">
        <w:rPr>
          <w:rFonts w:asciiTheme="minorHAnsi" w:eastAsia="Roboto" w:hAnsiTheme="minorHAnsi"/>
          <w:color w:val="222222"/>
          <w:highlight w:val="white"/>
          <w:lang w:val="en-GB"/>
        </w:rPr>
        <w:t>Frankignoulle</w:t>
      </w:r>
      <w:proofErr w:type="spellEnd"/>
      <w:r w:rsidRPr="007C6F51">
        <w:rPr>
          <w:rFonts w:asciiTheme="minorHAnsi" w:eastAsia="Roboto" w:hAnsiTheme="minorHAnsi"/>
          <w:color w:val="222222"/>
          <w:highlight w:val="white"/>
          <w:lang w:val="en-GB"/>
        </w:rPr>
        <w:t>, M., and Smith, S.V. (1999). Measurement of community metabolism and significance in the coral reef CO</w:t>
      </w:r>
      <w:r w:rsidRPr="007C6F51">
        <w:rPr>
          <w:rFonts w:asciiTheme="minorHAnsi" w:eastAsia="Roboto" w:hAnsiTheme="minorHAnsi"/>
          <w:color w:val="222222"/>
          <w:highlight w:val="white"/>
          <w:vertAlign w:val="subscript"/>
          <w:lang w:val="en-GB"/>
        </w:rPr>
        <w:t>2</w:t>
      </w:r>
      <w:r w:rsidRPr="007C6F51">
        <w:rPr>
          <w:rFonts w:asciiTheme="minorHAnsi" w:eastAsia="Roboto" w:hAnsiTheme="minorHAnsi"/>
          <w:color w:val="222222"/>
          <w:highlight w:val="white"/>
          <w:lang w:val="en-GB"/>
        </w:rPr>
        <w:t xml:space="preserve"> source-sink debate. Proc Nat </w:t>
      </w:r>
      <w:proofErr w:type="spellStart"/>
      <w:r w:rsidRPr="007C6F51">
        <w:rPr>
          <w:rFonts w:asciiTheme="minorHAnsi" w:eastAsia="Roboto" w:hAnsiTheme="minorHAnsi"/>
          <w:color w:val="222222"/>
          <w:highlight w:val="white"/>
          <w:lang w:val="en-GB"/>
        </w:rPr>
        <w:t>Acad</w:t>
      </w:r>
      <w:proofErr w:type="spellEnd"/>
      <w:r w:rsidRPr="007C6F51">
        <w:rPr>
          <w:rFonts w:asciiTheme="minorHAnsi" w:eastAsia="Roboto" w:hAnsiTheme="minorHAnsi"/>
          <w:color w:val="222222"/>
          <w:highlight w:val="white"/>
          <w:lang w:val="en-GB"/>
        </w:rPr>
        <w:t xml:space="preserve"> Sci USA 96, 13017-13022.</w:t>
      </w:r>
      <w:proofErr w:type="spellStart"/>
      <w:r w:rsidR="003F18B1" w:rsidRPr="007C6F51">
        <w:rPr>
          <w:rFonts w:asciiTheme="minorHAnsi" w:hAnsiTheme="minorHAnsi"/>
        </w:rPr>
        <w:t>Gattuso</w:t>
      </w:r>
      <w:proofErr w:type="spellEnd"/>
      <w:r w:rsidR="003F18B1" w:rsidRPr="007C6F51">
        <w:rPr>
          <w:rFonts w:asciiTheme="minorHAnsi" w:hAnsiTheme="minorHAnsi"/>
        </w:rPr>
        <w:t xml:space="preserve">, J.P., Williamson, P., Duarte, C.M. and </w:t>
      </w:r>
      <w:proofErr w:type="spellStart"/>
      <w:r w:rsidR="003F18B1" w:rsidRPr="007C6F51">
        <w:rPr>
          <w:rFonts w:asciiTheme="minorHAnsi" w:hAnsiTheme="minorHAnsi"/>
        </w:rPr>
        <w:t>Magnan</w:t>
      </w:r>
      <w:proofErr w:type="spellEnd"/>
      <w:r w:rsidR="003F18B1" w:rsidRPr="007C6F51">
        <w:rPr>
          <w:rFonts w:asciiTheme="minorHAnsi" w:hAnsiTheme="minorHAnsi"/>
        </w:rPr>
        <w:t xml:space="preserve">, A.K., 2021. The potential for ocean-based climate action: negative emissions technologies and beyond. </w:t>
      </w:r>
      <w:r w:rsidR="003F18B1" w:rsidRPr="007C6F51">
        <w:rPr>
          <w:rFonts w:asciiTheme="minorHAnsi" w:hAnsiTheme="minorHAnsi"/>
          <w:i/>
          <w:iCs/>
        </w:rPr>
        <w:t>Frontiers in Climate</w:t>
      </w:r>
      <w:r w:rsidR="003F18B1" w:rsidRPr="007C6F51">
        <w:rPr>
          <w:rFonts w:asciiTheme="minorHAnsi" w:hAnsiTheme="minorHAnsi"/>
        </w:rPr>
        <w:t>, p.37.</w:t>
      </w:r>
    </w:p>
    <w:p w14:paraId="26224DB5" w14:textId="12C9F2E6" w:rsidR="00280C18" w:rsidRPr="007C6F51" w:rsidRDefault="00280C18" w:rsidP="00092C32">
      <w:pPr>
        <w:spacing w:before="180" w:after="180"/>
        <w:rPr>
          <w:rFonts w:asciiTheme="minorHAnsi" w:eastAsia="Roboto" w:hAnsiTheme="minorHAnsi"/>
          <w:color w:val="222222"/>
          <w:highlight w:val="white"/>
          <w:lang w:val="en-GB"/>
        </w:rPr>
      </w:pPr>
      <w:r w:rsidRPr="007C6F51">
        <w:rPr>
          <w:rFonts w:asciiTheme="minorHAnsi" w:hAnsiTheme="minorHAnsi"/>
        </w:rPr>
        <w:t xml:space="preserve">Gruber, N. and Galloway, J.N., 2008. An Earth-system perspective of the global nitrogen cycle. </w:t>
      </w:r>
      <w:r w:rsidRPr="007C6F51">
        <w:rPr>
          <w:rFonts w:asciiTheme="minorHAnsi" w:hAnsiTheme="minorHAnsi"/>
          <w:i/>
          <w:iCs/>
        </w:rPr>
        <w:t>Nature</w:t>
      </w:r>
      <w:r w:rsidRPr="007C6F51">
        <w:rPr>
          <w:rFonts w:asciiTheme="minorHAnsi" w:hAnsiTheme="minorHAnsi"/>
        </w:rPr>
        <w:t xml:space="preserve">, </w:t>
      </w:r>
      <w:r w:rsidRPr="007C6F51">
        <w:rPr>
          <w:rFonts w:asciiTheme="minorHAnsi" w:hAnsiTheme="minorHAnsi"/>
          <w:i/>
          <w:iCs/>
        </w:rPr>
        <w:t>451</w:t>
      </w:r>
      <w:r w:rsidRPr="007C6F51">
        <w:rPr>
          <w:rFonts w:asciiTheme="minorHAnsi" w:hAnsiTheme="minorHAnsi"/>
        </w:rPr>
        <w:t>(7176), pp.293-296.</w:t>
      </w:r>
    </w:p>
    <w:p w14:paraId="27C1D3C5" w14:textId="428610CD" w:rsidR="00E7130B" w:rsidRPr="007C6F51" w:rsidRDefault="00E7130B" w:rsidP="000E04FF">
      <w:pPr>
        <w:rPr>
          <w:rFonts w:asciiTheme="minorHAnsi" w:hAnsiTheme="minorHAnsi"/>
        </w:rPr>
      </w:pPr>
      <w:r w:rsidRPr="007C6F51">
        <w:rPr>
          <w:rFonts w:asciiTheme="minorHAnsi" w:hAnsiTheme="minorHAnsi"/>
        </w:rPr>
        <w:t xml:space="preserve">Harrison, D.P., 2017. Global negative emissions capacity of ocean macronutrient fertilization. </w:t>
      </w:r>
      <w:r w:rsidRPr="007C6F51">
        <w:rPr>
          <w:rFonts w:asciiTheme="minorHAnsi" w:hAnsiTheme="minorHAnsi"/>
          <w:i/>
          <w:iCs/>
        </w:rPr>
        <w:t>Environmental Research Letters</w:t>
      </w:r>
      <w:r w:rsidRPr="007C6F51">
        <w:rPr>
          <w:rFonts w:asciiTheme="minorHAnsi" w:hAnsiTheme="minorHAnsi"/>
        </w:rPr>
        <w:t xml:space="preserve">, </w:t>
      </w:r>
      <w:r w:rsidRPr="007C6F51">
        <w:rPr>
          <w:rFonts w:asciiTheme="minorHAnsi" w:hAnsiTheme="minorHAnsi"/>
          <w:i/>
          <w:iCs/>
        </w:rPr>
        <w:t>12</w:t>
      </w:r>
      <w:r w:rsidRPr="007C6F51">
        <w:rPr>
          <w:rFonts w:asciiTheme="minorHAnsi" w:hAnsiTheme="minorHAnsi"/>
        </w:rPr>
        <w:t>(3), p.035001.</w:t>
      </w:r>
    </w:p>
    <w:p w14:paraId="0AAA06EE" w14:textId="77777777" w:rsidR="00DA5E76" w:rsidRPr="007C6F51" w:rsidRDefault="00DA5E76" w:rsidP="00DA5E76">
      <w:pPr>
        <w:rPr>
          <w:rFonts w:asciiTheme="minorHAnsi" w:hAnsiTheme="minorHAnsi"/>
        </w:rPr>
      </w:pPr>
    </w:p>
    <w:p w14:paraId="28B1060B" w14:textId="6F075DDF" w:rsidR="00137B1C" w:rsidRPr="007C6F51" w:rsidRDefault="00DA5E76" w:rsidP="00DA5E76">
      <w:pPr>
        <w:rPr>
          <w:rFonts w:asciiTheme="minorHAnsi" w:hAnsiTheme="minorHAnsi"/>
        </w:rPr>
      </w:pPr>
      <w:r w:rsidRPr="007C6F51">
        <w:rPr>
          <w:rFonts w:asciiTheme="minorHAnsi" w:hAnsiTheme="minorHAnsi"/>
        </w:rPr>
        <w:t xml:space="preserve">Heinze, C., 2004. Simulating oceanic CaCO3 export production in the greenhouse. </w:t>
      </w:r>
      <w:r w:rsidRPr="007C6F51">
        <w:rPr>
          <w:rFonts w:asciiTheme="minorHAnsi" w:hAnsiTheme="minorHAnsi"/>
          <w:i/>
          <w:iCs/>
        </w:rPr>
        <w:t>Geophysical Research Letters</w:t>
      </w:r>
      <w:r w:rsidRPr="007C6F51">
        <w:rPr>
          <w:rFonts w:asciiTheme="minorHAnsi" w:hAnsiTheme="minorHAnsi"/>
        </w:rPr>
        <w:t xml:space="preserve">, </w:t>
      </w:r>
      <w:r w:rsidRPr="007C6F51">
        <w:rPr>
          <w:rFonts w:asciiTheme="minorHAnsi" w:hAnsiTheme="minorHAnsi"/>
          <w:i/>
          <w:iCs/>
        </w:rPr>
        <w:t>31</w:t>
      </w:r>
      <w:r w:rsidRPr="007C6F51">
        <w:rPr>
          <w:rFonts w:asciiTheme="minorHAnsi" w:hAnsiTheme="minorHAnsi"/>
        </w:rPr>
        <w:t>(16).</w:t>
      </w:r>
    </w:p>
    <w:p w14:paraId="6257847B" w14:textId="77777777" w:rsidR="00026B2E" w:rsidRPr="007C6F51" w:rsidRDefault="00026B2E" w:rsidP="00137B1C">
      <w:pPr>
        <w:rPr>
          <w:rFonts w:asciiTheme="minorHAnsi" w:hAnsiTheme="minorHAnsi"/>
        </w:rPr>
      </w:pPr>
    </w:p>
    <w:p w14:paraId="65039337" w14:textId="77777777" w:rsidR="00026B2E" w:rsidRPr="007C6F51" w:rsidRDefault="00026B2E" w:rsidP="00137B1C">
      <w:pPr>
        <w:rPr>
          <w:rFonts w:asciiTheme="minorHAnsi" w:hAnsiTheme="minorHAnsi"/>
        </w:rPr>
      </w:pPr>
      <w:r w:rsidRPr="007C6F51">
        <w:rPr>
          <w:rFonts w:asciiTheme="minorHAnsi" w:hAnsiTheme="minorHAnsi"/>
        </w:rPr>
        <w:t xml:space="preserve">Henson, S.A., Sanders, R., Madsen, E., Morris, P.J., Le </w:t>
      </w:r>
      <w:proofErr w:type="spellStart"/>
      <w:r w:rsidRPr="007C6F51">
        <w:rPr>
          <w:rFonts w:asciiTheme="minorHAnsi" w:hAnsiTheme="minorHAnsi"/>
        </w:rPr>
        <w:t>Moigne</w:t>
      </w:r>
      <w:proofErr w:type="spellEnd"/>
      <w:r w:rsidRPr="007C6F51">
        <w:rPr>
          <w:rFonts w:asciiTheme="minorHAnsi" w:hAnsiTheme="minorHAnsi"/>
        </w:rPr>
        <w:t xml:space="preserve">, F. and </w:t>
      </w:r>
      <w:proofErr w:type="spellStart"/>
      <w:r w:rsidRPr="007C6F51">
        <w:rPr>
          <w:rFonts w:asciiTheme="minorHAnsi" w:hAnsiTheme="minorHAnsi"/>
        </w:rPr>
        <w:t>Quartly</w:t>
      </w:r>
      <w:proofErr w:type="spellEnd"/>
      <w:r w:rsidRPr="007C6F51">
        <w:rPr>
          <w:rFonts w:asciiTheme="minorHAnsi" w:hAnsiTheme="minorHAnsi"/>
        </w:rPr>
        <w:t xml:space="preserve">, G.D., 2011. A reduced estimate of the strength of the ocean's biological carbon pump. </w:t>
      </w:r>
      <w:r w:rsidRPr="007C6F51">
        <w:rPr>
          <w:rFonts w:asciiTheme="minorHAnsi" w:hAnsiTheme="minorHAnsi"/>
          <w:i/>
          <w:iCs/>
        </w:rPr>
        <w:t>Geophysical Research Letters</w:t>
      </w:r>
      <w:r w:rsidRPr="007C6F51">
        <w:rPr>
          <w:rFonts w:asciiTheme="minorHAnsi" w:hAnsiTheme="minorHAnsi"/>
        </w:rPr>
        <w:t xml:space="preserve">, </w:t>
      </w:r>
      <w:r w:rsidRPr="007C6F51">
        <w:rPr>
          <w:rFonts w:asciiTheme="minorHAnsi" w:hAnsiTheme="minorHAnsi"/>
          <w:i/>
          <w:iCs/>
        </w:rPr>
        <w:t>38</w:t>
      </w:r>
      <w:r w:rsidRPr="007C6F51">
        <w:rPr>
          <w:rFonts w:asciiTheme="minorHAnsi" w:hAnsiTheme="minorHAnsi"/>
        </w:rPr>
        <w:t>(4).</w:t>
      </w:r>
    </w:p>
    <w:p w14:paraId="0371E824" w14:textId="77777777" w:rsidR="0029756A" w:rsidRPr="007C6F51" w:rsidRDefault="0029756A" w:rsidP="00137B1C">
      <w:pPr>
        <w:rPr>
          <w:rFonts w:asciiTheme="minorHAnsi" w:hAnsiTheme="minorHAnsi"/>
        </w:rPr>
      </w:pPr>
    </w:p>
    <w:p w14:paraId="265FACD0" w14:textId="5B952130" w:rsidR="0029756A" w:rsidRPr="007C6F51" w:rsidRDefault="0029756A" w:rsidP="00137B1C">
      <w:pPr>
        <w:rPr>
          <w:rFonts w:asciiTheme="minorHAnsi" w:hAnsiTheme="minorHAnsi"/>
        </w:rPr>
      </w:pPr>
      <w:r w:rsidRPr="007C6F51">
        <w:rPr>
          <w:rFonts w:asciiTheme="minorHAnsi" w:hAnsiTheme="minorHAnsi"/>
        </w:rPr>
        <w:t xml:space="preserve">Henson, S.A., </w:t>
      </w:r>
      <w:proofErr w:type="spellStart"/>
      <w:r w:rsidRPr="007C6F51">
        <w:rPr>
          <w:rFonts w:asciiTheme="minorHAnsi" w:hAnsiTheme="minorHAnsi"/>
        </w:rPr>
        <w:t>Laufkötter</w:t>
      </w:r>
      <w:proofErr w:type="spellEnd"/>
      <w:r w:rsidRPr="007C6F51">
        <w:rPr>
          <w:rFonts w:asciiTheme="minorHAnsi" w:hAnsiTheme="minorHAnsi"/>
        </w:rPr>
        <w:t xml:space="preserve">, C., Leung, S., </w:t>
      </w:r>
      <w:proofErr w:type="spellStart"/>
      <w:r w:rsidRPr="007C6F51">
        <w:rPr>
          <w:rFonts w:asciiTheme="minorHAnsi" w:hAnsiTheme="minorHAnsi"/>
        </w:rPr>
        <w:t>Giering</w:t>
      </w:r>
      <w:proofErr w:type="spellEnd"/>
      <w:r w:rsidRPr="007C6F51">
        <w:rPr>
          <w:rFonts w:asciiTheme="minorHAnsi" w:hAnsiTheme="minorHAnsi"/>
        </w:rPr>
        <w:t xml:space="preserve">, S.L., Palevsky, H.I. and Cavan, E.L., 2022. Uncertain response of ocean biological carbon export in a changing world. </w:t>
      </w:r>
      <w:r w:rsidRPr="007C6F51">
        <w:rPr>
          <w:rFonts w:asciiTheme="minorHAnsi" w:hAnsiTheme="minorHAnsi"/>
          <w:i/>
          <w:iCs/>
        </w:rPr>
        <w:t>Nature Geoscience</w:t>
      </w:r>
      <w:r w:rsidRPr="007C6F51">
        <w:rPr>
          <w:rFonts w:asciiTheme="minorHAnsi" w:hAnsiTheme="minorHAnsi"/>
        </w:rPr>
        <w:t xml:space="preserve">, </w:t>
      </w:r>
      <w:r w:rsidRPr="007C6F51">
        <w:rPr>
          <w:rFonts w:asciiTheme="minorHAnsi" w:hAnsiTheme="minorHAnsi"/>
          <w:i/>
          <w:iCs/>
        </w:rPr>
        <w:t>15</w:t>
      </w:r>
      <w:r w:rsidRPr="007C6F51">
        <w:rPr>
          <w:rFonts w:asciiTheme="minorHAnsi" w:hAnsiTheme="minorHAnsi"/>
        </w:rPr>
        <w:t>(4), pp.248-254.</w:t>
      </w:r>
    </w:p>
    <w:p w14:paraId="4F658115" w14:textId="77777777" w:rsidR="00026B2E" w:rsidRPr="007C6F51" w:rsidRDefault="00026B2E" w:rsidP="00137B1C">
      <w:pPr>
        <w:rPr>
          <w:rFonts w:asciiTheme="minorHAnsi" w:hAnsiTheme="minorHAnsi"/>
        </w:rPr>
      </w:pPr>
    </w:p>
    <w:p w14:paraId="428194B7" w14:textId="1AB34077" w:rsidR="00DA5E76" w:rsidRPr="007C6F51" w:rsidRDefault="00137B1C" w:rsidP="007C6F51">
      <w:pPr>
        <w:rPr>
          <w:rFonts w:asciiTheme="minorHAnsi" w:hAnsiTheme="minorHAnsi"/>
        </w:rPr>
      </w:pPr>
      <w:proofErr w:type="spellStart"/>
      <w:r w:rsidRPr="007C6F51">
        <w:rPr>
          <w:rFonts w:asciiTheme="minorHAnsi" w:hAnsiTheme="minorHAnsi"/>
        </w:rPr>
        <w:lastRenderedPageBreak/>
        <w:t>Hoegh</w:t>
      </w:r>
      <w:proofErr w:type="spellEnd"/>
      <w:r w:rsidRPr="007C6F51">
        <w:rPr>
          <w:rFonts w:asciiTheme="minorHAnsi" w:hAnsiTheme="minorHAnsi"/>
        </w:rPr>
        <w:t xml:space="preserve">-Guldberg, O., </w:t>
      </w:r>
      <w:proofErr w:type="spellStart"/>
      <w:r w:rsidRPr="007C6F51">
        <w:rPr>
          <w:rFonts w:asciiTheme="minorHAnsi" w:hAnsiTheme="minorHAnsi"/>
        </w:rPr>
        <w:t>Poloczanska</w:t>
      </w:r>
      <w:proofErr w:type="spellEnd"/>
      <w:r w:rsidRPr="007C6F51">
        <w:rPr>
          <w:rFonts w:asciiTheme="minorHAnsi" w:hAnsiTheme="minorHAnsi"/>
        </w:rPr>
        <w:t xml:space="preserve">, E.S., </w:t>
      </w:r>
      <w:proofErr w:type="spellStart"/>
      <w:r w:rsidRPr="007C6F51">
        <w:rPr>
          <w:rFonts w:asciiTheme="minorHAnsi" w:hAnsiTheme="minorHAnsi"/>
        </w:rPr>
        <w:t>Skirving</w:t>
      </w:r>
      <w:proofErr w:type="spellEnd"/>
      <w:r w:rsidRPr="007C6F51">
        <w:rPr>
          <w:rFonts w:asciiTheme="minorHAnsi" w:hAnsiTheme="minorHAnsi"/>
        </w:rPr>
        <w:t xml:space="preserve">, W. and Dove, S., 2017. Coral reef ecosystems under climate change and ocean acidification. </w:t>
      </w:r>
      <w:r w:rsidRPr="007C6F51">
        <w:rPr>
          <w:rFonts w:asciiTheme="minorHAnsi" w:hAnsiTheme="minorHAnsi"/>
          <w:i/>
          <w:iCs/>
        </w:rPr>
        <w:t>Frontiers in Marine Science</w:t>
      </w:r>
      <w:r w:rsidRPr="007C6F51">
        <w:rPr>
          <w:rFonts w:asciiTheme="minorHAnsi" w:hAnsiTheme="minorHAnsi"/>
        </w:rPr>
        <w:t xml:space="preserve">, </w:t>
      </w:r>
      <w:r w:rsidRPr="007C6F51">
        <w:rPr>
          <w:rFonts w:asciiTheme="minorHAnsi" w:hAnsiTheme="minorHAnsi"/>
          <w:i/>
          <w:iCs/>
        </w:rPr>
        <w:t>4</w:t>
      </w:r>
      <w:r w:rsidRPr="007C6F51">
        <w:rPr>
          <w:rFonts w:asciiTheme="minorHAnsi" w:hAnsiTheme="minorHAnsi"/>
        </w:rPr>
        <w:t>, p.158.</w:t>
      </w:r>
    </w:p>
    <w:p w14:paraId="0F9CC293" w14:textId="18ED3F55" w:rsidR="00137B1C" w:rsidRPr="007C6F51" w:rsidRDefault="007B1BEC">
      <w:pPr>
        <w:spacing w:before="180" w:after="180"/>
        <w:rPr>
          <w:rFonts w:asciiTheme="minorHAnsi" w:hAnsiTheme="minorHAnsi"/>
        </w:rPr>
      </w:pPr>
      <w:r w:rsidRPr="007C6F51">
        <w:rPr>
          <w:rFonts w:asciiTheme="minorHAnsi" w:hAnsiTheme="minorHAnsi"/>
        </w:rPr>
        <w:t xml:space="preserve">Hofmann, M. and </w:t>
      </w:r>
      <w:proofErr w:type="spellStart"/>
      <w:r w:rsidRPr="007C6F51">
        <w:rPr>
          <w:rFonts w:asciiTheme="minorHAnsi" w:hAnsiTheme="minorHAnsi"/>
        </w:rPr>
        <w:t>Schellnhuber</w:t>
      </w:r>
      <w:proofErr w:type="spellEnd"/>
      <w:r w:rsidRPr="007C6F51">
        <w:rPr>
          <w:rFonts w:asciiTheme="minorHAnsi" w:hAnsiTheme="minorHAnsi"/>
        </w:rPr>
        <w:t xml:space="preserve">, H.J., 2009. Oceanic acidification affects marine carbon pump and triggers extended marine oxygen holes. </w:t>
      </w:r>
      <w:r w:rsidRPr="007C6F51">
        <w:rPr>
          <w:rFonts w:asciiTheme="minorHAnsi" w:hAnsiTheme="minorHAnsi"/>
          <w:i/>
          <w:iCs/>
        </w:rPr>
        <w:t>Proceedings of the National Academy of Sciences</w:t>
      </w:r>
      <w:r w:rsidRPr="007C6F51">
        <w:rPr>
          <w:rFonts w:asciiTheme="minorHAnsi" w:hAnsiTheme="minorHAnsi"/>
        </w:rPr>
        <w:t xml:space="preserve">, </w:t>
      </w:r>
      <w:r w:rsidRPr="007C6F51">
        <w:rPr>
          <w:rFonts w:asciiTheme="minorHAnsi" w:hAnsiTheme="minorHAnsi"/>
          <w:i/>
          <w:iCs/>
        </w:rPr>
        <w:t>106</w:t>
      </w:r>
      <w:r w:rsidRPr="007C6F51">
        <w:rPr>
          <w:rFonts w:asciiTheme="minorHAnsi" w:hAnsiTheme="minorHAnsi"/>
        </w:rPr>
        <w:t xml:space="preserve">(9), pp.3017-3022. </w:t>
      </w:r>
    </w:p>
    <w:p w14:paraId="6B3D9AB1" w14:textId="4F9BFB8E" w:rsidR="00A5080F" w:rsidRPr="007C6F51" w:rsidRDefault="00C04AC8">
      <w:pPr>
        <w:spacing w:before="180" w:after="180"/>
        <w:rPr>
          <w:rFonts w:asciiTheme="minorHAnsi" w:hAnsiTheme="minorHAnsi"/>
        </w:rPr>
      </w:pPr>
      <w:r w:rsidRPr="007C6F51">
        <w:rPr>
          <w:rFonts w:asciiTheme="minorHAnsi" w:hAnsiTheme="minorHAnsi"/>
        </w:rPr>
        <w:t>Ilyina</w:t>
      </w:r>
      <w:r w:rsidR="00A5080F" w:rsidRPr="007C6F51">
        <w:rPr>
          <w:rFonts w:asciiTheme="minorHAnsi" w:hAnsiTheme="minorHAnsi"/>
        </w:rPr>
        <w:t>, T., Wolf‐</w:t>
      </w:r>
      <w:proofErr w:type="spellStart"/>
      <w:r w:rsidR="00A5080F" w:rsidRPr="007C6F51">
        <w:rPr>
          <w:rFonts w:asciiTheme="minorHAnsi" w:hAnsiTheme="minorHAnsi"/>
        </w:rPr>
        <w:t>Gladrow</w:t>
      </w:r>
      <w:proofErr w:type="spellEnd"/>
      <w:r w:rsidR="00A5080F" w:rsidRPr="007C6F51">
        <w:rPr>
          <w:rFonts w:asciiTheme="minorHAnsi" w:hAnsiTheme="minorHAnsi"/>
        </w:rPr>
        <w:t xml:space="preserve">, D., </w:t>
      </w:r>
      <w:proofErr w:type="spellStart"/>
      <w:r w:rsidR="00A5080F" w:rsidRPr="007C6F51">
        <w:rPr>
          <w:rFonts w:asciiTheme="minorHAnsi" w:hAnsiTheme="minorHAnsi"/>
        </w:rPr>
        <w:t>Munhoven</w:t>
      </w:r>
      <w:proofErr w:type="spellEnd"/>
      <w:r w:rsidR="00A5080F" w:rsidRPr="007C6F51">
        <w:rPr>
          <w:rFonts w:asciiTheme="minorHAnsi" w:hAnsiTheme="minorHAnsi"/>
        </w:rPr>
        <w:t xml:space="preserve">, G. and Heinze, C., 2013. Assessing the potential of calcium‐based artificial ocean alkalinization to mitigate rising atmospheric CO2 and ocean acidification. </w:t>
      </w:r>
      <w:r w:rsidR="00A5080F" w:rsidRPr="007C6F51">
        <w:rPr>
          <w:rFonts w:asciiTheme="minorHAnsi" w:hAnsiTheme="minorHAnsi"/>
          <w:i/>
          <w:iCs/>
        </w:rPr>
        <w:t>Geophysical Research Letters</w:t>
      </w:r>
      <w:r w:rsidR="00A5080F" w:rsidRPr="007C6F51">
        <w:rPr>
          <w:rFonts w:asciiTheme="minorHAnsi" w:hAnsiTheme="minorHAnsi"/>
        </w:rPr>
        <w:t xml:space="preserve">, </w:t>
      </w:r>
      <w:r w:rsidR="00A5080F" w:rsidRPr="007C6F51">
        <w:rPr>
          <w:rFonts w:asciiTheme="minorHAnsi" w:hAnsiTheme="minorHAnsi"/>
          <w:i/>
          <w:iCs/>
        </w:rPr>
        <w:t>40</w:t>
      </w:r>
      <w:r w:rsidR="00A5080F" w:rsidRPr="007C6F51">
        <w:rPr>
          <w:rFonts w:asciiTheme="minorHAnsi" w:hAnsiTheme="minorHAnsi"/>
        </w:rPr>
        <w:t>(22), pp.5909-5914.</w:t>
      </w:r>
    </w:p>
    <w:p w14:paraId="123C1F59" w14:textId="08286E5F" w:rsidR="004D4BB7" w:rsidRPr="007C6F51" w:rsidRDefault="004D4BB7">
      <w:pPr>
        <w:spacing w:before="180" w:after="180"/>
        <w:rPr>
          <w:rFonts w:asciiTheme="minorHAnsi" w:hAnsiTheme="minorHAnsi"/>
        </w:rPr>
      </w:pPr>
      <w:r w:rsidRPr="007C6F51">
        <w:rPr>
          <w:rFonts w:asciiTheme="minorHAnsi" w:hAnsiTheme="minorHAnsi"/>
        </w:rPr>
        <w:t xml:space="preserve">Iyer, G., </w:t>
      </w:r>
      <w:proofErr w:type="spellStart"/>
      <w:r w:rsidRPr="007C6F51">
        <w:rPr>
          <w:rFonts w:asciiTheme="minorHAnsi" w:hAnsiTheme="minorHAnsi"/>
        </w:rPr>
        <w:t>Hultman</w:t>
      </w:r>
      <w:proofErr w:type="spellEnd"/>
      <w:r w:rsidRPr="007C6F51">
        <w:rPr>
          <w:rFonts w:asciiTheme="minorHAnsi" w:hAnsiTheme="minorHAnsi"/>
        </w:rPr>
        <w:t xml:space="preserve">, N., </w:t>
      </w:r>
      <w:proofErr w:type="spellStart"/>
      <w:r w:rsidRPr="007C6F51">
        <w:rPr>
          <w:rFonts w:asciiTheme="minorHAnsi" w:hAnsiTheme="minorHAnsi"/>
        </w:rPr>
        <w:t>Eom</w:t>
      </w:r>
      <w:proofErr w:type="spellEnd"/>
      <w:r w:rsidRPr="007C6F51">
        <w:rPr>
          <w:rFonts w:asciiTheme="minorHAnsi" w:hAnsiTheme="minorHAnsi"/>
        </w:rPr>
        <w:t xml:space="preserve">, J., </w:t>
      </w:r>
      <w:proofErr w:type="spellStart"/>
      <w:r w:rsidRPr="007C6F51">
        <w:rPr>
          <w:rFonts w:asciiTheme="minorHAnsi" w:hAnsiTheme="minorHAnsi"/>
        </w:rPr>
        <w:t>McJeon</w:t>
      </w:r>
      <w:proofErr w:type="spellEnd"/>
      <w:r w:rsidRPr="007C6F51">
        <w:rPr>
          <w:rFonts w:asciiTheme="minorHAnsi" w:hAnsiTheme="minorHAnsi"/>
        </w:rPr>
        <w:t xml:space="preserve">, H., Patel, P. and Clarke, L., 2015. Diffusion of low-carbon technologies and the feasibility of long-term climate targets. </w:t>
      </w:r>
      <w:r w:rsidRPr="007C6F51">
        <w:rPr>
          <w:rFonts w:asciiTheme="minorHAnsi" w:hAnsiTheme="minorHAnsi"/>
          <w:i/>
          <w:iCs/>
        </w:rPr>
        <w:t>Technological Forecasting and Social Change</w:t>
      </w:r>
      <w:r w:rsidRPr="007C6F51">
        <w:rPr>
          <w:rFonts w:asciiTheme="minorHAnsi" w:hAnsiTheme="minorHAnsi"/>
        </w:rPr>
        <w:t xml:space="preserve">, </w:t>
      </w:r>
      <w:r w:rsidRPr="007C6F51">
        <w:rPr>
          <w:rFonts w:asciiTheme="minorHAnsi" w:hAnsiTheme="minorHAnsi"/>
          <w:i/>
          <w:iCs/>
        </w:rPr>
        <w:t>90</w:t>
      </w:r>
      <w:r w:rsidRPr="007C6F51">
        <w:rPr>
          <w:rFonts w:asciiTheme="minorHAnsi" w:hAnsiTheme="minorHAnsi"/>
        </w:rPr>
        <w:t>, pp.103-118.</w:t>
      </w:r>
    </w:p>
    <w:p w14:paraId="79776316" w14:textId="689E0BEB" w:rsidR="005B4AF4" w:rsidRPr="007C6F51" w:rsidRDefault="005B4AF4">
      <w:pPr>
        <w:spacing w:before="180" w:after="180"/>
        <w:rPr>
          <w:rFonts w:asciiTheme="minorHAnsi" w:hAnsiTheme="minorHAnsi"/>
        </w:rPr>
      </w:pPr>
      <w:r w:rsidRPr="007C6F51">
        <w:rPr>
          <w:rFonts w:asciiTheme="minorHAnsi" w:hAnsiTheme="minorHAnsi"/>
        </w:rPr>
        <w:t xml:space="preserve">Jiao, N., Robinson, C., Azam, F., Thomas, H., Baltar, F., Dang, H., Hardman-Mountford, N.J., Johnson, M., </w:t>
      </w:r>
      <w:proofErr w:type="spellStart"/>
      <w:r w:rsidRPr="007C6F51">
        <w:rPr>
          <w:rFonts w:asciiTheme="minorHAnsi" w:hAnsiTheme="minorHAnsi"/>
        </w:rPr>
        <w:t>Kirchman</w:t>
      </w:r>
      <w:proofErr w:type="spellEnd"/>
      <w:r w:rsidRPr="007C6F51">
        <w:rPr>
          <w:rFonts w:asciiTheme="minorHAnsi" w:hAnsiTheme="minorHAnsi"/>
        </w:rPr>
        <w:t xml:space="preserve">, D.L., Koch, B.P. and Legendre, L., 2014. Mechanisms of microbial carbon sequestration in the ocean–future research directions. </w:t>
      </w:r>
      <w:proofErr w:type="spellStart"/>
      <w:r w:rsidRPr="007C6F51">
        <w:rPr>
          <w:rFonts w:asciiTheme="minorHAnsi" w:hAnsiTheme="minorHAnsi"/>
          <w:i/>
          <w:iCs/>
        </w:rPr>
        <w:t>Biogeosciences</w:t>
      </w:r>
      <w:proofErr w:type="spellEnd"/>
      <w:r w:rsidRPr="007C6F51">
        <w:rPr>
          <w:rFonts w:asciiTheme="minorHAnsi" w:hAnsiTheme="minorHAnsi"/>
        </w:rPr>
        <w:t xml:space="preserve">, </w:t>
      </w:r>
      <w:r w:rsidRPr="007C6F51">
        <w:rPr>
          <w:rFonts w:asciiTheme="minorHAnsi" w:hAnsiTheme="minorHAnsi"/>
          <w:i/>
          <w:iCs/>
        </w:rPr>
        <w:t>11</w:t>
      </w:r>
      <w:r w:rsidRPr="007C6F51">
        <w:rPr>
          <w:rFonts w:asciiTheme="minorHAnsi" w:hAnsiTheme="minorHAnsi"/>
        </w:rPr>
        <w:t>(19), pp.5285-5306.</w:t>
      </w:r>
    </w:p>
    <w:p w14:paraId="76292A16" w14:textId="3723F4E9" w:rsidR="000B5165" w:rsidRPr="007C6F51" w:rsidRDefault="00C428FB">
      <w:pPr>
        <w:spacing w:before="180" w:after="180"/>
        <w:rPr>
          <w:rFonts w:asciiTheme="minorHAnsi" w:hAnsiTheme="minorHAnsi"/>
        </w:rPr>
      </w:pPr>
      <w:r w:rsidRPr="007C6F51">
        <w:rPr>
          <w:rFonts w:asciiTheme="minorHAnsi" w:hAnsiTheme="minorHAnsi"/>
        </w:rPr>
        <w:t xml:space="preserve">Jones, C., Robertson, E., Arora, V., </w:t>
      </w:r>
      <w:proofErr w:type="spellStart"/>
      <w:r w:rsidRPr="007C6F51">
        <w:rPr>
          <w:rFonts w:asciiTheme="minorHAnsi" w:hAnsiTheme="minorHAnsi"/>
        </w:rPr>
        <w:t>Friedlingstein</w:t>
      </w:r>
      <w:proofErr w:type="spellEnd"/>
      <w:r w:rsidRPr="007C6F51">
        <w:rPr>
          <w:rFonts w:asciiTheme="minorHAnsi" w:hAnsiTheme="minorHAnsi"/>
        </w:rPr>
        <w:t xml:space="preserve">, P., </w:t>
      </w:r>
      <w:proofErr w:type="spellStart"/>
      <w:r w:rsidRPr="007C6F51">
        <w:rPr>
          <w:rFonts w:asciiTheme="minorHAnsi" w:hAnsiTheme="minorHAnsi"/>
        </w:rPr>
        <w:t>Shevliakova</w:t>
      </w:r>
      <w:proofErr w:type="spellEnd"/>
      <w:r w:rsidRPr="007C6F51">
        <w:rPr>
          <w:rFonts w:asciiTheme="minorHAnsi" w:hAnsiTheme="minorHAnsi"/>
        </w:rPr>
        <w:t xml:space="preserve">, E., Bopp, L., </w:t>
      </w:r>
      <w:proofErr w:type="spellStart"/>
      <w:r w:rsidRPr="007C6F51">
        <w:rPr>
          <w:rFonts w:asciiTheme="minorHAnsi" w:hAnsiTheme="minorHAnsi"/>
        </w:rPr>
        <w:t>Brovkin</w:t>
      </w:r>
      <w:proofErr w:type="spellEnd"/>
      <w:r w:rsidRPr="007C6F51">
        <w:rPr>
          <w:rFonts w:asciiTheme="minorHAnsi" w:hAnsiTheme="minorHAnsi"/>
        </w:rPr>
        <w:t xml:space="preserve">, V., </w:t>
      </w:r>
      <w:proofErr w:type="spellStart"/>
      <w:r w:rsidRPr="007C6F51">
        <w:rPr>
          <w:rFonts w:asciiTheme="minorHAnsi" w:hAnsiTheme="minorHAnsi"/>
        </w:rPr>
        <w:t>Hajima</w:t>
      </w:r>
      <w:proofErr w:type="spellEnd"/>
      <w:r w:rsidRPr="007C6F51">
        <w:rPr>
          <w:rFonts w:asciiTheme="minorHAnsi" w:hAnsiTheme="minorHAnsi"/>
        </w:rPr>
        <w:t xml:space="preserve">, T., Kato, E., </w:t>
      </w:r>
      <w:proofErr w:type="spellStart"/>
      <w:r w:rsidRPr="007C6F51">
        <w:rPr>
          <w:rFonts w:asciiTheme="minorHAnsi" w:hAnsiTheme="minorHAnsi"/>
        </w:rPr>
        <w:t>Kawamiya</w:t>
      </w:r>
      <w:proofErr w:type="spellEnd"/>
      <w:r w:rsidRPr="007C6F51">
        <w:rPr>
          <w:rFonts w:asciiTheme="minorHAnsi" w:hAnsiTheme="minorHAnsi"/>
        </w:rPr>
        <w:t xml:space="preserve">, M. and Liddicoat, S., 2013. Twenty-first-century compatible CO2 emissions and airborne fraction simulated by CMIP5 earth system models under four representative concentration pathways. </w:t>
      </w:r>
      <w:r w:rsidRPr="007C6F51">
        <w:rPr>
          <w:rFonts w:asciiTheme="minorHAnsi" w:hAnsiTheme="minorHAnsi"/>
          <w:i/>
          <w:iCs/>
        </w:rPr>
        <w:t>Journal of Climate</w:t>
      </w:r>
      <w:r w:rsidRPr="007C6F51">
        <w:rPr>
          <w:rFonts w:asciiTheme="minorHAnsi" w:hAnsiTheme="minorHAnsi"/>
        </w:rPr>
        <w:t xml:space="preserve">, </w:t>
      </w:r>
      <w:r w:rsidRPr="007C6F51">
        <w:rPr>
          <w:rFonts w:asciiTheme="minorHAnsi" w:hAnsiTheme="minorHAnsi"/>
          <w:i/>
          <w:iCs/>
        </w:rPr>
        <w:t>26</w:t>
      </w:r>
      <w:r w:rsidRPr="007C6F51">
        <w:rPr>
          <w:rFonts w:asciiTheme="minorHAnsi" w:hAnsiTheme="minorHAnsi"/>
        </w:rPr>
        <w:t>(13), pp.4398-4413.</w:t>
      </w:r>
    </w:p>
    <w:p w14:paraId="24976043" w14:textId="3B61B5C0" w:rsidR="001C6B1A" w:rsidRPr="007C6F51" w:rsidRDefault="001C6B1A">
      <w:pPr>
        <w:spacing w:before="180" w:after="180"/>
        <w:rPr>
          <w:rFonts w:asciiTheme="minorHAnsi" w:eastAsia="Roboto" w:hAnsiTheme="minorHAnsi"/>
          <w:color w:val="222222"/>
          <w:highlight w:val="white"/>
          <w:lang w:val="en-GB"/>
        </w:rPr>
      </w:pPr>
      <w:r w:rsidRPr="007C6F51">
        <w:rPr>
          <w:rFonts w:asciiTheme="minorHAnsi" w:hAnsiTheme="minorHAnsi"/>
        </w:rPr>
        <w:t xml:space="preserve">Jones, C.D., </w:t>
      </w:r>
      <w:proofErr w:type="spellStart"/>
      <w:r w:rsidRPr="007C6F51">
        <w:rPr>
          <w:rFonts w:asciiTheme="minorHAnsi" w:hAnsiTheme="minorHAnsi"/>
        </w:rPr>
        <w:t>Ciais</w:t>
      </w:r>
      <w:proofErr w:type="spellEnd"/>
      <w:r w:rsidRPr="007C6F51">
        <w:rPr>
          <w:rFonts w:asciiTheme="minorHAnsi" w:hAnsiTheme="minorHAnsi"/>
        </w:rPr>
        <w:t xml:space="preserve">, P., Davis, S.J., </w:t>
      </w:r>
      <w:proofErr w:type="spellStart"/>
      <w:r w:rsidRPr="007C6F51">
        <w:rPr>
          <w:rFonts w:asciiTheme="minorHAnsi" w:hAnsiTheme="minorHAnsi"/>
        </w:rPr>
        <w:t>Friedlingstein</w:t>
      </w:r>
      <w:proofErr w:type="spellEnd"/>
      <w:r w:rsidRPr="007C6F51">
        <w:rPr>
          <w:rFonts w:asciiTheme="minorHAnsi" w:hAnsiTheme="minorHAnsi"/>
        </w:rPr>
        <w:t xml:space="preserve">, P., Gasser, T., Peters, G.P., </w:t>
      </w:r>
      <w:proofErr w:type="spellStart"/>
      <w:r w:rsidRPr="007C6F51">
        <w:rPr>
          <w:rFonts w:asciiTheme="minorHAnsi" w:hAnsiTheme="minorHAnsi"/>
        </w:rPr>
        <w:t>Rogelj</w:t>
      </w:r>
      <w:proofErr w:type="spellEnd"/>
      <w:r w:rsidRPr="007C6F51">
        <w:rPr>
          <w:rFonts w:asciiTheme="minorHAnsi" w:hAnsiTheme="minorHAnsi"/>
        </w:rPr>
        <w:t xml:space="preserve">, J., van Vuuren, D.P., </w:t>
      </w:r>
      <w:proofErr w:type="spellStart"/>
      <w:r w:rsidRPr="007C6F51">
        <w:rPr>
          <w:rFonts w:asciiTheme="minorHAnsi" w:hAnsiTheme="minorHAnsi"/>
        </w:rPr>
        <w:t>Canadell</w:t>
      </w:r>
      <w:proofErr w:type="spellEnd"/>
      <w:r w:rsidRPr="007C6F51">
        <w:rPr>
          <w:rFonts w:asciiTheme="minorHAnsi" w:hAnsiTheme="minorHAnsi"/>
        </w:rPr>
        <w:t xml:space="preserve">, J.G., Cowie, A. and Jackson, R.B., 2016. Simulating the Earth system response to negative emissions. </w:t>
      </w:r>
      <w:r w:rsidRPr="007C6F51">
        <w:rPr>
          <w:rFonts w:asciiTheme="minorHAnsi" w:hAnsiTheme="minorHAnsi"/>
          <w:i/>
          <w:iCs/>
        </w:rPr>
        <w:t>Environmental Research Letters</w:t>
      </w:r>
      <w:r w:rsidRPr="007C6F51">
        <w:rPr>
          <w:rFonts w:asciiTheme="minorHAnsi" w:hAnsiTheme="minorHAnsi"/>
        </w:rPr>
        <w:t xml:space="preserve">, </w:t>
      </w:r>
      <w:r w:rsidRPr="007C6F51">
        <w:rPr>
          <w:rFonts w:asciiTheme="minorHAnsi" w:hAnsiTheme="minorHAnsi"/>
          <w:i/>
          <w:iCs/>
        </w:rPr>
        <w:t>11</w:t>
      </w:r>
      <w:r w:rsidRPr="007C6F51">
        <w:rPr>
          <w:rFonts w:asciiTheme="minorHAnsi" w:hAnsiTheme="minorHAnsi"/>
        </w:rPr>
        <w:t>(9), p.095012.</w:t>
      </w:r>
    </w:p>
    <w:p w14:paraId="20D0D96C" w14:textId="76F24202" w:rsidR="00752BFB" w:rsidRPr="007C6F51" w:rsidRDefault="00752BFB" w:rsidP="007C6F51">
      <w:pPr>
        <w:rPr>
          <w:rFonts w:asciiTheme="minorHAnsi" w:hAnsiTheme="minorHAnsi"/>
        </w:rPr>
      </w:pPr>
      <w:r w:rsidRPr="007C6F51">
        <w:rPr>
          <w:rFonts w:asciiTheme="minorHAnsi" w:hAnsiTheme="minorHAnsi"/>
        </w:rPr>
        <w:t xml:space="preserve">Keller, D.P., Feng, E.Y. and </w:t>
      </w:r>
      <w:proofErr w:type="spellStart"/>
      <w:r w:rsidRPr="007C6F51">
        <w:rPr>
          <w:rFonts w:asciiTheme="minorHAnsi" w:hAnsiTheme="minorHAnsi"/>
        </w:rPr>
        <w:t>Oschlies</w:t>
      </w:r>
      <w:proofErr w:type="spellEnd"/>
      <w:r w:rsidRPr="007C6F51">
        <w:rPr>
          <w:rFonts w:asciiTheme="minorHAnsi" w:hAnsiTheme="minorHAnsi"/>
        </w:rPr>
        <w:t xml:space="preserve">, A., 2014. Potential climate engineering effectiveness and side effects during a high carbon dioxide-emission scenario. </w:t>
      </w:r>
      <w:r w:rsidRPr="007C6F51">
        <w:rPr>
          <w:rFonts w:asciiTheme="minorHAnsi" w:hAnsiTheme="minorHAnsi"/>
          <w:i/>
          <w:iCs/>
        </w:rPr>
        <w:t>Nature communications</w:t>
      </w:r>
      <w:r w:rsidRPr="007C6F51">
        <w:rPr>
          <w:rFonts w:asciiTheme="minorHAnsi" w:hAnsiTheme="minorHAnsi"/>
        </w:rPr>
        <w:t xml:space="preserve">, </w:t>
      </w:r>
      <w:r w:rsidRPr="007C6F51">
        <w:rPr>
          <w:rFonts w:asciiTheme="minorHAnsi" w:hAnsiTheme="minorHAnsi"/>
          <w:i/>
          <w:iCs/>
        </w:rPr>
        <w:t>5</w:t>
      </w:r>
      <w:r w:rsidRPr="007C6F51">
        <w:rPr>
          <w:rFonts w:asciiTheme="minorHAnsi" w:hAnsiTheme="minorHAnsi"/>
        </w:rPr>
        <w:t>(1), p.3304.</w:t>
      </w:r>
    </w:p>
    <w:p w14:paraId="1B3CEC75" w14:textId="78459778" w:rsidR="00BC0E69" w:rsidRPr="007C6F51" w:rsidRDefault="00BC0E69">
      <w:pPr>
        <w:spacing w:before="180" w:after="180"/>
        <w:rPr>
          <w:rFonts w:asciiTheme="minorHAnsi" w:hAnsiTheme="minorHAnsi"/>
        </w:rPr>
      </w:pPr>
      <w:r w:rsidRPr="007C6F51">
        <w:rPr>
          <w:rFonts w:asciiTheme="minorHAnsi" w:hAnsiTheme="minorHAnsi"/>
        </w:rPr>
        <w:t xml:space="preserve">Khan, A.H., </w:t>
      </w:r>
      <w:proofErr w:type="spellStart"/>
      <w:r w:rsidRPr="007C6F51">
        <w:rPr>
          <w:rFonts w:asciiTheme="minorHAnsi" w:hAnsiTheme="minorHAnsi"/>
        </w:rPr>
        <w:t>Levac</w:t>
      </w:r>
      <w:proofErr w:type="spellEnd"/>
      <w:r w:rsidRPr="007C6F51">
        <w:rPr>
          <w:rFonts w:asciiTheme="minorHAnsi" w:hAnsiTheme="minorHAnsi"/>
        </w:rPr>
        <w:t xml:space="preserve">, E., Van </w:t>
      </w:r>
      <w:proofErr w:type="spellStart"/>
      <w:r w:rsidRPr="007C6F51">
        <w:rPr>
          <w:rFonts w:asciiTheme="minorHAnsi" w:hAnsiTheme="minorHAnsi"/>
        </w:rPr>
        <w:t>Guelphen</w:t>
      </w:r>
      <w:proofErr w:type="spellEnd"/>
      <w:r w:rsidRPr="007C6F51">
        <w:rPr>
          <w:rFonts w:asciiTheme="minorHAnsi" w:hAnsiTheme="minorHAnsi"/>
        </w:rPr>
        <w:t xml:space="preserve">, L., </w:t>
      </w:r>
      <w:proofErr w:type="spellStart"/>
      <w:r w:rsidRPr="007C6F51">
        <w:rPr>
          <w:rFonts w:asciiTheme="minorHAnsi" w:hAnsiTheme="minorHAnsi"/>
        </w:rPr>
        <w:t>Pohle</w:t>
      </w:r>
      <w:proofErr w:type="spellEnd"/>
      <w:r w:rsidRPr="007C6F51">
        <w:rPr>
          <w:rFonts w:asciiTheme="minorHAnsi" w:hAnsiTheme="minorHAnsi"/>
        </w:rPr>
        <w:t xml:space="preserve">, G. and Chmura, G.L., 2018. The effect of global climate change on the future distribution of economically important macroalgae (seaweeds) in the northwest Atlantic. </w:t>
      </w:r>
      <w:r w:rsidRPr="007C6F51">
        <w:rPr>
          <w:rFonts w:asciiTheme="minorHAnsi" w:hAnsiTheme="minorHAnsi"/>
          <w:i/>
          <w:iCs/>
        </w:rPr>
        <w:t>Facets</w:t>
      </w:r>
      <w:r w:rsidRPr="007C6F51">
        <w:rPr>
          <w:rFonts w:asciiTheme="minorHAnsi" w:hAnsiTheme="minorHAnsi"/>
        </w:rPr>
        <w:t xml:space="preserve">, </w:t>
      </w:r>
      <w:r w:rsidRPr="007C6F51">
        <w:rPr>
          <w:rFonts w:asciiTheme="minorHAnsi" w:hAnsiTheme="minorHAnsi"/>
          <w:i/>
          <w:iCs/>
        </w:rPr>
        <w:t>3</w:t>
      </w:r>
      <w:r w:rsidRPr="007C6F51">
        <w:rPr>
          <w:rFonts w:asciiTheme="minorHAnsi" w:hAnsiTheme="minorHAnsi"/>
        </w:rPr>
        <w:t>(1), pp.275-286.</w:t>
      </w:r>
    </w:p>
    <w:p w14:paraId="4834A2D7" w14:textId="5CA525C7" w:rsidR="001C6B1A" w:rsidRPr="007C6F51" w:rsidRDefault="001C6B1A">
      <w:pPr>
        <w:spacing w:before="180" w:after="180"/>
        <w:rPr>
          <w:rFonts w:asciiTheme="minorHAnsi" w:hAnsiTheme="minorHAnsi"/>
        </w:rPr>
      </w:pPr>
      <w:r w:rsidRPr="007C6F51">
        <w:rPr>
          <w:rFonts w:asciiTheme="minorHAnsi" w:hAnsiTheme="minorHAnsi"/>
        </w:rPr>
        <w:t xml:space="preserve">Krause-Jensen, D., &amp; Duarte, C. M. (2016). Substantial role of macroalgae in marine carbon sequestration. Nature Geoscience, 9(10), 737–742. </w:t>
      </w:r>
      <w:hyperlink r:id="rId9" w:history="1">
        <w:r w:rsidR="00AD1DDF" w:rsidRPr="007C6F51">
          <w:rPr>
            <w:rStyle w:val="Hyperlink"/>
            <w:rFonts w:asciiTheme="minorHAnsi" w:hAnsiTheme="minorHAnsi"/>
          </w:rPr>
          <w:t>https://doi</w:t>
        </w:r>
      </w:hyperlink>
      <w:r w:rsidRPr="007C6F51">
        <w:rPr>
          <w:rFonts w:asciiTheme="minorHAnsi" w:hAnsiTheme="minorHAnsi"/>
        </w:rPr>
        <w:t>.org/10.1038/ngeo2790.</w:t>
      </w:r>
    </w:p>
    <w:p w14:paraId="46192D23" w14:textId="6DD6101A" w:rsidR="00217518" w:rsidRPr="007C6F51" w:rsidRDefault="00217518">
      <w:pPr>
        <w:spacing w:before="180" w:after="180"/>
        <w:rPr>
          <w:rFonts w:asciiTheme="minorHAnsi" w:hAnsiTheme="minorHAnsi"/>
        </w:rPr>
      </w:pPr>
      <w:proofErr w:type="spellStart"/>
      <w:r w:rsidRPr="007C6F51">
        <w:rPr>
          <w:rFonts w:asciiTheme="minorHAnsi" w:hAnsiTheme="minorHAnsi"/>
        </w:rPr>
        <w:t>Krumhansl</w:t>
      </w:r>
      <w:proofErr w:type="spellEnd"/>
      <w:r w:rsidRPr="007C6F51">
        <w:rPr>
          <w:rFonts w:asciiTheme="minorHAnsi" w:hAnsiTheme="minorHAnsi"/>
        </w:rPr>
        <w:t xml:space="preserve">, K.A., Okamoto, D.K., </w:t>
      </w:r>
      <w:proofErr w:type="spellStart"/>
      <w:r w:rsidRPr="007C6F51">
        <w:rPr>
          <w:rFonts w:asciiTheme="minorHAnsi" w:hAnsiTheme="minorHAnsi"/>
        </w:rPr>
        <w:t>Rassweiler</w:t>
      </w:r>
      <w:proofErr w:type="spellEnd"/>
      <w:r w:rsidRPr="007C6F51">
        <w:rPr>
          <w:rFonts w:asciiTheme="minorHAnsi" w:hAnsiTheme="minorHAnsi"/>
        </w:rPr>
        <w:t xml:space="preserve">, A., Novak, M., Bolton, J.J., Cavanaugh, K.C., Connell, S.D., Johnson, C.R., </w:t>
      </w:r>
      <w:proofErr w:type="spellStart"/>
      <w:r w:rsidRPr="007C6F51">
        <w:rPr>
          <w:rFonts w:asciiTheme="minorHAnsi" w:hAnsiTheme="minorHAnsi"/>
        </w:rPr>
        <w:t>Konar</w:t>
      </w:r>
      <w:proofErr w:type="spellEnd"/>
      <w:r w:rsidRPr="007C6F51">
        <w:rPr>
          <w:rFonts w:asciiTheme="minorHAnsi" w:hAnsiTheme="minorHAnsi"/>
        </w:rPr>
        <w:t xml:space="preserve">, B., Ling, S.D. and </w:t>
      </w:r>
      <w:proofErr w:type="spellStart"/>
      <w:r w:rsidRPr="007C6F51">
        <w:rPr>
          <w:rFonts w:asciiTheme="minorHAnsi" w:hAnsiTheme="minorHAnsi"/>
        </w:rPr>
        <w:t>Micheli</w:t>
      </w:r>
      <w:proofErr w:type="spellEnd"/>
      <w:r w:rsidRPr="007C6F51">
        <w:rPr>
          <w:rFonts w:asciiTheme="minorHAnsi" w:hAnsiTheme="minorHAnsi"/>
        </w:rPr>
        <w:t xml:space="preserve">, F., 2016. Global patterns of kelp forest change over the past half-century. </w:t>
      </w:r>
      <w:r w:rsidRPr="007C6F51">
        <w:rPr>
          <w:rFonts w:asciiTheme="minorHAnsi" w:hAnsiTheme="minorHAnsi"/>
          <w:i/>
          <w:iCs/>
        </w:rPr>
        <w:t>Proceedings of the National Academy of Sciences</w:t>
      </w:r>
      <w:r w:rsidRPr="007C6F51">
        <w:rPr>
          <w:rFonts w:asciiTheme="minorHAnsi" w:hAnsiTheme="minorHAnsi"/>
        </w:rPr>
        <w:t xml:space="preserve">, </w:t>
      </w:r>
      <w:r w:rsidRPr="007C6F51">
        <w:rPr>
          <w:rFonts w:asciiTheme="minorHAnsi" w:hAnsiTheme="minorHAnsi"/>
          <w:i/>
          <w:iCs/>
        </w:rPr>
        <w:t>113</w:t>
      </w:r>
      <w:r w:rsidRPr="007C6F51">
        <w:rPr>
          <w:rFonts w:asciiTheme="minorHAnsi" w:hAnsiTheme="minorHAnsi"/>
        </w:rPr>
        <w:t>(48), pp.13785-13790.</w:t>
      </w:r>
    </w:p>
    <w:p w14:paraId="1D3DA917" w14:textId="58DE32A4" w:rsidR="002443F1" w:rsidRPr="007C6F51" w:rsidRDefault="002443F1">
      <w:pPr>
        <w:spacing w:before="180" w:after="180"/>
        <w:rPr>
          <w:rFonts w:asciiTheme="minorHAnsi" w:hAnsiTheme="minorHAnsi"/>
        </w:rPr>
      </w:pPr>
      <w:proofErr w:type="spellStart"/>
      <w:r w:rsidRPr="007C6F51">
        <w:rPr>
          <w:rFonts w:asciiTheme="minorHAnsi" w:hAnsiTheme="minorHAnsi"/>
        </w:rPr>
        <w:t>Krumins</w:t>
      </w:r>
      <w:proofErr w:type="spellEnd"/>
      <w:r w:rsidRPr="007C6F51">
        <w:rPr>
          <w:rFonts w:asciiTheme="minorHAnsi" w:hAnsiTheme="minorHAnsi"/>
        </w:rPr>
        <w:t xml:space="preserve">, V., </w:t>
      </w:r>
      <w:proofErr w:type="spellStart"/>
      <w:r w:rsidRPr="007C6F51">
        <w:rPr>
          <w:rFonts w:asciiTheme="minorHAnsi" w:hAnsiTheme="minorHAnsi"/>
        </w:rPr>
        <w:t>Gehlen</w:t>
      </w:r>
      <w:proofErr w:type="spellEnd"/>
      <w:r w:rsidRPr="007C6F51">
        <w:rPr>
          <w:rFonts w:asciiTheme="minorHAnsi" w:hAnsiTheme="minorHAnsi"/>
        </w:rPr>
        <w:t xml:space="preserve">, M., Arndt, S., Van </w:t>
      </w:r>
      <w:proofErr w:type="spellStart"/>
      <w:r w:rsidRPr="007C6F51">
        <w:rPr>
          <w:rFonts w:asciiTheme="minorHAnsi" w:hAnsiTheme="minorHAnsi"/>
        </w:rPr>
        <w:t>Cappellen</w:t>
      </w:r>
      <w:proofErr w:type="spellEnd"/>
      <w:r w:rsidRPr="007C6F51">
        <w:rPr>
          <w:rFonts w:asciiTheme="minorHAnsi" w:hAnsiTheme="minorHAnsi"/>
        </w:rPr>
        <w:t xml:space="preserve">, P. and </w:t>
      </w:r>
      <w:proofErr w:type="spellStart"/>
      <w:r w:rsidRPr="007C6F51">
        <w:rPr>
          <w:rFonts w:asciiTheme="minorHAnsi" w:hAnsiTheme="minorHAnsi"/>
        </w:rPr>
        <w:t>Regnier</w:t>
      </w:r>
      <w:proofErr w:type="spellEnd"/>
      <w:r w:rsidRPr="007C6F51">
        <w:rPr>
          <w:rFonts w:asciiTheme="minorHAnsi" w:hAnsiTheme="minorHAnsi"/>
        </w:rPr>
        <w:t xml:space="preserve">, P., 2013. Dissolved inorganic carbon and alkalinity fluxes from coastal marine sediments: model estimates for different shelf environments and sensitivity to global change. </w:t>
      </w:r>
      <w:proofErr w:type="spellStart"/>
      <w:r w:rsidRPr="007C6F51">
        <w:rPr>
          <w:rFonts w:asciiTheme="minorHAnsi" w:hAnsiTheme="minorHAnsi"/>
          <w:i/>
          <w:iCs/>
        </w:rPr>
        <w:t>Biogeosciences</w:t>
      </w:r>
      <w:proofErr w:type="spellEnd"/>
      <w:r w:rsidRPr="007C6F51">
        <w:rPr>
          <w:rFonts w:asciiTheme="minorHAnsi" w:hAnsiTheme="minorHAnsi"/>
        </w:rPr>
        <w:t xml:space="preserve">, </w:t>
      </w:r>
      <w:r w:rsidRPr="007C6F51">
        <w:rPr>
          <w:rFonts w:asciiTheme="minorHAnsi" w:hAnsiTheme="minorHAnsi"/>
          <w:i/>
          <w:iCs/>
        </w:rPr>
        <w:t>10</w:t>
      </w:r>
      <w:r w:rsidRPr="007C6F51">
        <w:rPr>
          <w:rFonts w:asciiTheme="minorHAnsi" w:hAnsiTheme="minorHAnsi"/>
        </w:rPr>
        <w:t>(1), pp.371-398.</w:t>
      </w:r>
    </w:p>
    <w:p w14:paraId="689CCCE8" w14:textId="57AB86EF" w:rsidR="001B555A" w:rsidRPr="007C6F51" w:rsidRDefault="001B555A">
      <w:pPr>
        <w:spacing w:before="180" w:after="180"/>
        <w:rPr>
          <w:rFonts w:asciiTheme="minorHAnsi" w:hAnsiTheme="minorHAnsi"/>
        </w:rPr>
      </w:pPr>
      <w:r w:rsidRPr="007C6F51">
        <w:rPr>
          <w:rFonts w:asciiTheme="minorHAnsi" w:hAnsiTheme="minorHAnsi"/>
        </w:rPr>
        <w:lastRenderedPageBreak/>
        <w:t xml:space="preserve">Lane, J.L., Smart, S., </w:t>
      </w:r>
      <w:proofErr w:type="spellStart"/>
      <w:r w:rsidRPr="007C6F51">
        <w:rPr>
          <w:rFonts w:asciiTheme="minorHAnsi" w:hAnsiTheme="minorHAnsi"/>
        </w:rPr>
        <w:t>Schmeda</w:t>
      </w:r>
      <w:proofErr w:type="spellEnd"/>
      <w:r w:rsidRPr="007C6F51">
        <w:rPr>
          <w:rFonts w:asciiTheme="minorHAnsi" w:hAnsiTheme="minorHAnsi"/>
        </w:rPr>
        <w:t xml:space="preserve">‐Lopez, D., </w:t>
      </w:r>
      <w:proofErr w:type="spellStart"/>
      <w:r w:rsidRPr="007C6F51">
        <w:rPr>
          <w:rFonts w:asciiTheme="minorHAnsi" w:hAnsiTheme="minorHAnsi"/>
        </w:rPr>
        <w:t>Hoegh</w:t>
      </w:r>
      <w:proofErr w:type="spellEnd"/>
      <w:r w:rsidRPr="007C6F51">
        <w:rPr>
          <w:rFonts w:asciiTheme="minorHAnsi" w:hAnsiTheme="minorHAnsi"/>
        </w:rPr>
        <w:t xml:space="preserve">‐Guldberg, O., Garnett, A., Greig, C. and McFarland, E., 2019. Understanding constraints to the transformation rate of global energy infrastructure. </w:t>
      </w:r>
      <w:r w:rsidRPr="007C6F51">
        <w:rPr>
          <w:rFonts w:asciiTheme="minorHAnsi" w:hAnsiTheme="minorHAnsi"/>
          <w:i/>
          <w:iCs/>
        </w:rPr>
        <w:t>Advances in Energy Systems: The Large‐scale Renewable Energy Integration Challenge</w:t>
      </w:r>
      <w:r w:rsidRPr="007C6F51">
        <w:rPr>
          <w:rFonts w:asciiTheme="minorHAnsi" w:hAnsiTheme="minorHAnsi"/>
        </w:rPr>
        <w:t>, pp.67-83.</w:t>
      </w:r>
    </w:p>
    <w:p w14:paraId="34E8237F" w14:textId="7590C3DA" w:rsidR="006002B9" w:rsidRPr="007C6F51" w:rsidRDefault="006002B9">
      <w:pPr>
        <w:spacing w:before="180" w:after="180"/>
        <w:rPr>
          <w:rFonts w:asciiTheme="minorHAnsi" w:hAnsiTheme="minorHAnsi"/>
        </w:rPr>
      </w:pPr>
      <w:r w:rsidRPr="007C6F51">
        <w:rPr>
          <w:rFonts w:asciiTheme="minorHAnsi" w:hAnsiTheme="minorHAnsi"/>
        </w:rPr>
        <w:t xml:space="preserve">Lawrence, M. G., Schäfer, S., Muri, H., Scott, V., </w:t>
      </w:r>
      <w:proofErr w:type="spellStart"/>
      <w:r w:rsidRPr="007C6F51">
        <w:rPr>
          <w:rFonts w:asciiTheme="minorHAnsi" w:hAnsiTheme="minorHAnsi"/>
        </w:rPr>
        <w:t>Oschlies</w:t>
      </w:r>
      <w:proofErr w:type="spellEnd"/>
      <w:r w:rsidRPr="007C6F51">
        <w:rPr>
          <w:rFonts w:asciiTheme="minorHAnsi" w:hAnsiTheme="minorHAnsi"/>
        </w:rPr>
        <w:t xml:space="preserve">, A., Vaughan, N. E., … </w:t>
      </w:r>
      <w:proofErr w:type="spellStart"/>
      <w:r w:rsidRPr="007C6F51">
        <w:rPr>
          <w:rFonts w:asciiTheme="minorHAnsi" w:hAnsiTheme="minorHAnsi"/>
        </w:rPr>
        <w:t>Scheffran</w:t>
      </w:r>
      <w:proofErr w:type="spellEnd"/>
      <w:r w:rsidRPr="007C6F51">
        <w:rPr>
          <w:rFonts w:asciiTheme="minorHAnsi" w:hAnsiTheme="minorHAnsi"/>
        </w:rPr>
        <w:t xml:space="preserve">, J. (2018). Evaluating climate geoengineering proposals in the context of the Paris Agreement temperature goals. Nature Communications, 9(1). </w:t>
      </w:r>
      <w:hyperlink r:id="rId10" w:history="1">
        <w:r w:rsidR="00AD1DDF" w:rsidRPr="007C6F51">
          <w:rPr>
            <w:rStyle w:val="Hyperlink"/>
            <w:rFonts w:asciiTheme="minorHAnsi" w:hAnsiTheme="minorHAnsi"/>
          </w:rPr>
          <w:t>https://doi</w:t>
        </w:r>
      </w:hyperlink>
      <w:r w:rsidRPr="007C6F51">
        <w:rPr>
          <w:rFonts w:asciiTheme="minorHAnsi" w:hAnsiTheme="minorHAnsi"/>
        </w:rPr>
        <w:t>.org/10.1038/s41467-018-05938-3</w:t>
      </w:r>
    </w:p>
    <w:p w14:paraId="7216B689" w14:textId="493FF007" w:rsidR="00B61DD5" w:rsidRPr="007C6F51" w:rsidRDefault="00B61DD5">
      <w:pPr>
        <w:spacing w:before="180" w:after="180"/>
        <w:rPr>
          <w:rFonts w:asciiTheme="minorHAnsi" w:hAnsiTheme="minorHAnsi"/>
        </w:rPr>
      </w:pPr>
      <w:proofErr w:type="spellStart"/>
      <w:r w:rsidRPr="007C6F51">
        <w:rPr>
          <w:rFonts w:asciiTheme="minorHAnsi" w:hAnsiTheme="minorHAnsi"/>
        </w:rPr>
        <w:t>Legge</w:t>
      </w:r>
      <w:proofErr w:type="spellEnd"/>
      <w:r w:rsidRPr="007C6F51">
        <w:rPr>
          <w:rFonts w:asciiTheme="minorHAnsi" w:hAnsiTheme="minorHAnsi"/>
        </w:rPr>
        <w:t xml:space="preserve">, O., Johnson, M., Hicks, N., </w:t>
      </w:r>
      <w:proofErr w:type="spellStart"/>
      <w:r w:rsidRPr="007C6F51">
        <w:rPr>
          <w:rFonts w:asciiTheme="minorHAnsi" w:hAnsiTheme="minorHAnsi"/>
        </w:rPr>
        <w:t>Jickells</w:t>
      </w:r>
      <w:proofErr w:type="spellEnd"/>
      <w:r w:rsidRPr="007C6F51">
        <w:rPr>
          <w:rFonts w:asciiTheme="minorHAnsi" w:hAnsiTheme="minorHAnsi"/>
        </w:rPr>
        <w:t xml:space="preserve">, T., </w:t>
      </w:r>
      <w:proofErr w:type="spellStart"/>
      <w:r w:rsidRPr="007C6F51">
        <w:rPr>
          <w:rFonts w:asciiTheme="minorHAnsi" w:hAnsiTheme="minorHAnsi"/>
        </w:rPr>
        <w:t>Diesing</w:t>
      </w:r>
      <w:proofErr w:type="spellEnd"/>
      <w:r w:rsidRPr="007C6F51">
        <w:rPr>
          <w:rFonts w:asciiTheme="minorHAnsi" w:hAnsiTheme="minorHAnsi"/>
        </w:rPr>
        <w:t xml:space="preserve">, M., Aldridge, J., Andrews, J., </w:t>
      </w:r>
      <w:proofErr w:type="spellStart"/>
      <w:r w:rsidRPr="007C6F51">
        <w:rPr>
          <w:rFonts w:asciiTheme="minorHAnsi" w:hAnsiTheme="minorHAnsi"/>
        </w:rPr>
        <w:t>Artioli</w:t>
      </w:r>
      <w:proofErr w:type="spellEnd"/>
      <w:r w:rsidRPr="007C6F51">
        <w:rPr>
          <w:rFonts w:asciiTheme="minorHAnsi" w:hAnsiTheme="minorHAnsi"/>
        </w:rPr>
        <w:t xml:space="preserve">, Y., Bakker, D.C., Burrows, M.T. and Carr, N., 2020. Carbon on the northwest European shelf: Contemporary budget and future influences. </w:t>
      </w:r>
      <w:r w:rsidRPr="007C6F51">
        <w:rPr>
          <w:rFonts w:asciiTheme="minorHAnsi" w:hAnsiTheme="minorHAnsi"/>
          <w:i/>
          <w:iCs/>
        </w:rPr>
        <w:t>Frontiers in Marine Science</w:t>
      </w:r>
      <w:r w:rsidRPr="007C6F51">
        <w:rPr>
          <w:rFonts w:asciiTheme="minorHAnsi" w:hAnsiTheme="minorHAnsi"/>
        </w:rPr>
        <w:t xml:space="preserve">, </w:t>
      </w:r>
      <w:r w:rsidRPr="007C6F51">
        <w:rPr>
          <w:rFonts w:asciiTheme="minorHAnsi" w:hAnsiTheme="minorHAnsi"/>
          <w:i/>
          <w:iCs/>
        </w:rPr>
        <w:t>7</w:t>
      </w:r>
      <w:r w:rsidRPr="007C6F51">
        <w:rPr>
          <w:rFonts w:asciiTheme="minorHAnsi" w:hAnsiTheme="minorHAnsi"/>
        </w:rPr>
        <w:t>, p.143.</w:t>
      </w:r>
    </w:p>
    <w:p w14:paraId="440AF126" w14:textId="20EE53EF" w:rsidR="001C6B1A" w:rsidRPr="007C6F51" w:rsidRDefault="001C6B1A">
      <w:pPr>
        <w:spacing w:before="180" w:after="180"/>
        <w:rPr>
          <w:rFonts w:asciiTheme="minorHAnsi" w:hAnsiTheme="minorHAnsi"/>
        </w:rPr>
      </w:pPr>
      <w:proofErr w:type="spellStart"/>
      <w:r w:rsidRPr="007C6F51">
        <w:rPr>
          <w:rFonts w:asciiTheme="minorHAnsi" w:hAnsiTheme="minorHAnsi"/>
        </w:rPr>
        <w:t>Lehahn</w:t>
      </w:r>
      <w:proofErr w:type="spellEnd"/>
      <w:r w:rsidRPr="007C6F51">
        <w:rPr>
          <w:rFonts w:asciiTheme="minorHAnsi" w:hAnsiTheme="minorHAnsi"/>
        </w:rPr>
        <w:t xml:space="preserve">, Y., Ingle, K.N. and </w:t>
      </w:r>
      <w:proofErr w:type="spellStart"/>
      <w:r w:rsidRPr="007C6F51">
        <w:rPr>
          <w:rFonts w:asciiTheme="minorHAnsi" w:hAnsiTheme="minorHAnsi"/>
        </w:rPr>
        <w:t>Golberg</w:t>
      </w:r>
      <w:proofErr w:type="spellEnd"/>
      <w:r w:rsidRPr="007C6F51">
        <w:rPr>
          <w:rFonts w:asciiTheme="minorHAnsi" w:hAnsiTheme="minorHAnsi"/>
        </w:rPr>
        <w:t xml:space="preserve">, A., 2016. Global potential of offshore and shallow waters macroalgal biorefineries to provide for food, chemicals and energy: feasibility and sustainability. </w:t>
      </w:r>
      <w:r w:rsidRPr="007C6F51">
        <w:rPr>
          <w:rFonts w:asciiTheme="minorHAnsi" w:hAnsiTheme="minorHAnsi"/>
          <w:i/>
          <w:iCs/>
        </w:rPr>
        <w:t>Algal Research</w:t>
      </w:r>
      <w:r w:rsidRPr="007C6F51">
        <w:rPr>
          <w:rFonts w:asciiTheme="minorHAnsi" w:hAnsiTheme="minorHAnsi"/>
        </w:rPr>
        <w:t xml:space="preserve">, </w:t>
      </w:r>
      <w:r w:rsidRPr="007C6F51">
        <w:rPr>
          <w:rFonts w:asciiTheme="minorHAnsi" w:hAnsiTheme="minorHAnsi"/>
          <w:i/>
          <w:iCs/>
        </w:rPr>
        <w:t>17</w:t>
      </w:r>
      <w:r w:rsidRPr="007C6F51">
        <w:rPr>
          <w:rFonts w:asciiTheme="minorHAnsi" w:hAnsiTheme="minorHAnsi"/>
        </w:rPr>
        <w:t>, pp.150-160.</w:t>
      </w:r>
    </w:p>
    <w:p w14:paraId="16E43269" w14:textId="6F8B09FC" w:rsidR="00092C32" w:rsidRPr="007C6F51" w:rsidRDefault="00E83C3B">
      <w:pPr>
        <w:spacing w:before="180" w:after="180"/>
        <w:rPr>
          <w:rFonts w:asciiTheme="minorHAnsi" w:hAnsiTheme="minorHAnsi"/>
        </w:rPr>
      </w:pPr>
      <w:r w:rsidRPr="007C6F51">
        <w:rPr>
          <w:rFonts w:asciiTheme="minorHAnsi" w:hAnsiTheme="minorHAnsi"/>
        </w:rPr>
        <w:t xml:space="preserve">Le </w:t>
      </w:r>
      <w:proofErr w:type="spellStart"/>
      <w:r w:rsidRPr="007C6F51">
        <w:rPr>
          <w:rFonts w:asciiTheme="minorHAnsi" w:hAnsiTheme="minorHAnsi"/>
        </w:rPr>
        <w:t>Quéré</w:t>
      </w:r>
      <w:proofErr w:type="spellEnd"/>
      <w:r w:rsidRPr="007C6F51">
        <w:rPr>
          <w:rFonts w:asciiTheme="minorHAnsi" w:hAnsiTheme="minorHAnsi"/>
        </w:rPr>
        <w:t xml:space="preserve">, C., </w:t>
      </w:r>
      <w:proofErr w:type="spellStart"/>
      <w:r w:rsidRPr="007C6F51">
        <w:rPr>
          <w:rFonts w:asciiTheme="minorHAnsi" w:hAnsiTheme="minorHAnsi"/>
        </w:rPr>
        <w:t>Raupach</w:t>
      </w:r>
      <w:proofErr w:type="spellEnd"/>
      <w:r w:rsidRPr="007C6F51">
        <w:rPr>
          <w:rFonts w:asciiTheme="minorHAnsi" w:hAnsiTheme="minorHAnsi"/>
        </w:rPr>
        <w:t xml:space="preserve">, M.R., </w:t>
      </w:r>
      <w:proofErr w:type="spellStart"/>
      <w:r w:rsidRPr="007C6F51">
        <w:rPr>
          <w:rFonts w:asciiTheme="minorHAnsi" w:hAnsiTheme="minorHAnsi"/>
        </w:rPr>
        <w:t>Canadell</w:t>
      </w:r>
      <w:proofErr w:type="spellEnd"/>
      <w:r w:rsidRPr="007C6F51">
        <w:rPr>
          <w:rFonts w:asciiTheme="minorHAnsi" w:hAnsiTheme="minorHAnsi"/>
        </w:rPr>
        <w:t xml:space="preserve">, J.G., Marland, G., Bopp, L., </w:t>
      </w:r>
      <w:proofErr w:type="spellStart"/>
      <w:r w:rsidRPr="007C6F51">
        <w:rPr>
          <w:rFonts w:asciiTheme="minorHAnsi" w:hAnsiTheme="minorHAnsi"/>
        </w:rPr>
        <w:t>Ciais</w:t>
      </w:r>
      <w:proofErr w:type="spellEnd"/>
      <w:r w:rsidRPr="007C6F51">
        <w:rPr>
          <w:rFonts w:asciiTheme="minorHAnsi" w:hAnsiTheme="minorHAnsi"/>
        </w:rPr>
        <w:t xml:space="preserve">, P., Conway, T.J., </w:t>
      </w:r>
      <w:proofErr w:type="spellStart"/>
      <w:r w:rsidRPr="007C6F51">
        <w:rPr>
          <w:rFonts w:asciiTheme="minorHAnsi" w:hAnsiTheme="minorHAnsi"/>
        </w:rPr>
        <w:t>Doney</w:t>
      </w:r>
      <w:proofErr w:type="spellEnd"/>
      <w:r w:rsidRPr="007C6F51">
        <w:rPr>
          <w:rFonts w:asciiTheme="minorHAnsi" w:hAnsiTheme="minorHAnsi"/>
        </w:rPr>
        <w:t xml:space="preserve">, S.C., Feely, R.A., Foster, P. and </w:t>
      </w:r>
      <w:proofErr w:type="spellStart"/>
      <w:r w:rsidRPr="007C6F51">
        <w:rPr>
          <w:rFonts w:asciiTheme="minorHAnsi" w:hAnsiTheme="minorHAnsi"/>
        </w:rPr>
        <w:t>Friedlingstein</w:t>
      </w:r>
      <w:proofErr w:type="spellEnd"/>
      <w:r w:rsidRPr="007C6F51">
        <w:rPr>
          <w:rFonts w:asciiTheme="minorHAnsi" w:hAnsiTheme="minorHAnsi"/>
        </w:rPr>
        <w:t xml:space="preserve">, P., 2009. Trends in the sources and sinks of carbon dioxide. </w:t>
      </w:r>
      <w:r w:rsidRPr="007C6F51">
        <w:rPr>
          <w:rFonts w:asciiTheme="minorHAnsi" w:hAnsiTheme="minorHAnsi"/>
          <w:i/>
          <w:iCs/>
        </w:rPr>
        <w:t>Nature geoscience</w:t>
      </w:r>
      <w:r w:rsidRPr="007C6F51">
        <w:rPr>
          <w:rFonts w:asciiTheme="minorHAnsi" w:hAnsiTheme="minorHAnsi"/>
        </w:rPr>
        <w:t xml:space="preserve">, </w:t>
      </w:r>
      <w:r w:rsidRPr="007C6F51">
        <w:rPr>
          <w:rFonts w:asciiTheme="minorHAnsi" w:hAnsiTheme="minorHAnsi"/>
          <w:i/>
          <w:iCs/>
        </w:rPr>
        <w:t>2</w:t>
      </w:r>
      <w:r w:rsidRPr="007C6F51">
        <w:rPr>
          <w:rFonts w:asciiTheme="minorHAnsi" w:hAnsiTheme="minorHAnsi"/>
        </w:rPr>
        <w:t>(12), pp.831-836.</w:t>
      </w:r>
    </w:p>
    <w:p w14:paraId="1ADF12E7" w14:textId="7B3AF8E9" w:rsidR="00E67208" w:rsidRPr="007C6F51" w:rsidRDefault="00E67208" w:rsidP="000E04FF">
      <w:pPr>
        <w:rPr>
          <w:rFonts w:asciiTheme="minorHAnsi" w:hAnsiTheme="minorHAnsi"/>
        </w:rPr>
      </w:pPr>
      <w:r w:rsidRPr="007C6F51">
        <w:rPr>
          <w:rFonts w:asciiTheme="minorHAnsi" w:hAnsiTheme="minorHAnsi"/>
        </w:rPr>
        <w:t xml:space="preserve">Lomas, M.W., Steinberg, D.K., Dickey, T., Carlson, C.A., Nelson, N.B., Condon, R.H. and Bates, N.R., 2010. Increased ocean carbon export in the Sargasso Sea linked to climate variability is countered by its enhanced mesopelagic attenuation. </w:t>
      </w:r>
      <w:proofErr w:type="spellStart"/>
      <w:r w:rsidRPr="007C6F51">
        <w:rPr>
          <w:rFonts w:asciiTheme="minorHAnsi" w:hAnsiTheme="minorHAnsi"/>
          <w:i/>
          <w:iCs/>
        </w:rPr>
        <w:t>Biogeosciences</w:t>
      </w:r>
      <w:proofErr w:type="spellEnd"/>
      <w:r w:rsidRPr="007C6F51">
        <w:rPr>
          <w:rFonts w:asciiTheme="minorHAnsi" w:hAnsiTheme="minorHAnsi"/>
        </w:rPr>
        <w:t xml:space="preserve">, </w:t>
      </w:r>
      <w:r w:rsidRPr="007C6F51">
        <w:rPr>
          <w:rFonts w:asciiTheme="minorHAnsi" w:hAnsiTheme="minorHAnsi"/>
          <w:i/>
          <w:iCs/>
        </w:rPr>
        <w:t>7</w:t>
      </w:r>
      <w:r w:rsidRPr="007C6F51">
        <w:rPr>
          <w:rFonts w:asciiTheme="minorHAnsi" w:hAnsiTheme="minorHAnsi"/>
        </w:rPr>
        <w:t>, pp.57-70.</w:t>
      </w:r>
    </w:p>
    <w:p w14:paraId="42FD8ACE" w14:textId="70B773BD" w:rsidR="00247774" w:rsidRPr="007C6F51" w:rsidRDefault="002D2ED0">
      <w:pPr>
        <w:spacing w:before="180" w:after="180"/>
        <w:rPr>
          <w:rFonts w:asciiTheme="minorHAnsi" w:eastAsia="Roboto" w:hAnsiTheme="minorHAnsi"/>
          <w:color w:val="222222"/>
          <w:highlight w:val="white"/>
          <w:lang w:val="en-GB"/>
        </w:rPr>
      </w:pPr>
      <w:proofErr w:type="spellStart"/>
      <w:r w:rsidRPr="007C6F51">
        <w:rPr>
          <w:rFonts w:asciiTheme="minorHAnsi" w:hAnsiTheme="minorHAnsi"/>
        </w:rPr>
        <w:t>Lüning</w:t>
      </w:r>
      <w:proofErr w:type="spellEnd"/>
      <w:r w:rsidRPr="007C6F51">
        <w:rPr>
          <w:rFonts w:asciiTheme="minorHAnsi" w:hAnsiTheme="minorHAnsi"/>
        </w:rPr>
        <w:t xml:space="preserve">, K. and Pang, S., 2003. Mass cultivation of seaweeds: current aspects and approaches. </w:t>
      </w:r>
      <w:r w:rsidRPr="007C6F51">
        <w:rPr>
          <w:rFonts w:asciiTheme="minorHAnsi" w:hAnsiTheme="minorHAnsi"/>
          <w:i/>
          <w:iCs/>
        </w:rPr>
        <w:t>Journal of applied phycology</w:t>
      </w:r>
      <w:r w:rsidRPr="007C6F51">
        <w:rPr>
          <w:rFonts w:asciiTheme="minorHAnsi" w:hAnsiTheme="minorHAnsi"/>
        </w:rPr>
        <w:t xml:space="preserve">, </w:t>
      </w:r>
      <w:r w:rsidRPr="007C6F51">
        <w:rPr>
          <w:rFonts w:asciiTheme="minorHAnsi" w:hAnsiTheme="minorHAnsi"/>
          <w:i/>
          <w:iCs/>
        </w:rPr>
        <w:t>15</w:t>
      </w:r>
      <w:r w:rsidRPr="007C6F51">
        <w:rPr>
          <w:rFonts w:asciiTheme="minorHAnsi" w:hAnsiTheme="minorHAnsi"/>
        </w:rPr>
        <w:t>, pp.115-119.</w:t>
      </w:r>
    </w:p>
    <w:p w14:paraId="28FEA8AF" w14:textId="5E5D8EBD" w:rsidR="007A2027" w:rsidRPr="007C6F51" w:rsidRDefault="00973424">
      <w:pPr>
        <w:spacing w:before="180" w:after="180"/>
        <w:rPr>
          <w:rFonts w:asciiTheme="minorHAnsi" w:eastAsia="Cambria" w:hAnsiTheme="minorHAnsi"/>
          <w:lang w:val="en-GB"/>
        </w:rPr>
      </w:pPr>
      <w:proofErr w:type="spellStart"/>
      <w:r w:rsidRPr="007C6F51">
        <w:rPr>
          <w:rFonts w:asciiTheme="minorHAnsi" w:eastAsia="Roboto" w:hAnsiTheme="minorHAnsi"/>
          <w:color w:val="222222"/>
          <w:highlight w:val="white"/>
          <w:lang w:val="en-GB"/>
        </w:rPr>
        <w:t>Meinshausen</w:t>
      </w:r>
      <w:proofErr w:type="spellEnd"/>
      <w:r w:rsidRPr="007C6F51">
        <w:rPr>
          <w:rFonts w:asciiTheme="minorHAnsi" w:eastAsia="Roboto" w:hAnsiTheme="minorHAnsi"/>
          <w:color w:val="222222"/>
          <w:highlight w:val="white"/>
          <w:lang w:val="en-GB"/>
        </w:rPr>
        <w:t xml:space="preserve">, M., </w:t>
      </w:r>
      <w:proofErr w:type="spellStart"/>
      <w:r w:rsidRPr="007C6F51">
        <w:rPr>
          <w:rFonts w:asciiTheme="minorHAnsi" w:eastAsia="Roboto" w:hAnsiTheme="minorHAnsi"/>
          <w:color w:val="222222"/>
          <w:highlight w:val="white"/>
          <w:lang w:val="en-GB"/>
        </w:rPr>
        <w:t>Meinshausen</w:t>
      </w:r>
      <w:proofErr w:type="spellEnd"/>
      <w:r w:rsidRPr="007C6F51">
        <w:rPr>
          <w:rFonts w:asciiTheme="minorHAnsi" w:eastAsia="Roboto" w:hAnsiTheme="minorHAnsi"/>
          <w:color w:val="222222"/>
          <w:highlight w:val="white"/>
          <w:lang w:val="en-GB"/>
        </w:rPr>
        <w:t xml:space="preserve">, N., Hare, W. </w:t>
      </w:r>
      <w:r w:rsidRPr="007C6F51">
        <w:rPr>
          <w:rFonts w:asciiTheme="minorHAnsi" w:eastAsia="Roboto" w:hAnsiTheme="minorHAnsi"/>
          <w:i/>
          <w:color w:val="222222"/>
          <w:highlight w:val="white"/>
          <w:lang w:val="en-GB"/>
        </w:rPr>
        <w:t>et al.</w:t>
      </w:r>
      <w:r w:rsidRPr="007C6F51">
        <w:rPr>
          <w:rFonts w:asciiTheme="minorHAnsi" w:eastAsia="Roboto" w:hAnsiTheme="minorHAnsi"/>
          <w:color w:val="222222"/>
          <w:highlight w:val="white"/>
          <w:lang w:val="en-GB"/>
        </w:rPr>
        <w:t xml:space="preserve"> Greenhouse-gas emission targets for limiting global warming to 2 °C. </w:t>
      </w:r>
      <w:r w:rsidRPr="007C6F51">
        <w:rPr>
          <w:rFonts w:asciiTheme="minorHAnsi" w:eastAsia="Roboto" w:hAnsiTheme="minorHAnsi"/>
          <w:i/>
          <w:color w:val="222222"/>
          <w:highlight w:val="white"/>
          <w:lang w:val="en-GB"/>
        </w:rPr>
        <w:t>Nature</w:t>
      </w:r>
      <w:r w:rsidRPr="007C6F51">
        <w:rPr>
          <w:rFonts w:asciiTheme="minorHAnsi" w:eastAsia="Roboto" w:hAnsiTheme="minorHAnsi"/>
          <w:color w:val="222222"/>
          <w:highlight w:val="white"/>
          <w:lang w:val="en-GB"/>
        </w:rPr>
        <w:t xml:space="preserve"> 458, 1158–1162 (2009). </w:t>
      </w:r>
      <w:hyperlink r:id="rId11" w:history="1">
        <w:r w:rsidR="00AD1DDF" w:rsidRPr="007C6F51">
          <w:rPr>
            <w:rStyle w:val="Hyperlink"/>
            <w:rFonts w:asciiTheme="minorHAnsi" w:eastAsia="Roboto" w:hAnsiTheme="minorHAnsi"/>
            <w:highlight w:val="white"/>
            <w:lang w:val="en-GB"/>
          </w:rPr>
          <w:t>https://doi</w:t>
        </w:r>
      </w:hyperlink>
      <w:r w:rsidRPr="007C6F51">
        <w:rPr>
          <w:rFonts w:asciiTheme="minorHAnsi" w:eastAsia="Roboto" w:hAnsiTheme="minorHAnsi"/>
          <w:color w:val="222222"/>
          <w:highlight w:val="white"/>
          <w:lang w:val="en-GB"/>
        </w:rPr>
        <w:t>.org/10.1038/nature08017</w:t>
      </w:r>
    </w:p>
    <w:p w14:paraId="189C2091" w14:textId="6BA73A5E" w:rsidR="00C60992" w:rsidRPr="007C6F51" w:rsidRDefault="00C60992">
      <w:pPr>
        <w:spacing w:before="180" w:after="180"/>
        <w:rPr>
          <w:rFonts w:asciiTheme="minorHAnsi" w:eastAsia="Cambria" w:hAnsiTheme="minorHAnsi"/>
          <w:lang w:val="en-GB"/>
        </w:rPr>
      </w:pPr>
      <w:r w:rsidRPr="007C6F51">
        <w:rPr>
          <w:rFonts w:asciiTheme="minorHAnsi" w:hAnsiTheme="minorHAnsi"/>
        </w:rPr>
        <w:t xml:space="preserve">Millar, R.J., Nicholls, Z.R., </w:t>
      </w:r>
      <w:proofErr w:type="spellStart"/>
      <w:r w:rsidRPr="007C6F51">
        <w:rPr>
          <w:rFonts w:asciiTheme="minorHAnsi" w:hAnsiTheme="minorHAnsi"/>
        </w:rPr>
        <w:t>Friedlingstein</w:t>
      </w:r>
      <w:proofErr w:type="spellEnd"/>
      <w:r w:rsidRPr="007C6F51">
        <w:rPr>
          <w:rFonts w:asciiTheme="minorHAnsi" w:hAnsiTheme="minorHAnsi"/>
        </w:rPr>
        <w:t xml:space="preserve">, P. and Allen, M.R., 2017. A modified impulse-response representation of the global near-surface air temperature and atmospheric concentration response to carbon dioxide emissions. </w:t>
      </w:r>
      <w:r w:rsidRPr="007C6F51">
        <w:rPr>
          <w:rFonts w:asciiTheme="minorHAnsi" w:hAnsiTheme="minorHAnsi"/>
          <w:i/>
          <w:iCs/>
        </w:rPr>
        <w:t>Atmospheric Chemistry and Physics</w:t>
      </w:r>
      <w:r w:rsidRPr="007C6F51">
        <w:rPr>
          <w:rFonts w:asciiTheme="minorHAnsi" w:hAnsiTheme="minorHAnsi"/>
        </w:rPr>
        <w:t xml:space="preserve">, </w:t>
      </w:r>
      <w:r w:rsidRPr="007C6F51">
        <w:rPr>
          <w:rFonts w:asciiTheme="minorHAnsi" w:hAnsiTheme="minorHAnsi"/>
          <w:i/>
          <w:iCs/>
        </w:rPr>
        <w:t>17</w:t>
      </w:r>
      <w:r w:rsidRPr="007C6F51">
        <w:rPr>
          <w:rFonts w:asciiTheme="minorHAnsi" w:hAnsiTheme="minorHAnsi"/>
        </w:rPr>
        <w:t>(11), pp.7213-7228.</w:t>
      </w:r>
    </w:p>
    <w:p w14:paraId="2E0FD286" w14:textId="6B3A7064" w:rsidR="00D56A8F" w:rsidRPr="007C6F51" w:rsidRDefault="007461DA" w:rsidP="00951FB3">
      <w:pPr>
        <w:pStyle w:val="BodyText"/>
        <w:spacing w:after="0" w:line="240" w:lineRule="auto"/>
        <w:rPr>
          <w:rFonts w:asciiTheme="minorHAnsi" w:eastAsia="Cambria" w:hAnsiTheme="minorHAnsi"/>
          <w:lang w:val="en-GB"/>
        </w:rPr>
      </w:pPr>
      <w:r w:rsidRPr="007C6F51">
        <w:rPr>
          <w:rFonts w:asciiTheme="minorHAnsi" w:hAnsiTheme="minorHAnsi"/>
        </w:rPr>
        <w:t xml:space="preserve">Morgan, T.D., 1994. The Industrial Mobilization of World War II: America Goes to War. </w:t>
      </w:r>
      <w:r w:rsidRPr="007C6F51">
        <w:rPr>
          <w:rFonts w:asciiTheme="minorHAnsi" w:hAnsiTheme="minorHAnsi"/>
          <w:i/>
          <w:iCs/>
        </w:rPr>
        <w:t>Army History</w:t>
      </w:r>
      <w:r w:rsidRPr="007C6F51">
        <w:rPr>
          <w:rFonts w:asciiTheme="minorHAnsi" w:hAnsiTheme="minorHAnsi"/>
        </w:rPr>
        <w:t>, (30), pp.31-35.</w:t>
      </w:r>
      <w:r w:rsidRPr="007C6F51" w:rsidDel="007461DA">
        <w:rPr>
          <w:rFonts w:asciiTheme="minorHAnsi" w:eastAsia="Cambria" w:hAnsiTheme="minorHAnsi"/>
          <w:lang w:val="en-GB"/>
        </w:rPr>
        <w:t xml:space="preserve"> </w:t>
      </w:r>
      <w:proofErr w:type="spellStart"/>
      <w:r w:rsidR="00D56A8F" w:rsidRPr="007C6F51">
        <w:rPr>
          <w:rFonts w:asciiTheme="minorHAnsi" w:eastAsia="Calibri" w:hAnsiTheme="minorHAnsi"/>
          <w:color w:val="000000"/>
          <w:spacing w:val="-3"/>
          <w:kern w:val="2"/>
          <w:sz w:val="22"/>
          <w:szCs w:val="22"/>
          <w:lang w:val="en-GB"/>
        </w:rPr>
        <w:t>Nevison</w:t>
      </w:r>
      <w:proofErr w:type="spellEnd"/>
      <w:r w:rsidR="00D56A8F" w:rsidRPr="007C6F51">
        <w:rPr>
          <w:rFonts w:asciiTheme="minorHAnsi" w:eastAsia="Calibri" w:hAnsiTheme="minorHAnsi"/>
          <w:color w:val="000000"/>
          <w:spacing w:val="-3"/>
          <w:kern w:val="2"/>
          <w:sz w:val="22"/>
          <w:szCs w:val="22"/>
          <w:lang w:val="en-GB"/>
        </w:rPr>
        <w:t>, C., et al. (2016). Denitrification, leaching, and river nitrogen export in the Community Earth System Model, J. Adv. Model. Earth Syst., 8, 272–291, doi:10.1002/2015MS000573.</w:t>
      </w:r>
    </w:p>
    <w:p w14:paraId="27966F58" w14:textId="15E99CD3" w:rsidR="00776B8D" w:rsidRPr="007C6F51" w:rsidRDefault="00776B8D" w:rsidP="003E02A9">
      <w:pPr>
        <w:spacing w:before="180" w:after="180"/>
        <w:rPr>
          <w:rFonts w:asciiTheme="minorHAnsi" w:eastAsia="Roboto" w:hAnsiTheme="minorHAnsi"/>
          <w:color w:val="222222"/>
          <w:highlight w:val="white"/>
          <w:lang w:val="en-GB"/>
        </w:rPr>
      </w:pPr>
      <w:r w:rsidRPr="007C6F51">
        <w:rPr>
          <w:rFonts w:asciiTheme="minorHAnsi" w:hAnsiTheme="minorHAnsi"/>
        </w:rPr>
        <w:t xml:space="preserve">Nowicki, Michael, Tim DeVries, and David A. Siegel. "Quantifying the carbon export and sequestration pathways of the ocean's biological carbon pump." </w:t>
      </w:r>
      <w:r w:rsidRPr="007C6F51">
        <w:rPr>
          <w:rFonts w:asciiTheme="minorHAnsi" w:hAnsiTheme="minorHAnsi"/>
          <w:i/>
          <w:iCs/>
        </w:rPr>
        <w:t>Global Biogeochemical Cycles</w:t>
      </w:r>
      <w:r w:rsidRPr="007C6F51">
        <w:rPr>
          <w:rFonts w:asciiTheme="minorHAnsi" w:hAnsiTheme="minorHAnsi"/>
        </w:rPr>
        <w:t xml:space="preserve"> 36, no. 3 (2022): e2021GB007083.</w:t>
      </w:r>
    </w:p>
    <w:p w14:paraId="070F9F42" w14:textId="45CEBF87" w:rsidR="003E02A9" w:rsidRPr="007C6F51" w:rsidRDefault="003E02A9" w:rsidP="003E02A9">
      <w:pPr>
        <w:spacing w:before="180" w:after="180"/>
        <w:rPr>
          <w:rFonts w:asciiTheme="minorHAnsi" w:eastAsia="Roboto" w:hAnsiTheme="minorHAnsi"/>
          <w:color w:val="222222"/>
          <w:highlight w:val="white"/>
          <w:lang w:val="en-GB"/>
        </w:rPr>
      </w:pPr>
      <w:r w:rsidRPr="007C6F51">
        <w:rPr>
          <w:rFonts w:asciiTheme="minorHAnsi" w:eastAsia="Roboto" w:hAnsiTheme="minorHAnsi"/>
          <w:color w:val="222222"/>
          <w:highlight w:val="white"/>
          <w:lang w:val="en-GB"/>
        </w:rPr>
        <w:t xml:space="preserve">Orr, J.C., Fabry, V.J., </w:t>
      </w:r>
      <w:proofErr w:type="spellStart"/>
      <w:r w:rsidRPr="007C6F51">
        <w:rPr>
          <w:rFonts w:asciiTheme="minorHAnsi" w:eastAsia="Roboto" w:hAnsiTheme="minorHAnsi"/>
          <w:color w:val="222222"/>
          <w:highlight w:val="white"/>
          <w:lang w:val="en-GB"/>
        </w:rPr>
        <w:t>Aumont</w:t>
      </w:r>
      <w:proofErr w:type="spellEnd"/>
      <w:r w:rsidRPr="007C6F51">
        <w:rPr>
          <w:rFonts w:asciiTheme="minorHAnsi" w:eastAsia="Roboto" w:hAnsiTheme="minorHAnsi"/>
          <w:color w:val="222222"/>
          <w:highlight w:val="white"/>
          <w:lang w:val="en-GB"/>
        </w:rPr>
        <w:t xml:space="preserve">, O., Bopp, L., </w:t>
      </w:r>
      <w:proofErr w:type="spellStart"/>
      <w:r w:rsidRPr="007C6F51">
        <w:rPr>
          <w:rFonts w:asciiTheme="minorHAnsi" w:eastAsia="Roboto" w:hAnsiTheme="minorHAnsi"/>
          <w:color w:val="222222"/>
          <w:highlight w:val="white"/>
          <w:lang w:val="en-GB"/>
        </w:rPr>
        <w:t>Doney</w:t>
      </w:r>
      <w:proofErr w:type="spellEnd"/>
      <w:r w:rsidRPr="007C6F51">
        <w:rPr>
          <w:rFonts w:asciiTheme="minorHAnsi" w:eastAsia="Roboto" w:hAnsiTheme="minorHAnsi"/>
          <w:color w:val="222222"/>
          <w:highlight w:val="white"/>
          <w:lang w:val="en-GB"/>
        </w:rPr>
        <w:t xml:space="preserve">, S.C., Feely, R.A., </w:t>
      </w:r>
      <w:proofErr w:type="spellStart"/>
      <w:r w:rsidRPr="007C6F51">
        <w:rPr>
          <w:rFonts w:asciiTheme="minorHAnsi" w:eastAsia="Roboto" w:hAnsiTheme="minorHAnsi"/>
          <w:color w:val="222222"/>
          <w:highlight w:val="white"/>
          <w:lang w:val="en-GB"/>
        </w:rPr>
        <w:t>Gnanadesikan</w:t>
      </w:r>
      <w:proofErr w:type="spellEnd"/>
      <w:r w:rsidRPr="007C6F51">
        <w:rPr>
          <w:rFonts w:asciiTheme="minorHAnsi" w:eastAsia="Roboto" w:hAnsiTheme="minorHAnsi"/>
          <w:color w:val="222222"/>
          <w:highlight w:val="white"/>
          <w:lang w:val="en-GB"/>
        </w:rPr>
        <w:t>, A., Gruber, N., Ishida, A., Joos, F., et al. (2005). Anthropogenic ocean acidification over the twenty-first century and its impact on calcifying organisms. Nature 437, 681-686.</w:t>
      </w:r>
    </w:p>
    <w:p w14:paraId="0D7D3996" w14:textId="77777777" w:rsidR="00D56A8F" w:rsidRPr="007C6F51" w:rsidRDefault="00D56A8F" w:rsidP="00951FB3">
      <w:pPr>
        <w:pStyle w:val="BodyText"/>
        <w:spacing w:after="0" w:line="240" w:lineRule="auto"/>
        <w:rPr>
          <w:rFonts w:asciiTheme="minorHAnsi" w:eastAsia="Cambria" w:hAnsiTheme="minorHAnsi"/>
          <w:lang w:val="en-GB"/>
        </w:rPr>
      </w:pPr>
      <w:proofErr w:type="spellStart"/>
      <w:r w:rsidRPr="007C6F51">
        <w:rPr>
          <w:rFonts w:asciiTheme="minorHAnsi" w:eastAsia="Calibri" w:hAnsiTheme="minorHAnsi"/>
          <w:color w:val="000000"/>
          <w:spacing w:val="-3"/>
          <w:kern w:val="2"/>
          <w:lang w:val="en-GB"/>
        </w:rPr>
        <w:t>Pallière</w:t>
      </w:r>
      <w:proofErr w:type="spellEnd"/>
      <w:r w:rsidRPr="007C6F51">
        <w:rPr>
          <w:rFonts w:asciiTheme="minorHAnsi" w:eastAsia="Calibri" w:hAnsiTheme="minorHAnsi"/>
          <w:color w:val="000000"/>
          <w:spacing w:val="-3"/>
          <w:kern w:val="2"/>
          <w:lang w:val="en-GB"/>
        </w:rPr>
        <w:t>, C. (2004). Harvesting energy with fertilizers, in: Biomass and Agriculture: Sustainability, Markets and Policies, OECD publishing, p223-227.</w:t>
      </w:r>
    </w:p>
    <w:p w14:paraId="43F36799" w14:textId="77777777" w:rsidR="00003CCA" w:rsidRPr="007C6F51" w:rsidRDefault="00003CCA" w:rsidP="00003CCA">
      <w:pPr>
        <w:rPr>
          <w:rFonts w:asciiTheme="minorHAnsi" w:hAnsiTheme="minorHAnsi"/>
        </w:rPr>
      </w:pPr>
    </w:p>
    <w:p w14:paraId="5613E9FB" w14:textId="77777777" w:rsidR="00AD1DDF" w:rsidRPr="007C6F51" w:rsidRDefault="00AD1DDF" w:rsidP="00AD1DDF">
      <w:pPr>
        <w:rPr>
          <w:rFonts w:asciiTheme="minorHAnsi" w:hAnsiTheme="minorHAnsi"/>
        </w:rPr>
      </w:pPr>
      <w:proofErr w:type="spellStart"/>
      <w:r w:rsidRPr="007C6F51">
        <w:rPr>
          <w:rFonts w:asciiTheme="minorHAnsi" w:hAnsiTheme="minorHAnsi"/>
        </w:rPr>
        <w:t>Pandolfi</w:t>
      </w:r>
      <w:proofErr w:type="spellEnd"/>
      <w:r w:rsidRPr="007C6F51">
        <w:rPr>
          <w:rFonts w:asciiTheme="minorHAnsi" w:hAnsiTheme="minorHAnsi"/>
        </w:rPr>
        <w:t xml:space="preserve">, J.M., Connolly, S.R., Marshall, D.J. and Cohen, A.L., 2011. Projecting coral reef futures under global warming and ocean acidification. </w:t>
      </w:r>
      <w:r w:rsidRPr="007C6F51">
        <w:rPr>
          <w:rFonts w:asciiTheme="minorHAnsi" w:hAnsiTheme="minorHAnsi"/>
          <w:i/>
          <w:iCs/>
        </w:rPr>
        <w:t>science</w:t>
      </w:r>
      <w:r w:rsidRPr="007C6F51">
        <w:rPr>
          <w:rFonts w:asciiTheme="minorHAnsi" w:hAnsiTheme="minorHAnsi"/>
        </w:rPr>
        <w:t xml:space="preserve">, </w:t>
      </w:r>
      <w:r w:rsidRPr="007C6F51">
        <w:rPr>
          <w:rFonts w:asciiTheme="minorHAnsi" w:hAnsiTheme="minorHAnsi"/>
          <w:i/>
          <w:iCs/>
        </w:rPr>
        <w:t>333</w:t>
      </w:r>
      <w:r w:rsidRPr="007C6F51">
        <w:rPr>
          <w:rFonts w:asciiTheme="minorHAnsi" w:hAnsiTheme="minorHAnsi"/>
        </w:rPr>
        <w:t>(6041), pp.418-422.</w:t>
      </w:r>
    </w:p>
    <w:p w14:paraId="2F9A79E4" w14:textId="77777777" w:rsidR="00AD1DDF" w:rsidRPr="007C6F51" w:rsidRDefault="00AD1DDF" w:rsidP="00D56A8F">
      <w:pPr>
        <w:pStyle w:val="BodyText"/>
        <w:spacing w:after="0" w:line="240" w:lineRule="auto"/>
        <w:ind w:left="170" w:hanging="170"/>
        <w:rPr>
          <w:rFonts w:asciiTheme="minorHAnsi" w:hAnsiTheme="minorHAnsi"/>
        </w:rPr>
      </w:pPr>
    </w:p>
    <w:p w14:paraId="30412231" w14:textId="1EB20C9C" w:rsidR="00333341" w:rsidRPr="007C6F51" w:rsidRDefault="00333341" w:rsidP="00951FB3">
      <w:pPr>
        <w:pStyle w:val="BodyText"/>
        <w:spacing w:after="0" w:line="240" w:lineRule="auto"/>
        <w:rPr>
          <w:rFonts w:asciiTheme="minorHAnsi" w:hAnsiTheme="minorHAnsi"/>
        </w:rPr>
      </w:pPr>
      <w:proofErr w:type="spellStart"/>
      <w:r w:rsidRPr="007C6F51">
        <w:rPr>
          <w:rFonts w:asciiTheme="minorHAnsi" w:hAnsiTheme="minorHAnsi"/>
        </w:rPr>
        <w:t>Pessarrodona</w:t>
      </w:r>
      <w:proofErr w:type="spellEnd"/>
      <w:r w:rsidRPr="007C6F51">
        <w:rPr>
          <w:rFonts w:asciiTheme="minorHAnsi" w:hAnsiTheme="minorHAnsi"/>
        </w:rPr>
        <w:t xml:space="preserve">, A., Moore, P.J., Sayer, M.D. and </w:t>
      </w:r>
      <w:proofErr w:type="spellStart"/>
      <w:r w:rsidRPr="007C6F51">
        <w:rPr>
          <w:rFonts w:asciiTheme="minorHAnsi" w:hAnsiTheme="minorHAnsi"/>
        </w:rPr>
        <w:t>Smale</w:t>
      </w:r>
      <w:proofErr w:type="spellEnd"/>
      <w:r w:rsidRPr="007C6F51">
        <w:rPr>
          <w:rFonts w:asciiTheme="minorHAnsi" w:hAnsiTheme="minorHAnsi"/>
        </w:rPr>
        <w:t xml:space="preserve">, D.A., 2018. Carbon assimilation and transfer through kelp forests in the NE Atlantic is diminished under a warmer ocean climate. </w:t>
      </w:r>
      <w:r w:rsidRPr="007C6F51">
        <w:rPr>
          <w:rFonts w:asciiTheme="minorHAnsi" w:hAnsiTheme="minorHAnsi"/>
          <w:i/>
          <w:iCs/>
        </w:rPr>
        <w:t>Global Change Biology</w:t>
      </w:r>
      <w:r w:rsidRPr="007C6F51">
        <w:rPr>
          <w:rFonts w:asciiTheme="minorHAnsi" w:hAnsiTheme="minorHAnsi"/>
        </w:rPr>
        <w:t xml:space="preserve">, </w:t>
      </w:r>
      <w:r w:rsidRPr="007C6F51">
        <w:rPr>
          <w:rFonts w:asciiTheme="minorHAnsi" w:hAnsiTheme="minorHAnsi"/>
          <w:i/>
          <w:iCs/>
        </w:rPr>
        <w:t>24</w:t>
      </w:r>
      <w:r w:rsidRPr="007C6F51">
        <w:rPr>
          <w:rFonts w:asciiTheme="minorHAnsi" w:hAnsiTheme="minorHAnsi"/>
        </w:rPr>
        <w:t>(9), pp.4386-4398.</w:t>
      </w:r>
    </w:p>
    <w:p w14:paraId="6BDA2C33" w14:textId="77777777" w:rsidR="00003CCA" w:rsidRPr="007C6F51" w:rsidRDefault="00003CCA" w:rsidP="00951FB3">
      <w:pPr>
        <w:pStyle w:val="BodyText"/>
        <w:spacing w:after="0" w:line="240" w:lineRule="auto"/>
        <w:rPr>
          <w:rFonts w:asciiTheme="minorHAnsi" w:eastAsia="Calibri" w:hAnsiTheme="minorHAnsi"/>
          <w:color w:val="000000"/>
          <w:spacing w:val="-3"/>
          <w:kern w:val="2"/>
          <w:lang w:val="en-GB"/>
        </w:rPr>
      </w:pPr>
    </w:p>
    <w:p w14:paraId="1816DB54" w14:textId="502EFF1F" w:rsidR="00D56A8F" w:rsidRPr="007C6F51" w:rsidRDefault="00D56A8F" w:rsidP="00951FB3">
      <w:pPr>
        <w:pStyle w:val="BodyText"/>
        <w:spacing w:after="0" w:line="240" w:lineRule="auto"/>
        <w:rPr>
          <w:rFonts w:asciiTheme="minorHAnsi" w:eastAsia="Calibri" w:hAnsiTheme="minorHAnsi"/>
          <w:color w:val="000000"/>
          <w:spacing w:val="-3"/>
          <w:kern w:val="2"/>
          <w:lang w:val="en-GB"/>
        </w:rPr>
      </w:pPr>
      <w:r w:rsidRPr="007C6F51">
        <w:rPr>
          <w:rFonts w:asciiTheme="minorHAnsi" w:eastAsia="Calibri" w:hAnsiTheme="minorHAnsi"/>
          <w:color w:val="000000"/>
          <w:spacing w:val="-3"/>
          <w:kern w:val="2"/>
          <w:lang w:val="en-GB"/>
        </w:rPr>
        <w:t>Peters, G. (2017). Emissions slowdown: Are we on the way to 2°</w:t>
      </w:r>
      <w:proofErr w:type="gramStart"/>
      <w:r w:rsidRPr="007C6F51">
        <w:rPr>
          <w:rFonts w:asciiTheme="minorHAnsi" w:eastAsia="Calibri" w:hAnsiTheme="minorHAnsi"/>
          <w:color w:val="000000"/>
          <w:spacing w:val="-3"/>
          <w:kern w:val="2"/>
          <w:lang w:val="en-GB"/>
        </w:rPr>
        <w:t>C?,</w:t>
      </w:r>
      <w:proofErr w:type="gramEnd"/>
      <w:r w:rsidRPr="007C6F51">
        <w:rPr>
          <w:rFonts w:asciiTheme="minorHAnsi" w:eastAsia="Calibri" w:hAnsiTheme="minorHAnsi"/>
          <w:color w:val="000000"/>
          <w:spacing w:val="-3"/>
          <w:kern w:val="2"/>
          <w:lang w:val="en-GB"/>
        </w:rPr>
        <w:t xml:space="preserve"> ICDC10, Interlaken, CH, </w:t>
      </w:r>
      <w:hyperlink r:id="rId12" w:history="1">
        <w:r w:rsidR="00003CCA" w:rsidRPr="007C6F51">
          <w:rPr>
            <w:rStyle w:val="Hyperlink"/>
            <w:rFonts w:asciiTheme="minorHAnsi" w:eastAsia="Calibri" w:hAnsiTheme="minorHAnsi"/>
            <w:spacing w:val="-3"/>
            <w:kern w:val="2"/>
            <w:lang w:val="en-GB"/>
          </w:rPr>
          <w:t>http://www.icdc10.unibe.ch/program/presentations</w:t>
        </w:r>
      </w:hyperlink>
    </w:p>
    <w:p w14:paraId="2BDE95A4" w14:textId="77777777" w:rsidR="00003CCA" w:rsidRPr="007C6F51" w:rsidRDefault="00003CCA" w:rsidP="00951FB3">
      <w:pPr>
        <w:pStyle w:val="BodyText"/>
        <w:spacing w:after="0" w:line="240" w:lineRule="auto"/>
        <w:rPr>
          <w:rFonts w:asciiTheme="minorHAnsi" w:eastAsia="Cambria" w:hAnsiTheme="minorHAnsi"/>
          <w:lang w:val="en-GB"/>
        </w:rPr>
      </w:pPr>
    </w:p>
    <w:p w14:paraId="1629A680" w14:textId="27BAF841" w:rsidR="00F332BF" w:rsidRPr="007C6F51" w:rsidRDefault="00F332BF" w:rsidP="00951FB3">
      <w:pPr>
        <w:pStyle w:val="BodyText"/>
        <w:spacing w:after="0" w:line="240" w:lineRule="auto"/>
        <w:rPr>
          <w:rFonts w:asciiTheme="minorHAnsi" w:hAnsiTheme="minorHAnsi"/>
        </w:rPr>
      </w:pPr>
      <w:r w:rsidRPr="007C6F51">
        <w:rPr>
          <w:rFonts w:asciiTheme="minorHAnsi" w:hAnsiTheme="minorHAnsi"/>
        </w:rPr>
        <w:t xml:space="preserve">Renforth, P. and Henderson, G., 2017. Assessing ocean alkalinity for carbon sequestration. </w:t>
      </w:r>
      <w:r w:rsidRPr="007C6F51">
        <w:rPr>
          <w:rFonts w:asciiTheme="minorHAnsi" w:hAnsiTheme="minorHAnsi"/>
          <w:i/>
          <w:iCs/>
        </w:rPr>
        <w:t>Reviews of Geophysics</w:t>
      </w:r>
      <w:r w:rsidRPr="007C6F51">
        <w:rPr>
          <w:rFonts w:asciiTheme="minorHAnsi" w:hAnsiTheme="minorHAnsi"/>
        </w:rPr>
        <w:t xml:space="preserve">, </w:t>
      </w:r>
      <w:r w:rsidRPr="007C6F51">
        <w:rPr>
          <w:rFonts w:asciiTheme="minorHAnsi" w:hAnsiTheme="minorHAnsi"/>
          <w:i/>
          <w:iCs/>
        </w:rPr>
        <w:t>55</w:t>
      </w:r>
      <w:r w:rsidRPr="007C6F51">
        <w:rPr>
          <w:rFonts w:asciiTheme="minorHAnsi" w:hAnsiTheme="minorHAnsi"/>
        </w:rPr>
        <w:t>(3), pp.636-674.</w:t>
      </w:r>
    </w:p>
    <w:p w14:paraId="35FE2F97" w14:textId="77777777" w:rsidR="00003CCA" w:rsidRPr="007C6F51" w:rsidRDefault="00003CCA" w:rsidP="00951FB3">
      <w:pPr>
        <w:pStyle w:val="BodyText"/>
        <w:spacing w:after="0" w:line="240" w:lineRule="auto"/>
        <w:rPr>
          <w:rFonts w:asciiTheme="minorHAnsi" w:eastAsia="Calibri" w:hAnsiTheme="minorHAnsi"/>
          <w:color w:val="000000"/>
          <w:spacing w:val="-3"/>
          <w:kern w:val="2"/>
          <w:lang w:val="en-GB"/>
        </w:rPr>
      </w:pPr>
    </w:p>
    <w:p w14:paraId="210C9969" w14:textId="7FD7D595" w:rsidR="00D56A8F" w:rsidRPr="007C6F51" w:rsidRDefault="00D56A8F" w:rsidP="00951FB3">
      <w:pPr>
        <w:pStyle w:val="BodyText"/>
        <w:spacing w:after="0" w:line="240" w:lineRule="auto"/>
        <w:rPr>
          <w:rFonts w:asciiTheme="minorHAnsi" w:eastAsia="Calibri" w:hAnsiTheme="minorHAnsi"/>
          <w:color w:val="000000"/>
          <w:spacing w:val="-3"/>
          <w:kern w:val="2"/>
          <w:lang w:val="en-GB"/>
        </w:rPr>
      </w:pPr>
      <w:proofErr w:type="spellStart"/>
      <w:r w:rsidRPr="007C6F51">
        <w:rPr>
          <w:rFonts w:asciiTheme="minorHAnsi" w:eastAsia="Calibri" w:hAnsiTheme="minorHAnsi"/>
          <w:color w:val="000000"/>
          <w:spacing w:val="-3"/>
          <w:kern w:val="2"/>
          <w:lang w:val="en-GB"/>
        </w:rPr>
        <w:t>Riahi</w:t>
      </w:r>
      <w:proofErr w:type="spellEnd"/>
      <w:r w:rsidRPr="007C6F51">
        <w:rPr>
          <w:rFonts w:asciiTheme="minorHAnsi" w:eastAsia="Calibri" w:hAnsiTheme="minorHAnsi"/>
          <w:color w:val="000000"/>
          <w:spacing w:val="-3"/>
          <w:kern w:val="2"/>
          <w:lang w:val="en-GB"/>
        </w:rPr>
        <w:t xml:space="preserve">, K., et al. (2017). The Shared Socioeconomic Pathways and their energy, land use, and greenhouse gas emissions implications: An overview, </w:t>
      </w:r>
      <w:r w:rsidRPr="007C6F51">
        <w:rPr>
          <w:rFonts w:asciiTheme="minorHAnsi" w:eastAsia="Calibri" w:hAnsiTheme="minorHAnsi"/>
          <w:i/>
          <w:iCs/>
          <w:color w:val="000000"/>
          <w:spacing w:val="-3"/>
          <w:kern w:val="2"/>
          <w:lang w:val="en-GB"/>
        </w:rPr>
        <w:t>Glob. Env. Change</w:t>
      </w:r>
      <w:r w:rsidRPr="007C6F51">
        <w:rPr>
          <w:rFonts w:asciiTheme="minorHAnsi" w:eastAsia="Calibri" w:hAnsiTheme="minorHAnsi"/>
          <w:color w:val="000000"/>
          <w:spacing w:val="-3"/>
          <w:kern w:val="2"/>
          <w:lang w:val="en-GB"/>
        </w:rPr>
        <w:t xml:space="preserve">, </w:t>
      </w:r>
      <w:proofErr w:type="gramStart"/>
      <w:r w:rsidRPr="007C6F51">
        <w:rPr>
          <w:rFonts w:asciiTheme="minorHAnsi" w:eastAsia="Calibri" w:hAnsiTheme="minorHAnsi"/>
          <w:color w:val="000000"/>
          <w:spacing w:val="-3"/>
          <w:kern w:val="2"/>
          <w:lang w:val="en-GB"/>
        </w:rPr>
        <w:t>42:,</w:t>
      </w:r>
      <w:proofErr w:type="gramEnd"/>
      <w:r w:rsidRPr="007C6F51">
        <w:rPr>
          <w:rFonts w:asciiTheme="minorHAnsi" w:eastAsia="Calibri" w:hAnsiTheme="minorHAnsi"/>
          <w:color w:val="000000"/>
          <w:spacing w:val="-3"/>
          <w:kern w:val="2"/>
          <w:lang w:val="en-GB"/>
        </w:rPr>
        <w:t xml:space="preserve"> doi.org/10.1016/j.gloenvcha.2016.05.009.</w:t>
      </w:r>
    </w:p>
    <w:p w14:paraId="737479D6" w14:textId="77777777" w:rsidR="00003CCA" w:rsidRPr="007C6F51" w:rsidRDefault="00003CCA" w:rsidP="00951FB3">
      <w:pPr>
        <w:pStyle w:val="BodyText"/>
        <w:spacing w:after="0" w:line="240" w:lineRule="auto"/>
        <w:rPr>
          <w:rFonts w:asciiTheme="minorHAnsi" w:eastAsia="Cambria" w:hAnsiTheme="minorHAnsi"/>
          <w:lang w:val="en-GB"/>
        </w:rPr>
      </w:pPr>
    </w:p>
    <w:p w14:paraId="262A9D3B" w14:textId="77777777" w:rsidR="00D56A8F" w:rsidRPr="007C6F51" w:rsidRDefault="00D56A8F" w:rsidP="00951FB3">
      <w:pPr>
        <w:pStyle w:val="BodyText"/>
        <w:spacing w:after="0" w:line="240" w:lineRule="auto"/>
        <w:rPr>
          <w:rFonts w:asciiTheme="minorHAnsi" w:eastAsia="Calibri" w:hAnsiTheme="minorHAnsi"/>
          <w:color w:val="000000"/>
          <w:spacing w:val="-3"/>
          <w:kern w:val="2"/>
          <w:lang w:val="en-GB"/>
        </w:rPr>
      </w:pPr>
      <w:proofErr w:type="spellStart"/>
      <w:proofErr w:type="gramStart"/>
      <w:r w:rsidRPr="007C6F51">
        <w:rPr>
          <w:rFonts w:asciiTheme="minorHAnsi" w:eastAsia="Calibri" w:hAnsiTheme="minorHAnsi"/>
          <w:color w:val="000000"/>
          <w:spacing w:val="-3"/>
          <w:kern w:val="2"/>
          <w:lang w:val="en-GB"/>
        </w:rPr>
        <w:t>Seitzinger,S</w:t>
      </w:r>
      <w:proofErr w:type="spellEnd"/>
      <w:r w:rsidRPr="007C6F51">
        <w:rPr>
          <w:rFonts w:asciiTheme="minorHAnsi" w:eastAsia="Calibri" w:hAnsiTheme="minorHAnsi"/>
          <w:color w:val="000000"/>
          <w:spacing w:val="-3"/>
          <w:kern w:val="2"/>
          <w:lang w:val="en-GB"/>
        </w:rPr>
        <w:t>.</w:t>
      </w:r>
      <w:proofErr w:type="gramEnd"/>
      <w:r w:rsidRPr="007C6F51">
        <w:rPr>
          <w:rFonts w:asciiTheme="minorHAnsi" w:eastAsia="Calibri" w:hAnsiTheme="minorHAnsi"/>
          <w:color w:val="000000"/>
          <w:spacing w:val="-3"/>
          <w:kern w:val="2"/>
          <w:lang w:val="en-GB"/>
        </w:rPr>
        <w:t xml:space="preserve">, et al. (2006). Denitrification across landscapes and waterscapes: a synthesis, Ecol. Appl., 16(6), 2064–2090. </w:t>
      </w:r>
    </w:p>
    <w:p w14:paraId="5672F99B" w14:textId="77777777" w:rsidR="00003CCA" w:rsidRPr="007C6F51" w:rsidRDefault="00003CCA" w:rsidP="00951FB3">
      <w:pPr>
        <w:pStyle w:val="BodyText"/>
        <w:spacing w:after="0" w:line="240" w:lineRule="auto"/>
        <w:rPr>
          <w:rFonts w:asciiTheme="minorHAnsi" w:eastAsia="Calibri" w:hAnsiTheme="minorHAnsi"/>
          <w:color w:val="000000"/>
          <w:spacing w:val="-3"/>
          <w:kern w:val="2"/>
          <w:lang w:val="en-GB"/>
        </w:rPr>
      </w:pPr>
    </w:p>
    <w:p w14:paraId="7B6E989C" w14:textId="229A1E3A" w:rsidR="00AD6EA1" w:rsidRPr="007C6F51" w:rsidRDefault="00AD6EA1" w:rsidP="00951FB3">
      <w:pPr>
        <w:rPr>
          <w:rFonts w:asciiTheme="minorHAnsi" w:eastAsia="Cambria" w:hAnsiTheme="minorHAnsi"/>
          <w:lang w:val="en-GB"/>
        </w:rPr>
      </w:pPr>
      <w:r w:rsidRPr="007C6F51">
        <w:rPr>
          <w:rFonts w:asciiTheme="minorHAnsi" w:hAnsiTheme="minorHAnsi"/>
        </w:rPr>
        <w:t xml:space="preserve">Silverman, J., Lazar, B., Cao, L., </w:t>
      </w:r>
      <w:proofErr w:type="spellStart"/>
      <w:r w:rsidRPr="007C6F51">
        <w:rPr>
          <w:rFonts w:asciiTheme="minorHAnsi" w:hAnsiTheme="minorHAnsi"/>
        </w:rPr>
        <w:t>Caldeira</w:t>
      </w:r>
      <w:proofErr w:type="spellEnd"/>
      <w:r w:rsidRPr="007C6F51">
        <w:rPr>
          <w:rFonts w:asciiTheme="minorHAnsi" w:hAnsiTheme="minorHAnsi"/>
        </w:rPr>
        <w:t xml:space="preserve">, K. and Erez, J., 2009. Coral reefs may start dissolving when atmospheric CO2 doubles. </w:t>
      </w:r>
      <w:r w:rsidRPr="007C6F51">
        <w:rPr>
          <w:rFonts w:asciiTheme="minorHAnsi" w:hAnsiTheme="minorHAnsi"/>
          <w:i/>
          <w:iCs/>
        </w:rPr>
        <w:t>Geophysical Research Letters</w:t>
      </w:r>
      <w:r w:rsidRPr="007C6F51">
        <w:rPr>
          <w:rFonts w:asciiTheme="minorHAnsi" w:hAnsiTheme="minorHAnsi"/>
        </w:rPr>
        <w:t xml:space="preserve">, </w:t>
      </w:r>
      <w:r w:rsidRPr="007C6F51">
        <w:rPr>
          <w:rFonts w:asciiTheme="minorHAnsi" w:hAnsiTheme="minorHAnsi"/>
          <w:i/>
          <w:iCs/>
        </w:rPr>
        <w:t>36</w:t>
      </w:r>
      <w:r w:rsidRPr="007C6F51">
        <w:rPr>
          <w:rFonts w:asciiTheme="minorHAnsi" w:hAnsiTheme="minorHAnsi"/>
        </w:rPr>
        <w:t>(5).</w:t>
      </w:r>
    </w:p>
    <w:p w14:paraId="37699427" w14:textId="06F269B8" w:rsidR="00291E2F" w:rsidRPr="007C6F51" w:rsidRDefault="00291E2F">
      <w:pPr>
        <w:spacing w:before="180" w:after="180"/>
        <w:rPr>
          <w:rFonts w:asciiTheme="minorHAnsi" w:eastAsia="Cambria" w:hAnsiTheme="minorHAnsi"/>
          <w:lang w:val="en-GB"/>
        </w:rPr>
      </w:pPr>
      <w:r w:rsidRPr="007C6F51">
        <w:rPr>
          <w:rFonts w:asciiTheme="minorHAnsi" w:hAnsiTheme="minorHAnsi"/>
        </w:rPr>
        <w:t xml:space="preserve">Smeaton, C. and Austin, W.E.N., 2022. Quality not quantity: Prioritizing the management of sedimentary organic matter across continental shelf seas. </w:t>
      </w:r>
      <w:r w:rsidRPr="007C6F51">
        <w:rPr>
          <w:rFonts w:asciiTheme="minorHAnsi" w:hAnsiTheme="minorHAnsi"/>
          <w:i/>
          <w:iCs/>
        </w:rPr>
        <w:t>Geophysical Research Letters</w:t>
      </w:r>
      <w:r w:rsidRPr="007C6F51">
        <w:rPr>
          <w:rFonts w:asciiTheme="minorHAnsi" w:hAnsiTheme="minorHAnsi"/>
        </w:rPr>
        <w:t xml:space="preserve">, </w:t>
      </w:r>
      <w:r w:rsidRPr="007C6F51">
        <w:rPr>
          <w:rFonts w:asciiTheme="minorHAnsi" w:hAnsiTheme="minorHAnsi"/>
          <w:i/>
          <w:iCs/>
        </w:rPr>
        <w:t>49</w:t>
      </w:r>
      <w:r w:rsidRPr="007C6F51">
        <w:rPr>
          <w:rFonts w:asciiTheme="minorHAnsi" w:hAnsiTheme="minorHAnsi"/>
        </w:rPr>
        <w:t>(5), p.e2021GL097481.</w:t>
      </w:r>
    </w:p>
    <w:p w14:paraId="4ED58648" w14:textId="3BEE135C" w:rsidR="007A2027" w:rsidRPr="007C6F51" w:rsidRDefault="00973424">
      <w:pPr>
        <w:spacing w:before="180" w:after="180"/>
        <w:rPr>
          <w:rFonts w:asciiTheme="minorHAnsi" w:eastAsia="Cambria" w:hAnsiTheme="minorHAnsi"/>
          <w:lang w:val="en-GB"/>
        </w:rPr>
      </w:pPr>
      <w:r w:rsidRPr="007C6F51">
        <w:rPr>
          <w:rFonts w:asciiTheme="minorHAnsi" w:eastAsia="Cambria" w:hAnsiTheme="minorHAnsi"/>
          <w:lang w:val="en-GB"/>
        </w:rPr>
        <w:t xml:space="preserve">Smith, C. J., Forster, P. M., Allen, M., Leach, N., Millar, R. J., </w:t>
      </w:r>
      <w:proofErr w:type="spellStart"/>
      <w:r w:rsidRPr="007C6F51">
        <w:rPr>
          <w:rFonts w:asciiTheme="minorHAnsi" w:eastAsia="Cambria" w:hAnsiTheme="minorHAnsi"/>
          <w:lang w:val="en-GB"/>
        </w:rPr>
        <w:t>Passerello</w:t>
      </w:r>
      <w:proofErr w:type="spellEnd"/>
      <w:r w:rsidRPr="007C6F51">
        <w:rPr>
          <w:rFonts w:asciiTheme="minorHAnsi" w:eastAsia="Cambria" w:hAnsiTheme="minorHAnsi"/>
          <w:lang w:val="en-GB"/>
        </w:rPr>
        <w:t xml:space="preserve">, G. A., &amp; </w:t>
      </w:r>
      <w:proofErr w:type="spellStart"/>
      <w:r w:rsidRPr="007C6F51">
        <w:rPr>
          <w:rFonts w:asciiTheme="minorHAnsi" w:eastAsia="Cambria" w:hAnsiTheme="minorHAnsi"/>
          <w:lang w:val="en-GB"/>
        </w:rPr>
        <w:t>Regayre</w:t>
      </w:r>
      <w:proofErr w:type="spellEnd"/>
      <w:r w:rsidRPr="007C6F51">
        <w:rPr>
          <w:rFonts w:asciiTheme="minorHAnsi" w:eastAsia="Cambria" w:hAnsiTheme="minorHAnsi"/>
          <w:lang w:val="en-GB"/>
        </w:rPr>
        <w:t xml:space="preserve">, L. A. (2018). FAIR v1.3: A simple emissions-based impulse response and carbon cycle model. </w:t>
      </w:r>
      <w:r w:rsidRPr="007C6F51">
        <w:rPr>
          <w:rFonts w:asciiTheme="minorHAnsi" w:eastAsia="Cambria" w:hAnsiTheme="minorHAnsi"/>
          <w:i/>
          <w:lang w:val="en-GB"/>
        </w:rPr>
        <w:t>Geoscientific Model Development</w:t>
      </w:r>
      <w:r w:rsidRPr="007C6F51">
        <w:rPr>
          <w:rFonts w:asciiTheme="minorHAnsi" w:eastAsia="Cambria" w:hAnsiTheme="minorHAnsi"/>
          <w:lang w:val="en-GB"/>
        </w:rPr>
        <w:t xml:space="preserve">, </w:t>
      </w:r>
      <w:r w:rsidRPr="007C6F51">
        <w:rPr>
          <w:rFonts w:asciiTheme="minorHAnsi" w:hAnsiTheme="minorHAnsi"/>
          <w:color w:val="464646"/>
          <w:sz w:val="18"/>
          <w:szCs w:val="18"/>
          <w:highlight w:val="white"/>
          <w:lang w:val="en-GB"/>
        </w:rPr>
        <w:t>https://doi.org/10.5194/gmd-11-2273-2018</w:t>
      </w:r>
    </w:p>
    <w:p w14:paraId="6CDB0DF0" w14:textId="77777777" w:rsidR="00C307A8" w:rsidRPr="007C6F51" w:rsidRDefault="00C307A8" w:rsidP="00C307A8">
      <w:pPr>
        <w:rPr>
          <w:rFonts w:asciiTheme="minorHAnsi" w:hAnsiTheme="minorHAnsi"/>
        </w:rPr>
      </w:pPr>
      <w:r w:rsidRPr="007C6F51">
        <w:rPr>
          <w:rFonts w:asciiTheme="minorHAnsi" w:hAnsiTheme="minorHAnsi"/>
        </w:rPr>
        <w:t xml:space="preserve">Spalding, M., Spalding, M.D., Ravilious, C. and Green, E.P., 2001. </w:t>
      </w:r>
      <w:r w:rsidRPr="007C6F51">
        <w:rPr>
          <w:rFonts w:asciiTheme="minorHAnsi" w:hAnsiTheme="minorHAnsi"/>
          <w:i/>
          <w:iCs/>
        </w:rPr>
        <w:t>World atlas of coral reefs</w:t>
      </w:r>
      <w:r w:rsidRPr="007C6F51">
        <w:rPr>
          <w:rFonts w:asciiTheme="minorHAnsi" w:hAnsiTheme="minorHAnsi"/>
        </w:rPr>
        <w:t xml:space="preserve">. </w:t>
      </w:r>
      <w:proofErr w:type="spellStart"/>
      <w:r w:rsidRPr="007C6F51">
        <w:rPr>
          <w:rFonts w:asciiTheme="minorHAnsi" w:hAnsiTheme="minorHAnsi"/>
        </w:rPr>
        <w:t>Univ</w:t>
      </w:r>
      <w:proofErr w:type="spellEnd"/>
      <w:r w:rsidRPr="007C6F51">
        <w:rPr>
          <w:rFonts w:asciiTheme="minorHAnsi" w:hAnsiTheme="minorHAnsi"/>
        </w:rPr>
        <w:t xml:space="preserve"> of California Press.</w:t>
      </w:r>
    </w:p>
    <w:p w14:paraId="13DE9AAF" w14:textId="77777777" w:rsidR="00003CCA" w:rsidRPr="007C6F51" w:rsidRDefault="00003CCA" w:rsidP="00C307A8">
      <w:pPr>
        <w:rPr>
          <w:rFonts w:asciiTheme="minorHAnsi" w:hAnsiTheme="minorHAnsi"/>
        </w:rPr>
      </w:pPr>
    </w:p>
    <w:p w14:paraId="0C2ED16E" w14:textId="7A329D39" w:rsidR="00150E95" w:rsidRPr="007C6F51" w:rsidRDefault="00150E95" w:rsidP="00951FB3">
      <w:pPr>
        <w:pStyle w:val="BodyText"/>
        <w:spacing w:after="0" w:line="240" w:lineRule="auto"/>
        <w:rPr>
          <w:rFonts w:asciiTheme="minorHAnsi" w:eastAsia="Calibri" w:hAnsiTheme="minorHAnsi"/>
          <w:color w:val="000000"/>
          <w:spacing w:val="-3"/>
          <w:kern w:val="2"/>
          <w:sz w:val="22"/>
          <w:szCs w:val="22"/>
          <w:lang w:val="en-GB"/>
        </w:rPr>
      </w:pPr>
      <w:proofErr w:type="spellStart"/>
      <w:r w:rsidRPr="007C6F51">
        <w:rPr>
          <w:rFonts w:asciiTheme="minorHAnsi" w:eastAsia="Calibri" w:hAnsiTheme="minorHAnsi"/>
          <w:color w:val="000000"/>
          <w:spacing w:val="-3"/>
          <w:kern w:val="2"/>
          <w:lang w:val="en-GB"/>
        </w:rPr>
        <w:t>Spingys</w:t>
      </w:r>
      <w:proofErr w:type="spellEnd"/>
      <w:r w:rsidRPr="007C6F51">
        <w:rPr>
          <w:rFonts w:asciiTheme="minorHAnsi" w:eastAsia="Calibri" w:hAnsiTheme="minorHAnsi"/>
          <w:color w:val="000000"/>
          <w:spacing w:val="-3"/>
          <w:kern w:val="2"/>
          <w:lang w:val="en-GB"/>
        </w:rPr>
        <w:t>, C.P.,</w:t>
      </w:r>
      <w:r w:rsidR="008C4CF2" w:rsidRPr="007C6F51">
        <w:rPr>
          <w:rFonts w:asciiTheme="minorHAnsi" w:eastAsia="Calibri" w:hAnsiTheme="minorHAnsi"/>
          <w:color w:val="000000"/>
          <w:spacing w:val="-3"/>
          <w:kern w:val="2"/>
          <w:lang w:val="en-GB"/>
        </w:rPr>
        <w:t xml:space="preserve"> (2017)</w:t>
      </w:r>
      <w:r w:rsidRPr="007C6F51">
        <w:rPr>
          <w:rFonts w:asciiTheme="minorHAnsi" w:eastAsia="Calibri" w:hAnsiTheme="minorHAnsi"/>
          <w:color w:val="000000"/>
          <w:spacing w:val="-3"/>
          <w:kern w:val="2"/>
          <w:sz w:val="22"/>
          <w:szCs w:val="22"/>
          <w:lang w:val="en-GB"/>
        </w:rPr>
        <w:t xml:space="preserve"> </w:t>
      </w:r>
      <w:r w:rsidRPr="007C6F51">
        <w:rPr>
          <w:rFonts w:asciiTheme="minorHAnsi" w:eastAsia="Cambria" w:hAnsiTheme="minorHAnsi"/>
          <w:lang w:val="en-GB"/>
        </w:rPr>
        <w:t>Volume exchange across the shelf edge: the role of the internal tide and other physical processes. PhD thesis, University of Liverpool.</w:t>
      </w:r>
    </w:p>
    <w:p w14:paraId="03F8DE98" w14:textId="77777777" w:rsidR="00150E95" w:rsidRPr="007C6F51" w:rsidRDefault="00150E95" w:rsidP="00D56A8F">
      <w:pPr>
        <w:pStyle w:val="BodyText"/>
        <w:spacing w:after="0" w:line="240" w:lineRule="auto"/>
        <w:ind w:left="170" w:hanging="170"/>
        <w:rPr>
          <w:rFonts w:asciiTheme="minorHAnsi" w:eastAsia="Calibri" w:hAnsiTheme="minorHAnsi"/>
          <w:color w:val="000000"/>
          <w:spacing w:val="-3"/>
          <w:kern w:val="2"/>
          <w:sz w:val="22"/>
          <w:szCs w:val="22"/>
          <w:lang w:val="en-GB"/>
        </w:rPr>
      </w:pPr>
    </w:p>
    <w:p w14:paraId="1519453F" w14:textId="5D0E2D9E" w:rsidR="00D56A8F" w:rsidRPr="007C6F51" w:rsidRDefault="00D56A8F" w:rsidP="00951FB3">
      <w:pPr>
        <w:pStyle w:val="BodyText"/>
        <w:spacing w:after="0" w:line="240" w:lineRule="auto"/>
        <w:rPr>
          <w:rFonts w:asciiTheme="minorHAnsi" w:eastAsia="Calibri" w:hAnsiTheme="minorHAnsi"/>
          <w:color w:val="000000"/>
          <w:spacing w:val="-3"/>
          <w:kern w:val="2"/>
          <w:lang w:val="en-GB"/>
        </w:rPr>
      </w:pPr>
      <w:r w:rsidRPr="007C6F51">
        <w:rPr>
          <w:rFonts w:asciiTheme="minorHAnsi" w:eastAsia="Calibri" w:hAnsiTheme="minorHAnsi"/>
          <w:color w:val="000000"/>
          <w:spacing w:val="-3"/>
          <w:kern w:val="2"/>
          <w:lang w:val="en-GB"/>
        </w:rPr>
        <w:t xml:space="preserve">Thomas, H. et al. (2009). Enhanced ocean carbon storage from anaerobic alkalinity generation in coastal sediments, </w:t>
      </w:r>
      <w:proofErr w:type="spellStart"/>
      <w:r w:rsidRPr="007C6F51">
        <w:rPr>
          <w:rStyle w:val="Emphasis"/>
          <w:rFonts w:asciiTheme="minorHAnsi" w:eastAsia="Calibri" w:hAnsiTheme="minorHAnsi"/>
          <w:color w:val="000000"/>
          <w:spacing w:val="-3"/>
          <w:kern w:val="2"/>
          <w:lang w:val="en-GB"/>
        </w:rPr>
        <w:t>Biogeosciences</w:t>
      </w:r>
      <w:proofErr w:type="spellEnd"/>
      <w:r w:rsidRPr="007C6F51">
        <w:rPr>
          <w:rFonts w:asciiTheme="minorHAnsi" w:eastAsia="Calibri" w:hAnsiTheme="minorHAnsi"/>
          <w:color w:val="000000"/>
          <w:spacing w:val="-3"/>
          <w:kern w:val="2"/>
          <w:lang w:val="en-GB"/>
        </w:rPr>
        <w:t>, 6, 267-274.</w:t>
      </w:r>
    </w:p>
    <w:p w14:paraId="5DE0EA36" w14:textId="77777777" w:rsidR="00003CCA" w:rsidRPr="007C6F51" w:rsidRDefault="00003CCA" w:rsidP="00951FB3">
      <w:pPr>
        <w:pStyle w:val="BodyText"/>
        <w:spacing w:after="0" w:line="240" w:lineRule="auto"/>
        <w:rPr>
          <w:rFonts w:asciiTheme="minorHAnsi" w:eastAsia="Cambria" w:hAnsiTheme="minorHAnsi"/>
          <w:lang w:val="en-GB"/>
        </w:rPr>
      </w:pPr>
    </w:p>
    <w:p w14:paraId="5F675ED7" w14:textId="77777777" w:rsidR="003E02A9" w:rsidRPr="007C6F51" w:rsidRDefault="003E02A9" w:rsidP="003E02A9">
      <w:pPr>
        <w:spacing w:line="360" w:lineRule="auto"/>
        <w:ind w:left="-2"/>
        <w:jc w:val="both"/>
        <w:textDirection w:val="btLr"/>
        <w:textAlignment w:val="top"/>
        <w:outlineLvl w:val="0"/>
        <w:rPr>
          <w:rFonts w:asciiTheme="minorHAnsi" w:hAnsiTheme="minorHAnsi"/>
          <w:shd w:val="clear" w:color="auto" w:fill="FCFCFC"/>
          <w:lang w:eastAsia="en-US"/>
        </w:rPr>
      </w:pPr>
      <w:r w:rsidRPr="007C6F51">
        <w:rPr>
          <w:rFonts w:asciiTheme="minorHAnsi" w:hAnsiTheme="minorHAnsi"/>
          <w:shd w:val="clear" w:color="auto" w:fill="FCFCFC"/>
          <w:lang w:eastAsia="en-US"/>
        </w:rPr>
        <w:t xml:space="preserve">UNEP (2019). Emissions Gap Report 2019. United Nations Environment Programme, Nairobi. </w:t>
      </w:r>
    </w:p>
    <w:p w14:paraId="708D67B9" w14:textId="61FFE137" w:rsidR="007A2027" w:rsidRPr="007C6F51" w:rsidRDefault="00931AE5">
      <w:pPr>
        <w:spacing w:before="180" w:after="180"/>
        <w:rPr>
          <w:rFonts w:asciiTheme="minorHAnsi" w:hAnsiTheme="minorHAnsi"/>
        </w:rPr>
      </w:pPr>
      <w:r w:rsidRPr="007C6F51">
        <w:rPr>
          <w:rFonts w:asciiTheme="minorHAnsi" w:hAnsiTheme="minorHAnsi"/>
        </w:rPr>
        <w:t xml:space="preserve">Williamson, P. and </w:t>
      </w:r>
      <w:proofErr w:type="spellStart"/>
      <w:r w:rsidRPr="007C6F51">
        <w:rPr>
          <w:rFonts w:asciiTheme="minorHAnsi" w:hAnsiTheme="minorHAnsi"/>
        </w:rPr>
        <w:t>Gattuso</w:t>
      </w:r>
      <w:proofErr w:type="spellEnd"/>
      <w:r w:rsidRPr="007C6F51">
        <w:rPr>
          <w:rFonts w:asciiTheme="minorHAnsi" w:hAnsiTheme="minorHAnsi"/>
        </w:rPr>
        <w:t xml:space="preserve">, J.P., 2022. Carbon removal using coastal blue carbon ecosystems is uncertain and unreliable, with questionable climatic cost-effectiveness. </w:t>
      </w:r>
      <w:r w:rsidRPr="007C6F51">
        <w:rPr>
          <w:rFonts w:asciiTheme="minorHAnsi" w:hAnsiTheme="minorHAnsi"/>
          <w:i/>
          <w:iCs/>
        </w:rPr>
        <w:t>Frontiers in Climate</w:t>
      </w:r>
      <w:r w:rsidRPr="007C6F51">
        <w:rPr>
          <w:rFonts w:asciiTheme="minorHAnsi" w:hAnsiTheme="minorHAnsi"/>
        </w:rPr>
        <w:t xml:space="preserve">, </w:t>
      </w:r>
      <w:r w:rsidRPr="007C6F51">
        <w:rPr>
          <w:rFonts w:asciiTheme="minorHAnsi" w:hAnsiTheme="minorHAnsi"/>
          <w:i/>
          <w:iCs/>
        </w:rPr>
        <w:t>4</w:t>
      </w:r>
      <w:r w:rsidRPr="007C6F51">
        <w:rPr>
          <w:rFonts w:asciiTheme="minorHAnsi" w:hAnsiTheme="minorHAnsi"/>
        </w:rPr>
        <w:t>, p.130.</w:t>
      </w:r>
    </w:p>
    <w:p w14:paraId="63150E9E" w14:textId="1769C311" w:rsidR="005367A4" w:rsidRPr="007C6F51" w:rsidRDefault="005367A4">
      <w:pPr>
        <w:spacing w:before="180" w:after="180"/>
        <w:rPr>
          <w:rFonts w:asciiTheme="minorHAnsi" w:eastAsia="Roboto" w:hAnsiTheme="minorHAnsi"/>
          <w:color w:val="222222"/>
          <w:highlight w:val="white"/>
          <w:lang w:val="en-GB"/>
        </w:rPr>
      </w:pPr>
      <w:r w:rsidRPr="007C6F51">
        <w:rPr>
          <w:rFonts w:asciiTheme="minorHAnsi" w:hAnsiTheme="minorHAnsi"/>
        </w:rPr>
        <w:t>Zhang, H. and Cao, L., 2016. Simulated effect of calcification feedback on atmospheric CO</w:t>
      </w:r>
      <w:r w:rsidRPr="007C6F51">
        <w:rPr>
          <w:rFonts w:asciiTheme="minorHAnsi" w:hAnsiTheme="minorHAnsi"/>
          <w:vertAlign w:val="subscript"/>
        </w:rPr>
        <w:t>2</w:t>
      </w:r>
      <w:r w:rsidRPr="007C6F51">
        <w:rPr>
          <w:rFonts w:asciiTheme="minorHAnsi" w:hAnsiTheme="minorHAnsi"/>
        </w:rPr>
        <w:t xml:space="preserve"> and ocean acidification. </w:t>
      </w:r>
      <w:r w:rsidRPr="007C6F51">
        <w:rPr>
          <w:rFonts w:asciiTheme="minorHAnsi" w:hAnsiTheme="minorHAnsi"/>
          <w:i/>
          <w:iCs/>
        </w:rPr>
        <w:t>Scientific reports</w:t>
      </w:r>
      <w:r w:rsidRPr="007C6F51">
        <w:rPr>
          <w:rFonts w:asciiTheme="minorHAnsi" w:hAnsiTheme="minorHAnsi"/>
        </w:rPr>
        <w:t xml:space="preserve">, </w:t>
      </w:r>
      <w:r w:rsidRPr="007C6F51">
        <w:rPr>
          <w:rFonts w:asciiTheme="minorHAnsi" w:hAnsiTheme="minorHAnsi"/>
          <w:i/>
          <w:iCs/>
        </w:rPr>
        <w:t>6</w:t>
      </w:r>
      <w:r w:rsidRPr="007C6F51">
        <w:rPr>
          <w:rFonts w:asciiTheme="minorHAnsi" w:hAnsiTheme="minorHAnsi"/>
        </w:rPr>
        <w:t>(1), pp.1-10.</w:t>
      </w:r>
    </w:p>
    <w:p w14:paraId="44D856D6" w14:textId="77777777" w:rsidR="007A2027" w:rsidRPr="007C6F51" w:rsidRDefault="007A2027">
      <w:pPr>
        <w:spacing w:before="180" w:after="180"/>
        <w:rPr>
          <w:rFonts w:asciiTheme="minorHAnsi" w:eastAsia="Roboto" w:hAnsiTheme="minorHAnsi"/>
          <w:color w:val="222222"/>
          <w:highlight w:val="white"/>
          <w:lang w:val="en-GB"/>
        </w:rPr>
      </w:pPr>
    </w:p>
    <w:p w14:paraId="3A883725" w14:textId="77777777" w:rsidR="007A2027" w:rsidRPr="007C6F51" w:rsidRDefault="007A2027">
      <w:pPr>
        <w:spacing w:before="180" w:after="180"/>
        <w:rPr>
          <w:rFonts w:asciiTheme="minorHAnsi" w:eastAsia="Roboto" w:hAnsiTheme="minorHAnsi"/>
          <w:color w:val="222222"/>
          <w:highlight w:val="white"/>
          <w:lang w:val="en-GB"/>
        </w:rPr>
      </w:pPr>
    </w:p>
    <w:sectPr w:rsidR="007A2027" w:rsidRPr="007C6F51">
      <w:pgSz w:w="11906" w:h="16838"/>
      <w:pgMar w:top="1440" w:right="1440" w:bottom="144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2499A"/>
    <w:multiLevelType w:val="hybridMultilevel"/>
    <w:tmpl w:val="A72CAF50"/>
    <w:lvl w:ilvl="0" w:tplc="1809000F">
      <w:start w:val="1"/>
      <w:numFmt w:val="decimal"/>
      <w:lvlText w:val="%1."/>
      <w:lvlJc w:val="left"/>
      <w:pPr>
        <w:ind w:left="362" w:hanging="360"/>
      </w:pPr>
      <w:rPr>
        <w:rFonts w:hint="default"/>
      </w:rPr>
    </w:lvl>
    <w:lvl w:ilvl="1" w:tplc="18090019" w:tentative="1">
      <w:start w:val="1"/>
      <w:numFmt w:val="lowerLetter"/>
      <w:lvlText w:val="%2."/>
      <w:lvlJc w:val="left"/>
      <w:pPr>
        <w:ind w:left="1082" w:hanging="360"/>
      </w:pPr>
    </w:lvl>
    <w:lvl w:ilvl="2" w:tplc="1809001B" w:tentative="1">
      <w:start w:val="1"/>
      <w:numFmt w:val="lowerRoman"/>
      <w:lvlText w:val="%3."/>
      <w:lvlJc w:val="right"/>
      <w:pPr>
        <w:ind w:left="1802" w:hanging="180"/>
      </w:pPr>
    </w:lvl>
    <w:lvl w:ilvl="3" w:tplc="1809000F" w:tentative="1">
      <w:start w:val="1"/>
      <w:numFmt w:val="decimal"/>
      <w:lvlText w:val="%4."/>
      <w:lvlJc w:val="left"/>
      <w:pPr>
        <w:ind w:left="2522" w:hanging="360"/>
      </w:pPr>
    </w:lvl>
    <w:lvl w:ilvl="4" w:tplc="18090019" w:tentative="1">
      <w:start w:val="1"/>
      <w:numFmt w:val="lowerLetter"/>
      <w:lvlText w:val="%5."/>
      <w:lvlJc w:val="left"/>
      <w:pPr>
        <w:ind w:left="3242" w:hanging="360"/>
      </w:pPr>
    </w:lvl>
    <w:lvl w:ilvl="5" w:tplc="1809001B" w:tentative="1">
      <w:start w:val="1"/>
      <w:numFmt w:val="lowerRoman"/>
      <w:lvlText w:val="%6."/>
      <w:lvlJc w:val="right"/>
      <w:pPr>
        <w:ind w:left="3962" w:hanging="180"/>
      </w:pPr>
    </w:lvl>
    <w:lvl w:ilvl="6" w:tplc="1809000F" w:tentative="1">
      <w:start w:val="1"/>
      <w:numFmt w:val="decimal"/>
      <w:lvlText w:val="%7."/>
      <w:lvlJc w:val="left"/>
      <w:pPr>
        <w:ind w:left="4682" w:hanging="360"/>
      </w:pPr>
    </w:lvl>
    <w:lvl w:ilvl="7" w:tplc="18090019" w:tentative="1">
      <w:start w:val="1"/>
      <w:numFmt w:val="lowerLetter"/>
      <w:lvlText w:val="%8."/>
      <w:lvlJc w:val="left"/>
      <w:pPr>
        <w:ind w:left="5402" w:hanging="360"/>
      </w:pPr>
    </w:lvl>
    <w:lvl w:ilvl="8" w:tplc="1809001B" w:tentative="1">
      <w:start w:val="1"/>
      <w:numFmt w:val="lowerRoman"/>
      <w:lvlText w:val="%9."/>
      <w:lvlJc w:val="right"/>
      <w:pPr>
        <w:ind w:left="6122" w:hanging="180"/>
      </w:pPr>
    </w:lvl>
  </w:abstractNum>
  <w:num w:numId="1" w16cid:durableId="209008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27"/>
    <w:rsid w:val="00003CCA"/>
    <w:rsid w:val="00011670"/>
    <w:rsid w:val="00014728"/>
    <w:rsid w:val="00026B2E"/>
    <w:rsid w:val="00041822"/>
    <w:rsid w:val="00060722"/>
    <w:rsid w:val="00066DAA"/>
    <w:rsid w:val="00070950"/>
    <w:rsid w:val="00071A06"/>
    <w:rsid w:val="00076149"/>
    <w:rsid w:val="00092C32"/>
    <w:rsid w:val="00094897"/>
    <w:rsid w:val="000A5E64"/>
    <w:rsid w:val="000B3182"/>
    <w:rsid w:val="000B5165"/>
    <w:rsid w:val="000D17BC"/>
    <w:rsid w:val="000D268A"/>
    <w:rsid w:val="000E04FF"/>
    <w:rsid w:val="000E0CC1"/>
    <w:rsid w:val="00127D1E"/>
    <w:rsid w:val="00134A82"/>
    <w:rsid w:val="00137B1C"/>
    <w:rsid w:val="0014471B"/>
    <w:rsid w:val="00150E95"/>
    <w:rsid w:val="001519F6"/>
    <w:rsid w:val="00165540"/>
    <w:rsid w:val="001A1FFC"/>
    <w:rsid w:val="001A638B"/>
    <w:rsid w:val="001B3152"/>
    <w:rsid w:val="001B555A"/>
    <w:rsid w:val="001C4199"/>
    <w:rsid w:val="001C6B1A"/>
    <w:rsid w:val="001C7FFC"/>
    <w:rsid w:val="001F0AF9"/>
    <w:rsid w:val="001F2EA3"/>
    <w:rsid w:val="00202E44"/>
    <w:rsid w:val="0021607B"/>
    <w:rsid w:val="00217518"/>
    <w:rsid w:val="002325FA"/>
    <w:rsid w:val="002443F1"/>
    <w:rsid w:val="002454C3"/>
    <w:rsid w:val="00247774"/>
    <w:rsid w:val="0025495A"/>
    <w:rsid w:val="00256405"/>
    <w:rsid w:val="00271E90"/>
    <w:rsid w:val="00280C18"/>
    <w:rsid w:val="00282AD2"/>
    <w:rsid w:val="00291E2F"/>
    <w:rsid w:val="0029756A"/>
    <w:rsid w:val="002A3800"/>
    <w:rsid w:val="002C4FEF"/>
    <w:rsid w:val="002C6639"/>
    <w:rsid w:val="002D09F2"/>
    <w:rsid w:val="002D2ED0"/>
    <w:rsid w:val="002E484F"/>
    <w:rsid w:val="002E6D59"/>
    <w:rsid w:val="002F0BEC"/>
    <w:rsid w:val="00306CE2"/>
    <w:rsid w:val="0031035E"/>
    <w:rsid w:val="003121E6"/>
    <w:rsid w:val="0031277A"/>
    <w:rsid w:val="00321304"/>
    <w:rsid w:val="0032716B"/>
    <w:rsid w:val="00332A8A"/>
    <w:rsid w:val="00333341"/>
    <w:rsid w:val="003409F3"/>
    <w:rsid w:val="003505D8"/>
    <w:rsid w:val="003511DF"/>
    <w:rsid w:val="00374C55"/>
    <w:rsid w:val="0037599A"/>
    <w:rsid w:val="00382376"/>
    <w:rsid w:val="00384478"/>
    <w:rsid w:val="00396F83"/>
    <w:rsid w:val="003972AB"/>
    <w:rsid w:val="003973B1"/>
    <w:rsid w:val="003979FC"/>
    <w:rsid w:val="003A009B"/>
    <w:rsid w:val="003A3447"/>
    <w:rsid w:val="003B602A"/>
    <w:rsid w:val="003C2E6C"/>
    <w:rsid w:val="003D211E"/>
    <w:rsid w:val="003D696D"/>
    <w:rsid w:val="003E0188"/>
    <w:rsid w:val="003E02A9"/>
    <w:rsid w:val="003E3CF1"/>
    <w:rsid w:val="003E511C"/>
    <w:rsid w:val="003F18B1"/>
    <w:rsid w:val="003F5C73"/>
    <w:rsid w:val="003F6703"/>
    <w:rsid w:val="00403CF8"/>
    <w:rsid w:val="00405AB5"/>
    <w:rsid w:val="004175D8"/>
    <w:rsid w:val="004176B1"/>
    <w:rsid w:val="004378BC"/>
    <w:rsid w:val="00450C37"/>
    <w:rsid w:val="0045637E"/>
    <w:rsid w:val="0046544F"/>
    <w:rsid w:val="00471995"/>
    <w:rsid w:val="00477C03"/>
    <w:rsid w:val="0049629F"/>
    <w:rsid w:val="004967F6"/>
    <w:rsid w:val="00496EC1"/>
    <w:rsid w:val="004C32D9"/>
    <w:rsid w:val="004D34BC"/>
    <w:rsid w:val="004D4BB7"/>
    <w:rsid w:val="004D4E72"/>
    <w:rsid w:val="004E56E1"/>
    <w:rsid w:val="004F584C"/>
    <w:rsid w:val="004F69A3"/>
    <w:rsid w:val="00506208"/>
    <w:rsid w:val="00506E1F"/>
    <w:rsid w:val="005103F9"/>
    <w:rsid w:val="00524579"/>
    <w:rsid w:val="005367A4"/>
    <w:rsid w:val="00537BD8"/>
    <w:rsid w:val="00551FC3"/>
    <w:rsid w:val="005542E3"/>
    <w:rsid w:val="005570EE"/>
    <w:rsid w:val="0056693D"/>
    <w:rsid w:val="00570DF5"/>
    <w:rsid w:val="00581179"/>
    <w:rsid w:val="005863D3"/>
    <w:rsid w:val="00590AF3"/>
    <w:rsid w:val="00592F8A"/>
    <w:rsid w:val="00597797"/>
    <w:rsid w:val="005A60AB"/>
    <w:rsid w:val="005B0E74"/>
    <w:rsid w:val="005B4AF4"/>
    <w:rsid w:val="005C30FC"/>
    <w:rsid w:val="005C6262"/>
    <w:rsid w:val="005D08F6"/>
    <w:rsid w:val="005E0154"/>
    <w:rsid w:val="005E7AE2"/>
    <w:rsid w:val="006002B9"/>
    <w:rsid w:val="00604600"/>
    <w:rsid w:val="0062351C"/>
    <w:rsid w:val="00623A09"/>
    <w:rsid w:val="00627668"/>
    <w:rsid w:val="00630314"/>
    <w:rsid w:val="00630E84"/>
    <w:rsid w:val="00642D56"/>
    <w:rsid w:val="006501B9"/>
    <w:rsid w:val="00653018"/>
    <w:rsid w:val="00662A1D"/>
    <w:rsid w:val="00667C1E"/>
    <w:rsid w:val="00682FEE"/>
    <w:rsid w:val="00683BBD"/>
    <w:rsid w:val="0069016F"/>
    <w:rsid w:val="00691B26"/>
    <w:rsid w:val="006B0FD5"/>
    <w:rsid w:val="006B11DF"/>
    <w:rsid w:val="006D1EC1"/>
    <w:rsid w:val="006D3F39"/>
    <w:rsid w:val="006D76F4"/>
    <w:rsid w:val="006E4256"/>
    <w:rsid w:val="006F52A6"/>
    <w:rsid w:val="00701A8F"/>
    <w:rsid w:val="00705B62"/>
    <w:rsid w:val="0073464C"/>
    <w:rsid w:val="007444DB"/>
    <w:rsid w:val="007461DA"/>
    <w:rsid w:val="00752BFB"/>
    <w:rsid w:val="00776B8D"/>
    <w:rsid w:val="0078283D"/>
    <w:rsid w:val="007877C7"/>
    <w:rsid w:val="007A2027"/>
    <w:rsid w:val="007A2247"/>
    <w:rsid w:val="007A589A"/>
    <w:rsid w:val="007B1BEC"/>
    <w:rsid w:val="007B69E7"/>
    <w:rsid w:val="007C0E59"/>
    <w:rsid w:val="007C54B5"/>
    <w:rsid w:val="007C6F51"/>
    <w:rsid w:val="007D43F7"/>
    <w:rsid w:val="007E2519"/>
    <w:rsid w:val="0081451F"/>
    <w:rsid w:val="008252C0"/>
    <w:rsid w:val="0084139D"/>
    <w:rsid w:val="00857EF4"/>
    <w:rsid w:val="00865A7C"/>
    <w:rsid w:val="008805E2"/>
    <w:rsid w:val="008940E1"/>
    <w:rsid w:val="00894927"/>
    <w:rsid w:val="008B561C"/>
    <w:rsid w:val="008C2E2B"/>
    <w:rsid w:val="008C4CF2"/>
    <w:rsid w:val="008C678D"/>
    <w:rsid w:val="008F45BA"/>
    <w:rsid w:val="008F460B"/>
    <w:rsid w:val="008F516E"/>
    <w:rsid w:val="00901E22"/>
    <w:rsid w:val="00913BCC"/>
    <w:rsid w:val="00931AE5"/>
    <w:rsid w:val="00945AF7"/>
    <w:rsid w:val="0094714A"/>
    <w:rsid w:val="00951FB3"/>
    <w:rsid w:val="0097277F"/>
    <w:rsid w:val="00973424"/>
    <w:rsid w:val="0098428A"/>
    <w:rsid w:val="00993A8D"/>
    <w:rsid w:val="009A26E6"/>
    <w:rsid w:val="009B0E64"/>
    <w:rsid w:val="009B64C5"/>
    <w:rsid w:val="009C28EA"/>
    <w:rsid w:val="009D3572"/>
    <w:rsid w:val="009D5613"/>
    <w:rsid w:val="009F31C8"/>
    <w:rsid w:val="00A00307"/>
    <w:rsid w:val="00A2425E"/>
    <w:rsid w:val="00A25C17"/>
    <w:rsid w:val="00A2717E"/>
    <w:rsid w:val="00A34B1F"/>
    <w:rsid w:val="00A35F64"/>
    <w:rsid w:val="00A40D69"/>
    <w:rsid w:val="00A4440D"/>
    <w:rsid w:val="00A5080F"/>
    <w:rsid w:val="00A55049"/>
    <w:rsid w:val="00A647A3"/>
    <w:rsid w:val="00A72D77"/>
    <w:rsid w:val="00A75BD7"/>
    <w:rsid w:val="00A76F2E"/>
    <w:rsid w:val="00A80D13"/>
    <w:rsid w:val="00A824BF"/>
    <w:rsid w:val="00AA3C41"/>
    <w:rsid w:val="00AC14FC"/>
    <w:rsid w:val="00AC655B"/>
    <w:rsid w:val="00AD1DDF"/>
    <w:rsid w:val="00AD6EA1"/>
    <w:rsid w:val="00AE4188"/>
    <w:rsid w:val="00B03FE3"/>
    <w:rsid w:val="00B14B00"/>
    <w:rsid w:val="00B24AF2"/>
    <w:rsid w:val="00B26322"/>
    <w:rsid w:val="00B276C9"/>
    <w:rsid w:val="00B45985"/>
    <w:rsid w:val="00B46411"/>
    <w:rsid w:val="00B61DD5"/>
    <w:rsid w:val="00B74B3B"/>
    <w:rsid w:val="00B85027"/>
    <w:rsid w:val="00B92115"/>
    <w:rsid w:val="00B95EE2"/>
    <w:rsid w:val="00BC0E69"/>
    <w:rsid w:val="00BD4021"/>
    <w:rsid w:val="00BE0FD0"/>
    <w:rsid w:val="00BF2655"/>
    <w:rsid w:val="00BF46C2"/>
    <w:rsid w:val="00C0425E"/>
    <w:rsid w:val="00C04AC8"/>
    <w:rsid w:val="00C11457"/>
    <w:rsid w:val="00C22EC6"/>
    <w:rsid w:val="00C307A8"/>
    <w:rsid w:val="00C42644"/>
    <w:rsid w:val="00C428FB"/>
    <w:rsid w:val="00C460D6"/>
    <w:rsid w:val="00C527CA"/>
    <w:rsid w:val="00C52C79"/>
    <w:rsid w:val="00C60992"/>
    <w:rsid w:val="00C60AA1"/>
    <w:rsid w:val="00C60DCB"/>
    <w:rsid w:val="00C621D7"/>
    <w:rsid w:val="00C77931"/>
    <w:rsid w:val="00C92D38"/>
    <w:rsid w:val="00CD1D02"/>
    <w:rsid w:val="00CD45C2"/>
    <w:rsid w:val="00CE2600"/>
    <w:rsid w:val="00CE3BE2"/>
    <w:rsid w:val="00CE4657"/>
    <w:rsid w:val="00D059BA"/>
    <w:rsid w:val="00D34F59"/>
    <w:rsid w:val="00D56A8F"/>
    <w:rsid w:val="00D819E7"/>
    <w:rsid w:val="00D97169"/>
    <w:rsid w:val="00DA2FF4"/>
    <w:rsid w:val="00DA5E76"/>
    <w:rsid w:val="00DA73A6"/>
    <w:rsid w:val="00DC15AF"/>
    <w:rsid w:val="00DC77BC"/>
    <w:rsid w:val="00DD270B"/>
    <w:rsid w:val="00DE0694"/>
    <w:rsid w:val="00DE4CED"/>
    <w:rsid w:val="00DF2E16"/>
    <w:rsid w:val="00DF3515"/>
    <w:rsid w:val="00DF4A97"/>
    <w:rsid w:val="00E15C02"/>
    <w:rsid w:val="00E234E4"/>
    <w:rsid w:val="00E25F9D"/>
    <w:rsid w:val="00E67208"/>
    <w:rsid w:val="00E7130B"/>
    <w:rsid w:val="00E73642"/>
    <w:rsid w:val="00E83C3B"/>
    <w:rsid w:val="00E95CE7"/>
    <w:rsid w:val="00EA0055"/>
    <w:rsid w:val="00EA70A6"/>
    <w:rsid w:val="00EB2E01"/>
    <w:rsid w:val="00EC18AD"/>
    <w:rsid w:val="00EC5C6F"/>
    <w:rsid w:val="00ED6E23"/>
    <w:rsid w:val="00EF4438"/>
    <w:rsid w:val="00F0289F"/>
    <w:rsid w:val="00F332BF"/>
    <w:rsid w:val="00F33A27"/>
    <w:rsid w:val="00F6708A"/>
    <w:rsid w:val="00F70427"/>
    <w:rsid w:val="00F71F5F"/>
    <w:rsid w:val="00F844FF"/>
    <w:rsid w:val="00F85EB6"/>
    <w:rsid w:val="00F958E6"/>
    <w:rsid w:val="00F96FEE"/>
    <w:rsid w:val="00F976D6"/>
    <w:rsid w:val="00FB1F6E"/>
    <w:rsid w:val="00FC4960"/>
    <w:rsid w:val="00FD1E5C"/>
    <w:rsid w:val="00FE0EE8"/>
    <w:rsid w:val="00FE3E51"/>
    <w:rsid w:val="00FF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9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08"/>
    <w:pPr>
      <w:suppressAutoHyphens w:val="0"/>
    </w:pPr>
    <w:rPr>
      <w:rFonts w:ascii="Times New Roman" w:eastAsia="Times New Roman" w:hAnsi="Times New Roman" w:cs="Times New Roman"/>
      <w:sz w:val="24"/>
      <w:szCs w:val="24"/>
      <w:lang w:val="en-IE"/>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apple-converted-space">
    <w:name w:val="apple-converted-space"/>
    <w:basedOn w:val="DefaultParagraphFont"/>
    <w:qFormat/>
    <w:rsid w:val="002A55C9"/>
  </w:style>
  <w:style w:type="character" w:customStyle="1" w:styleId="apple-tab-span">
    <w:name w:val="apple-tab-span"/>
    <w:basedOn w:val="DefaultParagraphFont"/>
    <w:qFormat/>
    <w:rsid w:val="002A55C9"/>
  </w:style>
  <w:style w:type="character" w:styleId="Hyperlink">
    <w:name w:val="Hyperlink"/>
    <w:rPr>
      <w:color w:val="000080"/>
      <w:u w:val="single"/>
    </w:rPr>
  </w:style>
  <w:style w:type="character" w:customStyle="1" w:styleId="LineNumbering">
    <w:name w:val="Line Numbering"/>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paragraph" w:styleId="CommentText">
    <w:name w:val="annotation text"/>
    <w:basedOn w:val="Normal"/>
    <w:link w:val="CommentTextChar"/>
    <w:uiPriority w:val="99"/>
    <w:unhideWhenUsed/>
    <w:qFormat/>
    <w:rPr>
      <w:rFonts w:ascii="Arial" w:eastAsia="Arial" w:hAnsi="Arial" w:cs="Arial"/>
      <w:sz w:val="20"/>
      <w:szCs w:val="20"/>
      <w:lang w:val="en-GB"/>
    </w:rPr>
  </w:style>
  <w:style w:type="paragraph" w:styleId="NormalWeb">
    <w:name w:val="Normal (Web)"/>
    <w:basedOn w:val="Normal"/>
    <w:uiPriority w:val="99"/>
    <w:semiHidden/>
    <w:unhideWhenUsed/>
    <w:qFormat/>
    <w:rsid w:val="002A55C9"/>
    <w:pPr>
      <w:spacing w:beforeAutospacing="1" w:afterAutospacing="1"/>
    </w:pPr>
  </w:style>
  <w:style w:type="table" w:styleId="TableGrid">
    <w:name w:val="Table Grid"/>
    <w:basedOn w:val="TableNormal"/>
    <w:uiPriority w:val="39"/>
    <w:rsid w:val="00EC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BD8"/>
    <w:pPr>
      <w:suppressAutoHyphens w:val="0"/>
    </w:pPr>
    <w:rPr>
      <w:rFonts w:ascii="Times New Roman" w:eastAsia="Times New Roman" w:hAnsi="Times New Roman" w:cs="Times New Roman"/>
      <w:sz w:val="24"/>
      <w:szCs w:val="24"/>
      <w:lang w:val="fr-FR" w:eastAsia="ja-JP"/>
    </w:rPr>
  </w:style>
  <w:style w:type="character" w:customStyle="1" w:styleId="UnresolvedMention1">
    <w:name w:val="Unresolved Mention1"/>
    <w:basedOn w:val="DefaultParagraphFont"/>
    <w:uiPriority w:val="99"/>
    <w:semiHidden/>
    <w:unhideWhenUsed/>
    <w:rsid w:val="00EF4438"/>
    <w:rPr>
      <w:color w:val="605E5C"/>
      <w:shd w:val="clear" w:color="auto" w:fill="E1DFDD"/>
    </w:rPr>
  </w:style>
  <w:style w:type="character" w:customStyle="1" w:styleId="TitleChar">
    <w:name w:val="Title Char"/>
    <w:basedOn w:val="DefaultParagraphFont"/>
    <w:link w:val="Title"/>
    <w:uiPriority w:val="10"/>
    <w:rsid w:val="00623A09"/>
    <w:rPr>
      <w:sz w:val="52"/>
      <w:szCs w:val="52"/>
    </w:rPr>
  </w:style>
  <w:style w:type="paragraph" w:styleId="BalloonText">
    <w:name w:val="Balloon Text"/>
    <w:basedOn w:val="Normal"/>
    <w:link w:val="BalloonTextChar"/>
    <w:uiPriority w:val="99"/>
    <w:semiHidden/>
    <w:unhideWhenUsed/>
    <w:rsid w:val="00682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FEE"/>
    <w:rPr>
      <w:rFonts w:ascii="Lucida Grande" w:eastAsia="Times New Roman" w:hAnsi="Lucida Grande" w:cs="Lucida Grande"/>
      <w:sz w:val="18"/>
      <w:szCs w:val="18"/>
      <w:lang w:val="en-IE"/>
    </w:rPr>
  </w:style>
  <w:style w:type="paragraph" w:styleId="CommentSubject">
    <w:name w:val="annotation subject"/>
    <w:basedOn w:val="CommentText"/>
    <w:next w:val="CommentText"/>
    <w:link w:val="CommentSubjectChar"/>
    <w:uiPriority w:val="99"/>
    <w:semiHidden/>
    <w:unhideWhenUsed/>
    <w:rsid w:val="00405AB5"/>
    <w:rPr>
      <w:rFonts w:ascii="Times New Roman" w:eastAsia="Times New Roman" w:hAnsi="Times New Roman" w:cs="Times New Roman"/>
      <w:b/>
      <w:bCs/>
      <w:lang w:val="en-IE"/>
    </w:rPr>
  </w:style>
  <w:style w:type="character" w:customStyle="1" w:styleId="CommentSubjectChar">
    <w:name w:val="Comment Subject Char"/>
    <w:basedOn w:val="CommentTextChar"/>
    <w:link w:val="CommentSubject"/>
    <w:uiPriority w:val="99"/>
    <w:semiHidden/>
    <w:rsid w:val="00405AB5"/>
    <w:rPr>
      <w:rFonts w:ascii="Times New Roman" w:eastAsia="Times New Roman" w:hAnsi="Times New Roman" w:cs="Times New Roman"/>
      <w:b/>
      <w:bCs/>
      <w:sz w:val="20"/>
      <w:szCs w:val="20"/>
      <w:lang w:val="en-IE"/>
    </w:rPr>
  </w:style>
  <w:style w:type="paragraph" w:styleId="ListParagraph">
    <w:name w:val="List Paragraph"/>
    <w:basedOn w:val="Normal"/>
    <w:uiPriority w:val="34"/>
    <w:qFormat/>
    <w:rsid w:val="00C52C79"/>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31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062">
          <w:marLeft w:val="0"/>
          <w:marRight w:val="0"/>
          <w:marTop w:val="0"/>
          <w:marBottom w:val="0"/>
          <w:divBdr>
            <w:top w:val="none" w:sz="0" w:space="0" w:color="auto"/>
            <w:left w:val="none" w:sz="0" w:space="0" w:color="auto"/>
            <w:bottom w:val="none" w:sz="0" w:space="0" w:color="auto"/>
            <w:right w:val="none" w:sz="0" w:space="0" w:color="auto"/>
          </w:divBdr>
        </w:div>
      </w:divsChild>
    </w:div>
    <w:div w:id="616302012">
      <w:bodyDiv w:val="1"/>
      <w:marLeft w:val="0"/>
      <w:marRight w:val="0"/>
      <w:marTop w:val="0"/>
      <w:marBottom w:val="0"/>
      <w:divBdr>
        <w:top w:val="none" w:sz="0" w:space="0" w:color="auto"/>
        <w:left w:val="none" w:sz="0" w:space="0" w:color="auto"/>
        <w:bottom w:val="none" w:sz="0" w:space="0" w:color="auto"/>
        <w:right w:val="none" w:sz="0" w:space="0" w:color="auto"/>
      </w:divBdr>
      <w:divsChild>
        <w:div w:id="1025902780">
          <w:marLeft w:val="0"/>
          <w:marRight w:val="0"/>
          <w:marTop w:val="0"/>
          <w:marBottom w:val="0"/>
          <w:divBdr>
            <w:top w:val="none" w:sz="0" w:space="0" w:color="auto"/>
            <w:left w:val="none" w:sz="0" w:space="0" w:color="auto"/>
            <w:bottom w:val="none" w:sz="0" w:space="0" w:color="auto"/>
            <w:right w:val="none" w:sz="0" w:space="0" w:color="auto"/>
          </w:divBdr>
        </w:div>
      </w:divsChild>
    </w:div>
    <w:div w:id="674693787">
      <w:bodyDiv w:val="1"/>
      <w:marLeft w:val="0"/>
      <w:marRight w:val="0"/>
      <w:marTop w:val="0"/>
      <w:marBottom w:val="0"/>
      <w:divBdr>
        <w:top w:val="none" w:sz="0" w:space="0" w:color="auto"/>
        <w:left w:val="none" w:sz="0" w:space="0" w:color="auto"/>
        <w:bottom w:val="none" w:sz="0" w:space="0" w:color="auto"/>
        <w:right w:val="none" w:sz="0" w:space="0" w:color="auto"/>
      </w:divBdr>
      <w:divsChild>
        <w:div w:id="575869821">
          <w:marLeft w:val="0"/>
          <w:marRight w:val="0"/>
          <w:marTop w:val="0"/>
          <w:marBottom w:val="0"/>
          <w:divBdr>
            <w:top w:val="none" w:sz="0" w:space="0" w:color="auto"/>
            <w:left w:val="none" w:sz="0" w:space="0" w:color="auto"/>
            <w:bottom w:val="none" w:sz="0" w:space="0" w:color="auto"/>
            <w:right w:val="none" w:sz="0" w:space="0" w:color="auto"/>
          </w:divBdr>
        </w:div>
      </w:divsChild>
    </w:div>
    <w:div w:id="696662630">
      <w:bodyDiv w:val="1"/>
      <w:marLeft w:val="0"/>
      <w:marRight w:val="0"/>
      <w:marTop w:val="0"/>
      <w:marBottom w:val="0"/>
      <w:divBdr>
        <w:top w:val="none" w:sz="0" w:space="0" w:color="auto"/>
        <w:left w:val="none" w:sz="0" w:space="0" w:color="auto"/>
        <w:bottom w:val="none" w:sz="0" w:space="0" w:color="auto"/>
        <w:right w:val="none" w:sz="0" w:space="0" w:color="auto"/>
      </w:divBdr>
      <w:divsChild>
        <w:div w:id="536891132">
          <w:marLeft w:val="0"/>
          <w:marRight w:val="0"/>
          <w:marTop w:val="0"/>
          <w:marBottom w:val="0"/>
          <w:divBdr>
            <w:top w:val="none" w:sz="0" w:space="0" w:color="auto"/>
            <w:left w:val="none" w:sz="0" w:space="0" w:color="auto"/>
            <w:bottom w:val="none" w:sz="0" w:space="0" w:color="auto"/>
            <w:right w:val="none" w:sz="0" w:space="0" w:color="auto"/>
          </w:divBdr>
        </w:div>
      </w:divsChild>
    </w:div>
    <w:div w:id="1172378043">
      <w:bodyDiv w:val="1"/>
      <w:marLeft w:val="0"/>
      <w:marRight w:val="0"/>
      <w:marTop w:val="0"/>
      <w:marBottom w:val="0"/>
      <w:divBdr>
        <w:top w:val="none" w:sz="0" w:space="0" w:color="auto"/>
        <w:left w:val="none" w:sz="0" w:space="0" w:color="auto"/>
        <w:bottom w:val="none" w:sz="0" w:space="0" w:color="auto"/>
        <w:right w:val="none" w:sz="0" w:space="0" w:color="auto"/>
      </w:divBdr>
      <w:divsChild>
        <w:div w:id="1382441542">
          <w:marLeft w:val="0"/>
          <w:marRight w:val="0"/>
          <w:marTop w:val="0"/>
          <w:marBottom w:val="0"/>
          <w:divBdr>
            <w:top w:val="none" w:sz="0" w:space="0" w:color="auto"/>
            <w:left w:val="none" w:sz="0" w:space="0" w:color="auto"/>
            <w:bottom w:val="none" w:sz="0" w:space="0" w:color="auto"/>
            <w:right w:val="none" w:sz="0" w:space="0" w:color="auto"/>
          </w:divBdr>
        </w:div>
      </w:divsChild>
    </w:div>
    <w:div w:id="1289628947">
      <w:bodyDiv w:val="1"/>
      <w:marLeft w:val="0"/>
      <w:marRight w:val="0"/>
      <w:marTop w:val="0"/>
      <w:marBottom w:val="0"/>
      <w:divBdr>
        <w:top w:val="none" w:sz="0" w:space="0" w:color="auto"/>
        <w:left w:val="none" w:sz="0" w:space="0" w:color="auto"/>
        <w:bottom w:val="none" w:sz="0" w:space="0" w:color="auto"/>
        <w:right w:val="none" w:sz="0" w:space="0" w:color="auto"/>
      </w:divBdr>
      <w:divsChild>
        <w:div w:id="90470460">
          <w:marLeft w:val="0"/>
          <w:marRight w:val="0"/>
          <w:marTop w:val="0"/>
          <w:marBottom w:val="0"/>
          <w:divBdr>
            <w:top w:val="none" w:sz="0" w:space="0" w:color="auto"/>
            <w:left w:val="none" w:sz="0" w:space="0" w:color="auto"/>
            <w:bottom w:val="none" w:sz="0" w:space="0" w:color="auto"/>
            <w:right w:val="none" w:sz="0" w:space="0" w:color="auto"/>
          </w:divBdr>
        </w:div>
      </w:divsChild>
    </w:div>
    <w:div w:id="1345866993">
      <w:bodyDiv w:val="1"/>
      <w:marLeft w:val="0"/>
      <w:marRight w:val="0"/>
      <w:marTop w:val="0"/>
      <w:marBottom w:val="0"/>
      <w:divBdr>
        <w:top w:val="none" w:sz="0" w:space="0" w:color="auto"/>
        <w:left w:val="none" w:sz="0" w:space="0" w:color="auto"/>
        <w:bottom w:val="none" w:sz="0" w:space="0" w:color="auto"/>
        <w:right w:val="none" w:sz="0" w:space="0" w:color="auto"/>
      </w:divBdr>
      <w:divsChild>
        <w:div w:id="376974181">
          <w:marLeft w:val="0"/>
          <w:marRight w:val="0"/>
          <w:marTop w:val="0"/>
          <w:marBottom w:val="0"/>
          <w:divBdr>
            <w:top w:val="none" w:sz="0" w:space="0" w:color="auto"/>
            <w:left w:val="none" w:sz="0" w:space="0" w:color="auto"/>
            <w:bottom w:val="none" w:sz="0" w:space="0" w:color="auto"/>
            <w:right w:val="none" w:sz="0" w:space="0" w:color="auto"/>
          </w:divBdr>
        </w:div>
      </w:divsChild>
    </w:div>
    <w:div w:id="1350837917">
      <w:bodyDiv w:val="1"/>
      <w:marLeft w:val="0"/>
      <w:marRight w:val="0"/>
      <w:marTop w:val="0"/>
      <w:marBottom w:val="0"/>
      <w:divBdr>
        <w:top w:val="none" w:sz="0" w:space="0" w:color="auto"/>
        <w:left w:val="none" w:sz="0" w:space="0" w:color="auto"/>
        <w:bottom w:val="none" w:sz="0" w:space="0" w:color="auto"/>
        <w:right w:val="none" w:sz="0" w:space="0" w:color="auto"/>
      </w:divBdr>
      <w:divsChild>
        <w:div w:id="429279442">
          <w:marLeft w:val="0"/>
          <w:marRight w:val="0"/>
          <w:marTop w:val="0"/>
          <w:marBottom w:val="0"/>
          <w:divBdr>
            <w:top w:val="none" w:sz="0" w:space="0" w:color="auto"/>
            <w:left w:val="none" w:sz="0" w:space="0" w:color="auto"/>
            <w:bottom w:val="none" w:sz="0" w:space="0" w:color="auto"/>
            <w:right w:val="none" w:sz="0" w:space="0" w:color="auto"/>
          </w:divBdr>
        </w:div>
      </w:divsChild>
    </w:div>
    <w:div w:id="1388186756">
      <w:bodyDiv w:val="1"/>
      <w:marLeft w:val="0"/>
      <w:marRight w:val="0"/>
      <w:marTop w:val="0"/>
      <w:marBottom w:val="0"/>
      <w:divBdr>
        <w:top w:val="none" w:sz="0" w:space="0" w:color="auto"/>
        <w:left w:val="none" w:sz="0" w:space="0" w:color="auto"/>
        <w:bottom w:val="none" w:sz="0" w:space="0" w:color="auto"/>
        <w:right w:val="none" w:sz="0" w:space="0" w:color="auto"/>
      </w:divBdr>
      <w:divsChild>
        <w:div w:id="1204559035">
          <w:marLeft w:val="0"/>
          <w:marRight w:val="0"/>
          <w:marTop w:val="0"/>
          <w:marBottom w:val="0"/>
          <w:divBdr>
            <w:top w:val="none" w:sz="0" w:space="0" w:color="auto"/>
            <w:left w:val="none" w:sz="0" w:space="0" w:color="auto"/>
            <w:bottom w:val="none" w:sz="0" w:space="0" w:color="auto"/>
            <w:right w:val="none" w:sz="0" w:space="0" w:color="auto"/>
          </w:divBdr>
        </w:div>
      </w:divsChild>
    </w:div>
    <w:div w:id="1522812899">
      <w:bodyDiv w:val="1"/>
      <w:marLeft w:val="0"/>
      <w:marRight w:val="0"/>
      <w:marTop w:val="0"/>
      <w:marBottom w:val="0"/>
      <w:divBdr>
        <w:top w:val="none" w:sz="0" w:space="0" w:color="auto"/>
        <w:left w:val="none" w:sz="0" w:space="0" w:color="auto"/>
        <w:bottom w:val="none" w:sz="0" w:space="0" w:color="auto"/>
        <w:right w:val="none" w:sz="0" w:space="0" w:color="auto"/>
      </w:divBdr>
      <w:divsChild>
        <w:div w:id="1509439281">
          <w:marLeft w:val="0"/>
          <w:marRight w:val="0"/>
          <w:marTop w:val="0"/>
          <w:marBottom w:val="0"/>
          <w:divBdr>
            <w:top w:val="none" w:sz="0" w:space="0" w:color="auto"/>
            <w:left w:val="none" w:sz="0" w:space="0" w:color="auto"/>
            <w:bottom w:val="none" w:sz="0" w:space="0" w:color="auto"/>
            <w:right w:val="none" w:sz="0" w:space="0" w:color="auto"/>
          </w:divBdr>
        </w:div>
      </w:divsChild>
    </w:div>
    <w:div w:id="1743216459">
      <w:bodyDiv w:val="1"/>
      <w:marLeft w:val="0"/>
      <w:marRight w:val="0"/>
      <w:marTop w:val="0"/>
      <w:marBottom w:val="0"/>
      <w:divBdr>
        <w:top w:val="none" w:sz="0" w:space="0" w:color="auto"/>
        <w:left w:val="none" w:sz="0" w:space="0" w:color="auto"/>
        <w:bottom w:val="none" w:sz="0" w:space="0" w:color="auto"/>
        <w:right w:val="none" w:sz="0" w:space="0" w:color="auto"/>
      </w:divBdr>
      <w:divsChild>
        <w:div w:id="1119377974">
          <w:marLeft w:val="0"/>
          <w:marRight w:val="0"/>
          <w:marTop w:val="0"/>
          <w:marBottom w:val="0"/>
          <w:divBdr>
            <w:top w:val="none" w:sz="0" w:space="0" w:color="auto"/>
            <w:left w:val="none" w:sz="0" w:space="0" w:color="auto"/>
            <w:bottom w:val="none" w:sz="0" w:space="0" w:color="auto"/>
            <w:right w:val="none" w:sz="0" w:space="0" w:color="auto"/>
          </w:divBdr>
        </w:div>
      </w:divsChild>
    </w:div>
    <w:div w:id="1886138432">
      <w:bodyDiv w:val="1"/>
      <w:marLeft w:val="0"/>
      <w:marRight w:val="0"/>
      <w:marTop w:val="0"/>
      <w:marBottom w:val="0"/>
      <w:divBdr>
        <w:top w:val="none" w:sz="0" w:space="0" w:color="auto"/>
        <w:left w:val="none" w:sz="0" w:space="0" w:color="auto"/>
        <w:bottom w:val="none" w:sz="0" w:space="0" w:color="auto"/>
        <w:right w:val="none" w:sz="0" w:space="0" w:color="auto"/>
      </w:divBdr>
      <w:divsChild>
        <w:div w:id="600070990">
          <w:marLeft w:val="0"/>
          <w:marRight w:val="0"/>
          <w:marTop w:val="0"/>
          <w:marBottom w:val="0"/>
          <w:divBdr>
            <w:top w:val="none" w:sz="0" w:space="0" w:color="auto"/>
            <w:left w:val="none" w:sz="0" w:space="0" w:color="auto"/>
            <w:bottom w:val="none" w:sz="0" w:space="0" w:color="auto"/>
            <w:right w:val="none" w:sz="0" w:space="0" w:color="auto"/>
          </w:divBdr>
        </w:div>
      </w:divsChild>
    </w:div>
    <w:div w:id="2047293404">
      <w:bodyDiv w:val="1"/>
      <w:marLeft w:val="0"/>
      <w:marRight w:val="0"/>
      <w:marTop w:val="0"/>
      <w:marBottom w:val="0"/>
      <w:divBdr>
        <w:top w:val="none" w:sz="0" w:space="0" w:color="auto"/>
        <w:left w:val="none" w:sz="0" w:space="0" w:color="auto"/>
        <w:bottom w:val="none" w:sz="0" w:space="0" w:color="auto"/>
        <w:right w:val="none" w:sz="0" w:space="0" w:color="auto"/>
      </w:divBdr>
    </w:div>
    <w:div w:id="2105152120">
      <w:bodyDiv w:val="1"/>
      <w:marLeft w:val="0"/>
      <w:marRight w:val="0"/>
      <w:marTop w:val="0"/>
      <w:marBottom w:val="0"/>
      <w:divBdr>
        <w:top w:val="none" w:sz="0" w:space="0" w:color="auto"/>
        <w:left w:val="none" w:sz="0" w:space="0" w:color="auto"/>
        <w:bottom w:val="none" w:sz="0" w:space="0" w:color="auto"/>
        <w:right w:val="none" w:sz="0" w:space="0" w:color="auto"/>
      </w:divBdr>
      <w:divsChild>
        <w:div w:id="109204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cdc10.unibe.ch/program/presen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 TargetMode="External"/><Relationship Id="rId5" Type="http://schemas.openxmlformats.org/officeDocument/2006/relationships/webSettings" Target="webSettings.xml"/><Relationship Id="rId10"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s://d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BEA6-E4D5-4310-880B-4BB58810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7583</Words>
  <Characters>43226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2024-04-02T21:18:00Z</dcterms:created>
  <dcterms:modified xsi:type="dcterms:W3CDTF">2024-07-02T17:08:00Z</dcterms:modified>
  <dc:language>en-US</dc:language>
</cp:coreProperties>
</file>